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40" w:before="0" w:line="340" w:lineRule="exact"/>
        <w:jc w:val="right"/>
      </w:pPr>
      <w:r>
        <w:rPr>
          <w:rFonts w:ascii="맑은 고딕" w:hAnsi="맑은 고딕" w:eastAsia="맑은 고딕"/>
          <w:b w:val="0"/>
          <w:color w:val="000000"/>
          <w:sz w:val="20"/>
        </w:rPr>
        <w:t>2026. 9.</w:t>
      </w:r>
    </w:p>
    <w:p>
      <w:pPr>
        <w:keepLines/>
        <w:spacing w:after="280" w:before="0" w:line="340" w:lineRule="exact"/>
        <w:jc w:val="right"/>
      </w:pPr>
      <w:r>
        <w:rPr>
          <w:rFonts w:ascii="맑은 고딕" w:hAnsi="맑은 고딕" w:eastAsia="맑은 고딕"/>
          <w:b w:val="0"/>
          <w:color w:val="000000"/>
          <w:sz w:val="20"/>
        </w:rPr>
        <w:t>국민대학교 김재준</w:t>
      </w:r>
    </w:p>
    <w:p>
      <w:pPr>
        <w:keepLines/>
        <w:spacing w:after="80" w:before="0" w:line="340" w:lineRule="exact"/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생성형 AI 기반 정책 아이디어 평가체계 연구</w:t>
      </w:r>
    </w:p>
    <w:p>
      <w:pPr>
        <w:keepLines/>
        <w:spacing w:after="200" w:before="0" w:line="340" w:lineRule="exact"/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추진계획(안)</w:t>
      </w:r>
    </w:p>
    <w:p>
      <w:pPr>
        <w:spacing w:before="40" w:after="280"/>
        <w:pBdr>
          <w:bottom w:val="single" w:sz="6" w:color="000000" w:space="1"/>
        </w:pBdr>
      </w:pP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추진 목적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생성형 AI 확산에 따라 서면 진술에 의존하는 공공 평가의 타당성이 흔들리고 있는바, 그 영향의 크기를 실증하고 대응 설계를 제시하고자 함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이를 위해 실제 작동하는 정책 아이디어 평가 시스템을 활용, 2단계 연구를 순차 추진하고자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Ⅰ. 추진 배경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공공 평가의 상당수가 신청자의 서면 진술에 의존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국민제안·공모사업·연구과제 선정 등에서 평가 대상은 제안 내용이나, 실제 심사 근거는 신청자가 작성한 문서임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생성형 AI 확산으로 진술의 질과 내용의 질이 분리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동일한 착상이라도 AI 보조 여부에 따라 진술의 완성도가 달라짐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이 경우 평가는 제안의 질이 아니라 </w:t>
      </w:r>
      <w:r>
        <w:rPr>
          <w:rFonts w:ascii="맑은 고딕" w:hAnsi="맑은 고딕" w:eastAsia="맑은 고딕"/>
          <w:b/>
          <w:color w:val="000000"/>
          <w:sz w:val="22"/>
        </w:rPr>
        <w:t>도구 접근성</w:t>
      </w:r>
      <w:r>
        <w:rPr>
          <w:rFonts w:ascii="맑은 고딕" w:hAnsi="맑은 고딕" w:eastAsia="맑은 고딕"/>
          <w:b w:val="0"/>
          <w:color w:val="000000"/>
          <w:sz w:val="22"/>
        </w:rPr>
        <w:t>을 측정하게 되어, 의도한 구인(構人)을 재지 못하는 문제가 발생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탐지·금지 방식은 대응책이 되기 어려움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AI 생성물 탐지의 정확도가 행정처분의 근거로 쓰일 수준에 이르지 못함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평가 대상이 '사람의 능력'이 아니라 '제안이라는 산출물'인 영역에서는, 금지보다 균등 제공이 정합적일 수 있음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다만 이 주장은 격차의 존재가 실증되어야 성립하는바, 본 연구의 검증 대상임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Ⅱ. 그간의 경과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평가 시스템 구축 완료(연구자 자체 개발)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소크라테스식 12문답으로 제안을 구조화하고, 국가 데이터 4개 통로로 선례를 확인하여 이원 평가하는 웹 시스템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축 A(방어력) — 독창성·실용성·수용태도 3기준, 가중치 35:35:30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축 B(실질 독창성) — 4개 통로 조회 후 선례 계열 판정 및 확신도 부여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검증용 국가 데이터 탑재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1700"/>
        <w:gridCol w:w="3400"/>
        <w:gridCol w:w="2900"/>
      </w:tblGrid>
      <w:tr>
        <w:trPr>
          <w:cantSplit/>
          <w:tblHeader/>
        </w:trPr>
        <w:tc>
          <w:tcPr>
            <w:tcW w:type="dxa" w:w="1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통로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자료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규모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① 재정(집행)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세출예산 사업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14,122개 사업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② 연구(검토)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KDI 발간물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7,362건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③ 입법(시도)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국회 의안(실시간 조회)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열린국회정보 API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 w:val="0"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④ 해외(시행)</w:t>
            </w:r>
          </w:p>
        </w:tc>
        <w:tc>
          <w:tcPr>
            <w:tcW w:type="dxa" w:w="34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OECD OPSI 정책사례</w:t>
            </w:r>
          </w:p>
        </w:tc>
        <w:tc>
          <w:tcPr>
            <w:tcW w:type="dxa" w:w="29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1,015건 · 98개국</w:t>
            </w:r>
          </w:p>
        </w:tc>
      </w:tr>
    </w:tbl>
    <w:p>
      <w:pPr>
        <w:keepLines/>
        <w:spacing w:after="160" w:before="0" w:line="340" w:lineRule="exact"/>
      </w:pP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조회 결과를 </w:t>
      </w:r>
      <w:r>
        <w:rPr>
          <w:rFonts w:ascii="맑은 고딕" w:hAnsi="맑은 고딕" w:eastAsia="맑은 고딕"/>
          <w:b/>
          <w:color w:val="000000"/>
          <w:sz w:val="22"/>
        </w:rPr>
        <w:t>미실행 / 조회 실패 / N건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 셋으로 구분하여, 앞의 둘은 '선례 없음'이 아니라 '확인하지 못함'으로 처리하고 확신도 상향을 제한함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KDI 서버 설치용 배포판 전달 완료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윈도우 서버판(작업 스케줄러 + IIS) 및 설치·운영 안내서 전달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설치 즉시 가동 가능한 상태로, 별도 개발 소요 없음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Ⅲ. 예비 검토 결과 및 문제 인식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예비 검토에서 두 가지가 관찰됨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1)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평가도구 자체의 재현성에 문제 — 동일 대화 로그를 체크리스트로 4회 채점한 결과 합계가 </w:t>
      </w:r>
      <w:r>
        <w:rPr>
          <w:rFonts w:ascii="맑은 고딕" w:hAnsi="맑은 고딕" w:eastAsia="맑은 고딕"/>
          <w:b/>
          <w:color w:val="000000"/>
          <w:sz w:val="22"/>
        </w:rPr>
        <w:t>13~17로 분포</w:t>
      </w:r>
      <w:r>
        <w:rPr>
          <w:rFonts w:ascii="맑은 고딕" w:hAnsi="맑은 고딕" w:eastAsia="맑은 고딕"/>
          <w:b w:val="0"/>
          <w:color w:val="000000"/>
          <w:sz w:val="22"/>
        </w:rPr>
        <w:t>(30점 척도, 평균 15.0)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당초 체크리스트는 '해당 사건이 대화에 있었는가'만 판정하는 기계적 절차로 설계하였고 재현성이 그 설계의 근거였으나, 경험적으로 미성립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2) </w:t>
      </w:r>
      <w:r>
        <w:rPr>
          <w:rFonts w:ascii="맑은 고딕" w:hAnsi="맑은 고딕" w:eastAsia="맑은 고딕"/>
          <w:b w:val="0"/>
          <w:color w:val="000000"/>
          <w:sz w:val="22"/>
        </w:rPr>
        <w:t>동일 아이디어에 대해 AI 보조 조건의 점수가 높았음</w:t>
      </w:r>
      <w:r>
        <w:rPr>
          <w:rFonts w:ascii="맑은 고딕" w:hAnsi="맑은 고딕" w:eastAsia="맑은 고딕"/>
          <w:b/>
          <w:color w:val="000000"/>
          <w:sz w:val="22"/>
        </w:rPr>
        <w:t xml:space="preserve"> (5.2 → 8.0)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다만 이는 n=1쌍의 통제되지 않은 비교로, 두 조건에 서로 다른 질문이 제시되었음. 방향의 시사에 한정되며 크기의 근거로 사용 불가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문제 인식 — 측정과 격차의 선후가 뒤바뀌어 있음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도구의 측정오차를 모르는 상태에서 격차를 보고하면, 그 수치가 실재하는 차이인지 채점 잡음인지 판별할 수 없음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따라서 '격차를 측정하는 연구'가 아니라 '측정도구를 먼저 검증하고, 그 오차를 넘는 격차가 있는지 검정하는 연구'로 설계할 필요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이 문제 인식이 본 계획의 설계 근거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예비 관찰을 연구 결과로 제시하지 아니함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. 본 계획은 위 관찰을 </w:t>
      </w:r>
      <w:r>
        <w:rPr>
          <w:rFonts w:ascii="맑은 고딕" w:hAnsi="맑은 고딕" w:eastAsia="맑은 고딕"/>
          <w:b/>
          <w:color w:val="000000"/>
          <w:sz w:val="22"/>
        </w:rPr>
        <w:t>가설의 지위</w:t>
      </w:r>
      <w:r>
        <w:rPr>
          <w:rFonts w:ascii="맑은 고딕" w:hAnsi="맑은 고딕" w:eastAsia="맑은 고딕"/>
          <w:b w:val="0"/>
          <w:color w:val="000000"/>
          <w:sz w:val="22"/>
        </w:rPr>
        <w:t>로 두고, 통제된 본실험으로 확정하는 것을 과제로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Ⅳ. 추진 방향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(원칙 1) 측정이 먼저, 격차는 그다음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측정오차를 선행 추정하고 판정 임계값을 사전 결정한 뒤 본실험 착수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(원칙 2) 근거의 지위를 문서에 명시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예비 관찰·본실험 결과·모델 지식을 구분하여 표기하고, 확인하지 못한 것은 '없음'이 아니라 '미확인'으로 기재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(원칙 3) 제도 설계는 실증 이후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격차가 확인되지 않으면 제도 개편을 권고하지 아니함. 2단계 연구의 도입 조건이 1단계 결과에 직접 의존하도록 설계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Ⅴ. 세부 추진계획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2단계 순차 추진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1100"/>
        <w:gridCol w:w="3450"/>
        <w:gridCol w:w="3450"/>
      </w:tblGrid>
      <w:tr>
        <w:trPr>
          <w:cantSplit/>
          <w:tblHeader/>
        </w:trPr>
        <w:tc>
          <w:tcPr>
            <w:tcW w:type="dxa" w:w="11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1단계 연구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2단계 연구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과제명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생성형 AI가 공공 평가에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미치는 영향 — 평가도구의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재현성과 도구 격차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국민 정책제안의 검증 병목과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제도 재설계 — 대화형 구조화와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다원 선례검증의 적용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성격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실증 분석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제도 설계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발간(안)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정책연구시리즈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연구보고서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7개월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12개월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착수 요건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 (즉시 착수 가능)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1단계 결과</w:t>
            </w:r>
          </w:p>
        </w:tc>
      </w:tr>
    </w:tbl>
    <w:p>
      <w:pPr>
        <w:keepLines/>
        <w:spacing w:after="160" w:before="0" w:line="340" w:lineRule="exact"/>
      </w:pP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1단계를 선행하여야 함</w:t>
      </w:r>
      <w:r>
        <w:rPr>
          <w:rFonts w:ascii="맑은 고딕" w:hAnsi="맑은 고딕" w:eastAsia="맑은 고딕"/>
          <w:b w:val="0"/>
          <w:color w:val="000000"/>
          <w:sz w:val="22"/>
        </w:rPr>
        <w:t>. 2단계의 도입 조건이 1단계 결과에 의존하는바, 선후를 바꾸면 '재현성이 확인되지 않은 도구를 제도화하자'는 제안이 되어 방어 곤란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자료 수집은 공유</w:t>
      </w:r>
      <w:r>
        <w:rPr>
          <w:rFonts w:ascii="맑은 고딕" w:hAnsi="맑은 고딕" w:eastAsia="맑은 고딕"/>
          <w:b w:val="0"/>
          <w:color w:val="000000"/>
          <w:sz w:val="22"/>
        </w:rPr>
        <w:t>. 1단계 본실험 90세션에 전문가 심사를 병행하면 2단계의 선결 과제(준거 타당도)가 동시에 해결되어, 별도 수집 소요를 절감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1단계 연구 일정 (7개월)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700"/>
        <w:gridCol w:w="7300"/>
      </w:tblGrid>
      <w:tr>
        <w:trPr>
          <w:cantSplit/>
          <w:tblHeader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월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추진 내용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체계적 문헌 검토, 실험 프로토콜 확정, IRB 심의·동의 절차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선행 20세션 — 측정오차 추정 및 판정 임계값 사전 결정,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최소탐지효과(MDE) 산출 및 표본 재조정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응답자 모집(30명), 예비 세션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4~5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본실험 90세션, 반복채점 270회, 명세 고정 재채점 병행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분석 — 신뢰도 추정, 격차 검정, 구성요소 분해, 완화장치 효과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3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보고서 작성</w:t>
            </w:r>
          </w:p>
        </w:tc>
      </w:tr>
    </w:tbl>
    <w:p>
      <w:pPr>
        <w:keepLines/>
        <w:spacing w:after="160" w:before="0" w:line="340" w:lineRule="exact"/>
      </w:pP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2단계 연구 일정 (12개월)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700"/>
        <w:gridCol w:w="7300"/>
      </w:tblGrid>
      <w:tr>
        <w:trPr>
          <w:cantSplit/>
          <w:tblHeader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분기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추진 내용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접수·처리 통계 확보, 현행 제도 분석, IRB 심의, 면접 설계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담당자 면접(15~20인), 병목 가설 검증, 재현성·준거타당도 측정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3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국제 비교, 처리 절차 설계 확정, 총소유비용 추계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3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파일럿 설계, 법·제도 정비안 도출, 보고서 작성</w:t>
            </w:r>
          </w:p>
        </w:tc>
      </w:tr>
    </w:tbl>
    <w:p>
      <w:pPr>
        <w:keepLines/>
        <w:spacing w:after="160" w:before="0" w:line="340" w:lineRule="exact"/>
      </w:pP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Ⅵ. 소요 및 행정사항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투입(안)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1200"/>
        <w:gridCol w:w="3400"/>
        <w:gridCol w:w="3400"/>
      </w:tblGrid>
      <w:tr>
        <w:trPr>
          <w:cantSplit/>
          <w:tblHeader/>
        </w:trPr>
        <w:tc>
          <w:tcPr>
            <w:tcW w:type="dxa" w:w="12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1단계 (7개월)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2단계 (12개월)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연구 인력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책임연구원 1, 연구원 1,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연구조원 1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책임연구원 1, 연구원 2,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연구조원 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외부 자문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측정·평가 1, 정책 실무자 1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행정법 1, 측정·평가 1,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제안제도 실무자 2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조사·심사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응답자 30명 사례비</w:t>
            </w:r>
          </w:p>
        </w:tc>
        <w:tc>
          <w:tcPr>
            <w:tcW w:type="dxa" w:w="34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담당자 면접 사례비,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전문가 심사 3인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keepNext w:val="0"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전산</w:t>
            </w:r>
          </w:p>
        </w:tc>
        <w:tc>
          <w:tcPr>
            <w:tcW w:type="dxa" w:w="34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모델 호출 비용</w:t>
            </w:r>
          </w:p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(270회 채점 + 세션 진행)</w:t>
            </w:r>
          </w:p>
        </w:tc>
        <w:tc>
          <w:tcPr>
            <w:tcW w:type="dxa" w:w="34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모델 호출 비용,</w:t>
            </w:r>
          </w:p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코퍼스 갱신</w:t>
            </w:r>
          </w:p>
        </w:tc>
      </w:tr>
    </w:tbl>
    <w:p>
      <w:pPr>
        <w:keepLines/>
        <w:spacing w:after="160" w:before="0" w:line="340" w:lineRule="exact"/>
      </w:pP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구체 금액은 기관 기준 단가 확정 후 산정 예정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시스템 개발비는 불요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 — 평가 시스템과 검증용 코퍼스가 이미 구축되어 있으며, 서버 설치 자료도 전달 완료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사전 조치 필요사항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(연구윤리) 사람 대상 실험인바 IRB 심의 선행 필요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(개인정보) 문답 이력에 개인정보가 포함될 수 있어, 수집·보관·파기 절차 사전 확정 필요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(전산) 서버 설치 시 api.anthropic.com 외부 통신 허용 필요. 미허용 시 시스템 전체가 작동하지 않음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(자료 협조) 2단계 착수를 위해서는 국민제안 접수·처리 통계 확보가 선결 조건임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Ⅶ. 기대효과 및 한계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기대효과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(측정) 공공 평가도구의 재현성을 실측한 수치를 제시, 향후 평가체계 설계의 기준점 제공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(정책) AI 시대 공공 평가의 대응 원칙 — 탐지·금지 대 균등 제공 — 에 대해 실증에 근거한 판단 근거 제시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(제도) 국민제안 처리 병목에 대한 구체적 절차 설계안과 도입 로드맵 도출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(자산) 평가 시스템과 국가 데이터 코퍼스가 연구 종료 후에도 기관 자산으로 잔존, 후속 연구에 재사용 가능</w:t>
      </w:r>
    </w:p>
    <w:p>
      <w:pPr>
        <w:keepNext/>
        <w:keepLines/>
        <w:spacing w:after="100" w:before="160" w:line="340" w:lineRule="exact"/>
        <w:ind w:firstLine="0"/>
      </w:pPr>
      <w:r>
        <w:rPr>
          <w:rFonts w:ascii="맑은 고딕" w:hAnsi="맑은 고딕" w:eastAsia="맑은 고딕"/>
          <w:b/>
          <w:color w:val="000000"/>
          <w:sz w:val="22"/>
        </w:rPr>
        <w:t>□ 한계 및 유의사항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예비 관찰은 확정된 결과가 아님</w:t>
      </w:r>
      <w:r>
        <w:rPr>
          <w:rFonts w:ascii="맑은 고딕" w:hAnsi="맑은 고딕" w:eastAsia="맑은 고딕"/>
          <w:b w:val="0"/>
          <w:color w:val="000000"/>
          <w:sz w:val="22"/>
        </w:rPr>
        <w:t>. 관찰 2는 n=1쌍의 통제되지 않은 비교로, 본실험에서 재현되지 않을 가능성을 배제할 수 없음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본 계획의 정책 권고는 격차의 존재가 1단계에서 확인되는 것을 전제로 함. 확인되지 않을 경우 권고 내용을 조정하여야 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문답 생성·채점·판정에 동일 계열 모델이 사용되는 구조적 순환이 있는바, 전문가 심사를 준거로 병행하여 완화할 계획임</w:t>
      </w:r>
    </w:p>
    <w:p>
      <w:pPr>
        <w:spacing w:before="40" w:after="160"/>
        <w:pBdr>
          <w:bottom w:val="single" w:sz="6" w:color="000000" w:space="1"/>
        </w:pBdr>
      </w:pPr>
    </w:p>
    <w:p>
      <w:pPr>
        <w:keepLines/>
        <w:spacing w:after="40" w:before="0" w:line="340" w:lineRule="exact"/>
      </w:pPr>
      <w:r>
        <w:rPr>
          <w:rFonts w:ascii="맑은 고딕" w:hAnsi="맑은 고딕" w:eastAsia="맑은 고딕"/>
          <w:b w:val="0"/>
          <w:color w:val="000000"/>
          <w:sz w:val="20"/>
        </w:rPr>
        <w:t>붙임  1. 정책 아이디어 평가 시스템 설치·운영 안내서 1부.</w:t>
      </w:r>
    </w:p>
    <w:p>
      <w:pPr>
        <w:keepLines/>
        <w:spacing w:after="80" w:before="0" w:line="340" w:lineRule="exact"/>
      </w:pPr>
      <w:r>
        <w:rPr>
          <w:rFonts w:ascii="맑은 고딕" w:hAnsi="맑은 고딕" w:eastAsia="맑은 고딕"/>
          <w:b w:val="0"/>
          <w:color w:val="000000"/>
          <w:sz w:val="20"/>
        </w:rPr>
        <w:t xml:space="preserve">      2. 연구 초안(연구 1·2) 1부.  끝.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8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