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after="120" w:before="0" w:line="340" w:lineRule="exact"/>
        <w:jc w:val="center"/>
      </w:pPr>
      <w:r>
        <w:rPr>
          <w:rFonts w:ascii="맑은 고딕" w:hAnsi="맑은 고딕" w:eastAsia="맑은 고딕"/>
          <w:b w:val="0"/>
          <w:color w:val="000000"/>
          <w:sz w:val="20"/>
        </w:rPr>
        <w:t>AI 활용 정책 아이디어 평가체계 연구</w:t>
      </w:r>
    </w:p>
    <w:p>
      <w:pPr>
        <w:keepLines/>
        <w:spacing w:after="160" w:before="0" w:line="340" w:lineRule="exact"/>
        <w:jc w:val="center"/>
      </w:pPr>
      <w:r>
        <w:rPr>
          <w:rFonts w:ascii="맑은 고딕" w:hAnsi="맑은 고딕" w:eastAsia="맑은 고딕"/>
          <w:b/>
          <w:color w:val="000000"/>
          <w:sz w:val="30"/>
        </w:rPr>
        <w:t>연구 참여 계획서</w:t>
      </w:r>
    </w:p>
    <w:p>
      <w:pPr>
        <w:keepLines/>
        <w:spacing w:after="320" w:before="0" w:line="340" w:lineRule="exact"/>
        <w:jc w:val="center"/>
      </w:pPr>
      <w:r>
        <w:rPr>
          <w:rFonts w:ascii="맑은 고딕" w:hAnsi="맑은 고딕" w:eastAsia="맑은 고딕"/>
          <w:b w:val="0"/>
          <w:color w:val="000000"/>
          <w:sz w:val="22"/>
        </w:rPr>
        <w:t>— 참여 연구자로서 맡고자 하는 세 가지 역할 —</w:t>
      </w:r>
    </w:p>
    <w:p>
      <w:pPr>
        <w:keepLines/>
        <w:spacing w:after="40" w:before="0" w:line="340" w:lineRule="exact"/>
        <w:jc w:val="right"/>
      </w:pPr>
      <w:r>
        <w:rPr>
          <w:rFonts w:ascii="맑은 고딕" w:hAnsi="맑은 고딕" w:eastAsia="맑은 고딕"/>
          <w:b w:val="0"/>
          <w:color w:val="000000"/>
          <w:sz w:val="22"/>
        </w:rPr>
        <w:t>국민대학교  김재준</w:t>
      </w:r>
    </w:p>
    <w:p>
      <w:pPr>
        <w:keepLines/>
        <w:spacing w:after="240" w:before="0" w:line="340" w:lineRule="exact"/>
        <w:jc w:val="right"/>
      </w:pPr>
      <w:r>
        <w:rPr>
          <w:rFonts w:ascii="맑은 고딕" w:hAnsi="맑은 고딕" w:eastAsia="맑은 고딕"/>
          <w:b w:val="0"/>
          <w:color w:val="000000"/>
          <w:sz w:val="20"/>
        </w:rPr>
        <w:t>joyof15@gmail.com</w:t>
      </w:r>
    </w:p>
    <w:p>
      <w:pPr>
        <w:spacing w:before="40" w:after="280"/>
        <w:pBdr>
          <w:bottom w:val="single" w:sz="6" w:color="000000" w:space="1"/>
        </w:pBdr>
      </w:pP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제안의 요지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KDI 가 수행할 본 연구에 참여 연구자로 참가하고자 함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맡을 수 있는 역할은 셋이며, 앞의 둘은 이미 만들어 둔 결과물이 근거가 되고 셋째는 이 연구에 이론 축을 더하는 일임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 w:space="0"/>
          <w:bottom w:val="single" w:sz="6" w:color="000000" w:space="0"/>
          <w:left w:val="single" w:sz="4" w:color="000000" w:space="0"/>
          <w:right w:val="single" w:sz="4" w:color="000000" w:space="0"/>
          <w:insideH w:val="single" w:sz="2" w:color="000000" w:space="0"/>
          <w:insideV w:val="single" w:sz="2" w:color="000000" w:space="0"/>
        </w:tblBorders>
      </w:tblPr>
      <w:tblGrid>
        <w:gridCol w:w="500"/>
        <w:gridCol w:w="2800"/>
        <w:gridCol w:w="4700"/>
      </w:tblGrid>
      <w:tr>
        <w:trPr>
          <w:cantSplit/>
          <w:tblHeader/>
        </w:trPr>
        <w:tc>
          <w:tcPr>
            <w:tcW w:type="dxa" w:w="500"/>
          </w:tcPr>
          <w:p>
            <w:pPr>
              <w:keepNext/>
              <w:spacing w:after="20" w:before="20" w:line="28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</w:r>
          </w:p>
        </w:tc>
        <w:tc>
          <w:tcPr>
            <w:tcW w:type="dxa" w:w="2800"/>
          </w:tcPr>
          <w:p>
            <w:pPr>
              <w:keepNext/>
              <w:spacing w:after="20" w:before="20" w:line="28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역할</w:t>
            </w:r>
          </w:p>
        </w:tc>
        <w:tc>
          <w:tcPr>
            <w:tcW w:type="dxa" w:w="4700"/>
          </w:tcPr>
          <w:p>
            <w:pPr>
              <w:keepNext/>
              <w:spacing w:after="20" w:before="20" w:line="28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근거 · 형태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28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평가체계 설계 자문</w:t>
            </w:r>
          </w:p>
        </w:tc>
        <w:tc>
          <w:tcPr>
            <w:tcW w:type="dxa" w:w="47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작동하는 시스템을 설계·구현하고</w:t>
            </w:r>
          </w:p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예비 검토까지 마친 경험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28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구현 — 일부 프로그래밍</w:t>
            </w:r>
          </w:p>
        </w:tc>
        <w:tc>
          <w:tcPr>
            <w:tcW w:type="dxa" w:w="47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문답·채점 엔진, 선례 판정기,</w:t>
            </w:r>
          </w:p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검증 코퍼스를 직접 제작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keepNext w:val="0"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2800"/>
          </w:tcPr>
          <w:p>
            <w:pPr>
              <w:keepNext w:val="0"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아이디어 내생 성장론 관점의 보고서</w:t>
            </w:r>
          </w:p>
        </w:tc>
        <w:tc>
          <w:tcPr>
            <w:tcW w:type="dxa" w:w="4700"/>
          </w:tcPr>
          <w:p>
            <w:pPr>
              <w:keepNext w:val="0"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정책제안 선별을 성장이론의</w:t>
            </w:r>
          </w:p>
          <w:p>
            <w:pPr>
              <w:keepNext w:val="0"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문제로 다시 세우는 시론</w:t>
            </w:r>
          </w:p>
        </w:tc>
      </w:tr>
    </w:tbl>
    <w:p>
      <w:pPr>
        <w:keepLines/>
        <w:spacing w:after="160" w:before="0" w:line="340" w:lineRule="exact"/>
      </w:pPr>
    </w:p>
    <w:p>
      <w:pPr>
        <w:keepLines/>
        <w:spacing w:after="16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/>
          <w:color w:val="000000"/>
          <w:sz w:val="22"/>
        </w:rPr>
        <w:t>셋째가 이 제안의 핵심</w:t>
      </w:r>
      <w:r>
        <w:rPr>
          <w:rFonts w:ascii="맑은 고딕" w:hAnsi="맑은 고딕" w:eastAsia="맑은 고딕"/>
          <w:b w:val="0"/>
          <w:color w:val="000000"/>
          <w:sz w:val="22"/>
        </w:rPr>
        <w:t>임. 앞의 둘은 연구를 굴러가게 하는 일이고, 셋째는 이 연구가 왜 경제 연구기관에서 수행되어야 하는지를 답하는 일임</w:t>
      </w:r>
    </w:p>
    <w:p>
      <w:pPr>
        <w:keepNext/>
        <w:keepLines/>
        <w:spacing w:after="160" w:before="360" w:line="340" w:lineRule="exact"/>
      </w:pPr>
      <w:r>
        <w:rPr>
          <w:rFonts w:ascii="맑은 고딕" w:hAnsi="맑은 고딕" w:eastAsia="맑은 고딕"/>
          <w:b/>
          <w:color w:val="000000"/>
          <w:sz w:val="24"/>
        </w:rPr>
        <w:t>Ⅰ. 이 연구를 보는 관점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평가체계 연구로만 두면 도구 개선에 그침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측정 신뢰도와 도구 격차는 그 자체로 중요한 주제이나, 평가 방법론의 문제로 한정하면 산출이 '더 나은 채점표'에 머무름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정책제안의 선별은 성장의 문제이기도 함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내생 성장론은 아이디어를 성장의 동력으로 봄. 다만 그 논의는 아이디어의 </w:t>
      </w:r>
      <w:r>
        <w:rPr>
          <w:rFonts w:ascii="맑은 고딕" w:hAnsi="맑은 고딕" w:eastAsia="맑은 고딕"/>
          <w:b/>
          <w:color w:val="000000"/>
          <w:sz w:val="22"/>
        </w:rPr>
        <w:t>생산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에 집중해 왔고, 생산된 아이디어 가운데 무엇을 실행할지 고르는 </w:t>
      </w:r>
      <w:r>
        <w:rPr>
          <w:rFonts w:ascii="맑은 고딕" w:hAnsi="맑은 고딕" w:eastAsia="맑은 고딕"/>
          <w:b/>
          <w:color w:val="000000"/>
          <w:sz w:val="22"/>
        </w:rPr>
        <w:t>선별</w:t>
      </w:r>
      <w:r>
        <w:rPr>
          <w:rFonts w:ascii="맑은 고딕" w:hAnsi="맑은 고딕" w:eastAsia="맑은 고딕"/>
          <w:b w:val="0"/>
          <w:color w:val="000000"/>
          <w:sz w:val="22"/>
        </w:rPr>
        <w:t>은 대체로 무비용·무오차로 가정되어 왔다고 봄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국민제안 제도는 아이디어 투입을 늘리는 장치이나, 선별 용량이 따라가지 못하면 투입 증가가 산출로 이어지지 않음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이 연구가 다루는 것이 바로 선별 용량임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평가 시스템은 선별 비용을 낮추는 기술이고, 측정 재현성 문제는 선별이 잡음을 포함한다는 증거이며, 도구 격차는 선별 기준이 아이디어의 질에서 진술 능력으로 옮겨 가는 현상임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세 가지 모두 </w:t>
      </w:r>
      <w:r>
        <w:rPr>
          <w:rFonts w:ascii="맑은 고딕" w:hAnsi="맑은 고딕" w:eastAsia="맑은 고딕"/>
          <w:b/>
          <w:color w:val="000000"/>
          <w:sz w:val="22"/>
        </w:rPr>
        <w:t>성장의 언어로 다시 쓸 수 있다</w:t>
      </w:r>
      <w:r>
        <w:rPr>
          <w:rFonts w:ascii="맑은 고딕" w:hAnsi="맑은 고딕" w:eastAsia="맑은 고딕"/>
          <w:b w:val="0"/>
          <w:color w:val="000000"/>
          <w:sz w:val="22"/>
        </w:rPr>
        <w:t>고 보며, 그 작업을 맡고자 함</w:t>
      </w:r>
    </w:p>
    <w:p>
      <w:pPr>
        <w:keepNext/>
        <w:keepLines/>
        <w:spacing w:after="160" w:before="360" w:line="340" w:lineRule="exact"/>
      </w:pPr>
      <w:r>
        <w:rPr>
          <w:rFonts w:ascii="맑은 고딕" w:hAnsi="맑은 고딕" w:eastAsia="맑은 고딕"/>
          <w:b/>
          <w:color w:val="000000"/>
          <w:sz w:val="24"/>
        </w:rPr>
        <w:t>Ⅱ. 참여의 근거 — 이미 만들어 둔 것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작동하는 평가 시스템 일체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소크라테스식 12문답으로 제안을 구조화하고, 국가 데이터 네 통로로 선례를 확인하여 이원 평가하는 웹 시스템</w:t>
      </w:r>
    </w:p>
    <w:p>
      <w:pPr>
        <w:keepLines/>
        <w:spacing w:after="60" w:before="0" w:line="340" w:lineRule="exact"/>
        <w:ind w:left="709" w:hanging="238"/>
      </w:pPr>
      <w:r>
        <w:rPr>
          <w:rFonts w:ascii="맑은 고딕" w:hAnsi="맑은 고딕" w:eastAsia="맑은 고딕"/>
          <w:b w:val="0"/>
          <w:color w:val="000000"/>
          <w:sz w:val="20"/>
        </w:rPr>
        <w:t>- 축 A(방어력) — 체크리스트 채점과 종합판단 채점을 분리. 둘의 괴리가 크면 낮은 쪽을 채택하는 규칙</w:t>
      </w:r>
    </w:p>
    <w:p>
      <w:pPr>
        <w:keepLines/>
        <w:spacing w:after="60" w:before="0" w:line="340" w:lineRule="exact"/>
        <w:ind w:left="709" w:hanging="238"/>
      </w:pPr>
      <w:r>
        <w:rPr>
          <w:rFonts w:ascii="맑은 고딕" w:hAnsi="맑은 고딕" w:eastAsia="맑은 고딕"/>
          <w:b w:val="0"/>
          <w:color w:val="000000"/>
          <w:sz w:val="20"/>
        </w:rPr>
        <w:t>- 축 B(실질 독창성) — 점수를 매기지 않고 선례 계열과 확신도로만 답함</w:t>
      </w:r>
    </w:p>
    <w:p>
      <w:pPr>
        <w:keepLines/>
        <w:spacing w:after="60" w:before="0" w:line="340" w:lineRule="exact"/>
        <w:ind w:left="709" w:hanging="238"/>
      </w:pPr>
      <w:r>
        <w:rPr>
          <w:rFonts w:ascii="맑은 고딕" w:hAnsi="맑은 고딕" w:eastAsia="맑은 고딕"/>
          <w:b w:val="0"/>
          <w:color w:val="000000"/>
          <w:sz w:val="20"/>
        </w:rPr>
        <w:t>- 설계·구현·시험을 모두 직접 수행하였으므로, 왜 그렇게 만들었고 어디가 약한지를 함께 설명할 수 있음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검증용 국가 데이터 코퍼스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 w:space="0"/>
          <w:bottom w:val="single" w:sz="6" w:color="000000" w:space="0"/>
          <w:left w:val="single" w:sz="4" w:color="000000" w:space="0"/>
          <w:right w:val="single" w:sz="4" w:color="000000" w:space="0"/>
          <w:insideH w:val="single" w:sz="2" w:color="000000" w:space="0"/>
          <w:insideV w:val="single" w:sz="2" w:color="000000" w:space="0"/>
        </w:tblBorders>
      </w:tblPr>
      <w:tblGrid>
        <w:gridCol w:w="1600"/>
        <w:gridCol w:w="3500"/>
        <w:gridCol w:w="2900"/>
      </w:tblGrid>
      <w:tr>
        <w:trPr>
          <w:cantSplit/>
          <w:tblHeader/>
        </w:trPr>
        <w:tc>
          <w:tcPr>
            <w:tcW w:type="dxa" w:w="1600"/>
          </w:tcPr>
          <w:p>
            <w:pPr>
              <w:keepNext/>
              <w:spacing w:after="20" w:before="20" w:line="28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통로</w:t>
            </w:r>
          </w:p>
        </w:tc>
        <w:tc>
          <w:tcPr>
            <w:tcW w:type="dxa" w:w="3500"/>
          </w:tcPr>
          <w:p>
            <w:pPr>
              <w:keepNext/>
              <w:spacing w:after="20" w:before="20" w:line="28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자료</w:t>
            </w:r>
          </w:p>
        </w:tc>
        <w:tc>
          <w:tcPr>
            <w:tcW w:type="dxa" w:w="2900"/>
          </w:tcPr>
          <w:p>
            <w:pPr>
              <w:keepNext/>
              <w:spacing w:after="20" w:before="20" w:line="28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규모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① 재정(집행)</w:t>
            </w:r>
          </w:p>
        </w:tc>
        <w:tc>
          <w:tcPr>
            <w:tcW w:type="dxa" w:w="35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세출예산 사업</w:t>
            </w:r>
          </w:p>
        </w:tc>
        <w:tc>
          <w:tcPr>
            <w:tcW w:type="dxa" w:w="29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14,122개 사업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② 연구(검토)</w:t>
            </w:r>
          </w:p>
        </w:tc>
        <w:tc>
          <w:tcPr>
            <w:tcW w:type="dxa" w:w="35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KDI 발간물</w:t>
            </w:r>
          </w:p>
        </w:tc>
        <w:tc>
          <w:tcPr>
            <w:tcW w:type="dxa" w:w="29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7,362건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③ 입법(시도)</w:t>
            </w:r>
          </w:p>
        </w:tc>
        <w:tc>
          <w:tcPr>
            <w:tcW w:type="dxa" w:w="35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국회 의안</w:t>
            </w:r>
          </w:p>
        </w:tc>
        <w:tc>
          <w:tcPr>
            <w:tcW w:type="dxa" w:w="2900"/>
          </w:tcPr>
          <w:p>
            <w:pPr>
              <w:keepNext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열린국회정보 실시간 조회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keepNext w:val="0"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④ 해외(시행)</w:t>
            </w:r>
          </w:p>
        </w:tc>
        <w:tc>
          <w:tcPr>
            <w:tcW w:type="dxa" w:w="3500"/>
          </w:tcPr>
          <w:p>
            <w:pPr>
              <w:keepNext w:val="0"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OECD OPSI 정책사례</w:t>
            </w:r>
          </w:p>
        </w:tc>
        <w:tc>
          <w:tcPr>
            <w:tcW w:type="dxa" w:w="2900"/>
          </w:tcPr>
          <w:p>
            <w:pPr>
              <w:keepNext w:val="0"/>
              <w:spacing w:after="20" w:before="20" w:line="280" w:lineRule="exac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1,015건 · 98개국</w:t>
            </w:r>
          </w:p>
        </w:tc>
      </w:tr>
    </w:tbl>
    <w:p>
      <w:pPr>
        <w:keepLines/>
        <w:spacing w:after="160" w:before="0" w:line="340" w:lineRule="exact"/>
      </w:pP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조회 결과를 </w:t>
      </w:r>
      <w:r>
        <w:rPr>
          <w:rFonts w:ascii="맑은 고딕" w:hAnsi="맑은 고딕" w:eastAsia="맑은 고딕"/>
          <w:b/>
          <w:color w:val="000000"/>
          <w:sz w:val="22"/>
        </w:rPr>
        <w:t>미실행 / 조회 실패 / N건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 셋으로 구분하도록 설계함. '못 찾은 것'을 '없는 것'으로 읽는 오류를 자료 구조 수준에서 막은 것이며, 이 구분이 선별의 신뢰도를 논하는 근거가 됨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예비 검토 결과 — 연구 질문의 출발점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동일 로그를 4회 채점한 결과 합계가 </w:t>
      </w:r>
      <w:r>
        <w:rPr>
          <w:rFonts w:ascii="맑은 고딕" w:hAnsi="맑은 고딕" w:eastAsia="맑은 고딕"/>
          <w:b/>
          <w:color w:val="000000"/>
          <w:sz w:val="22"/>
        </w:rPr>
        <w:t>13~17로 분포</w:t>
      </w:r>
      <w:r>
        <w:rPr>
          <w:rFonts w:ascii="맑은 고딕" w:hAnsi="맑은 고딕" w:eastAsia="맑은 고딕"/>
          <w:b w:val="0"/>
          <w:color w:val="000000"/>
          <w:sz w:val="22"/>
        </w:rPr>
        <w:t>함 (30점 척도)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AI 보조 조건의 점수가 높았으나 </w:t>
      </w:r>
      <w:r>
        <w:rPr>
          <w:rFonts w:ascii="맑은 고딕" w:hAnsi="맑은 고딕" w:eastAsia="맑은 고딕"/>
          <w:b/>
          <w:color w:val="000000"/>
          <w:sz w:val="22"/>
        </w:rPr>
        <w:t>n=1쌍</w:t>
      </w:r>
      <w:r>
        <w:rPr>
          <w:rFonts w:ascii="맑은 고딕" w:hAnsi="맑은 고딕" w:eastAsia="맑은 고딕"/>
          <w:b w:val="0"/>
          <w:color w:val="000000"/>
          <w:sz w:val="22"/>
        </w:rPr>
        <w:t>의 통제되지 않은 비교로, 방향의 시사에 한정됨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격차의 대부분이 체크리스트에서 발생하고 종합판단에서는 거의 발생하지 않았음. 분량 가설은 지지되지 않았음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기관 서버에 설치 가능한 상태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윈도우 서버판과 설치·운영 안내서를 정리하여 전달하였으며, 설치 즉시 다수 참여자 대상 자료 수집이 가능함</w:t>
      </w:r>
    </w:p>
    <w:p>
      <w:pPr>
        <w:keepNext/>
        <w:keepLines/>
        <w:spacing w:after="160" w:before="360" w:line="340" w:lineRule="exact"/>
      </w:pPr>
      <w:r>
        <w:rPr>
          <w:rFonts w:ascii="맑은 고딕" w:hAnsi="맑은 고딕" w:eastAsia="맑은 고딕"/>
          <w:b/>
          <w:color w:val="000000"/>
          <w:sz w:val="24"/>
        </w:rPr>
        <w:t>Ⅲ. 맡고자 하는 역할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역할 1 — 평가체계 설계 자문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문답 설계, 채점 기준, 선례 판정 규칙에 대한 설계 근거와 대안 제시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실험 설계 단계에서 측정오차 추정 절차와 임계값 사전 결정 방식에 대한 의견 제시</w:t>
      </w:r>
    </w:p>
    <w:p>
      <w:pPr>
        <w:keepLines/>
        <w:spacing w:after="60" w:before="0" w:line="340" w:lineRule="exact"/>
        <w:ind w:left="709" w:hanging="238"/>
      </w:pPr>
      <w:r>
        <w:rPr>
          <w:rFonts w:ascii="맑은 고딕" w:hAnsi="맑은 고딕" w:eastAsia="맑은 고딕"/>
          <w:b w:val="0"/>
          <w:color w:val="000000"/>
          <w:sz w:val="20"/>
        </w:rPr>
        <w:t>- 무엇을 만들 수 있는가보다 무엇이 안 되는지를 아는 쪽이 자문의 값이라 보며, 예비 검토에서 스스로 확인한 실패가 그 자산임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역할 2 — 구현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현행 시스템의 수정·확장. 실험 조건 분기, 반복채점 자동화, 자료 추출 도구 등 연구 수행에 필요한 부분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KDI 연구진이 설계를 정하면 그것을 돌아가는 형태로 만드는 일을 맡고자 함</w:t>
      </w:r>
    </w:p>
    <w:p>
      <w:pPr>
        <w:keepLines/>
        <w:spacing w:after="60" w:before="0" w:line="340" w:lineRule="exact"/>
        <w:ind w:left="709" w:hanging="238"/>
      </w:pPr>
      <w:r>
        <w:rPr>
          <w:rFonts w:ascii="맑은 고딕" w:hAnsi="맑은 고딕" w:eastAsia="맑은 고딕"/>
          <w:b w:val="0"/>
          <w:color w:val="000000"/>
          <w:sz w:val="20"/>
        </w:rPr>
        <w:t>- 전체 개발을 맡겠다는 뜻이 아니며, 이미 있는 코드를 아는 사람이 손대는 편이 빠른 범위에 한정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역할 3 — 아이디어 내생 성장론 관점의 보고서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본 연구의 실증 결과를 성장이론의 틀에서 해석하는 별도 보고서 집필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다음 장에 구상을 적음. 이 역할이 </w:t>
      </w:r>
      <w:r>
        <w:rPr>
          <w:rFonts w:ascii="맑은 고딕" w:hAnsi="맑은 고딕" w:eastAsia="맑은 고딕"/>
          <w:b/>
          <w:color w:val="000000"/>
          <w:sz w:val="22"/>
        </w:rPr>
        <w:t>앞의 둘과 성격이 다르므로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 지면을 나누어 설명함</w:t>
      </w:r>
    </w:p>
    <w:p>
      <w:pPr>
        <w:keepNext/>
        <w:keepLines/>
        <w:spacing w:after="160" w:before="360" w:line="340" w:lineRule="exact"/>
      </w:pPr>
      <w:r>
        <w:rPr>
          <w:rFonts w:ascii="맑은 고딕" w:hAnsi="맑은 고딕" w:eastAsia="맑은 고딕"/>
          <w:b/>
          <w:color w:val="000000"/>
          <w:sz w:val="24"/>
        </w:rPr>
        <w:t>Ⅳ. 세 번째 역할의 구상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출발 질문 — 아이디어는 정말 찾기 어려워졌는가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연구생산성 하락, 곧 같은 투입으로 얻는 아이디어가 줄고 있다는 관찰은 성장 문헌의 오랜 논점임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이를 뒤집어 물을 수 있다고 봄 — </w:t>
      </w:r>
      <w:r>
        <w:rPr>
          <w:rFonts w:ascii="맑은 고딕" w:hAnsi="맑은 고딕" w:eastAsia="맑은 고딕"/>
          <w:b/>
          <w:color w:val="000000"/>
          <w:sz w:val="22"/>
        </w:rPr>
        <w:t>찾기 어려워진 것인가, 찾아 놓고 알아보지 못한 것인가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아이디어의 비경합성은 '인지된 뒤'의 성질임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아이디어가 비경합적이어서 한 번 발견되면 모두가 쓸 수 있다는 명제는, 그 아이디어가 발견되고 인지된 다음에 성립함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제안되었으나 선별되지 못한 아이디어는 </w:t>
      </w:r>
      <w:r>
        <w:rPr>
          <w:rFonts w:ascii="맑은 고딕" w:hAnsi="맑은 고딕" w:eastAsia="맑은 고딕"/>
          <w:b/>
          <w:color w:val="000000"/>
          <w:sz w:val="22"/>
        </w:rPr>
        <w:t>사회적으로 존재하지 않는 것과 같음</w:t>
      </w:r>
      <w:r>
        <w:rPr>
          <w:rFonts w:ascii="맑은 고딕" w:hAnsi="맑은 고딕" w:eastAsia="맑은 고딕"/>
          <w:b w:val="0"/>
          <w:color w:val="000000"/>
          <w:sz w:val="22"/>
        </w:rPr>
        <w:t>. 이 구간이 성장 모형에서 거의 다루어지지 않았다고 봄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선별을 생산함수에 넣어 보는 시론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아이디어 스톡의 증가를 '생산된 아이디어 × 선별 통과율'로 분해하고, 선별 통과율을 검증 용량과 선별 정확도의 함수로 두는 단순한 확장을 시도하고자 함</w:t>
      </w:r>
    </w:p>
    <w:p>
      <w:pPr>
        <w:keepLines/>
        <w:spacing w:after="60" w:before="0" w:line="340" w:lineRule="exact"/>
        <w:ind w:left="709" w:hanging="238"/>
      </w:pPr>
      <w:r>
        <w:rPr>
          <w:rFonts w:ascii="맑은 고딕" w:hAnsi="맑은 고딕" w:eastAsia="맑은 고딕"/>
          <w:b w:val="0"/>
          <w:color w:val="000000"/>
          <w:sz w:val="20"/>
        </w:rPr>
        <w:t>- 검증 용량 — 담당 인력이 기간 내 처리할 수 있는 건수</w:t>
      </w:r>
    </w:p>
    <w:p>
      <w:pPr>
        <w:keepLines/>
        <w:spacing w:after="60" w:before="0" w:line="340" w:lineRule="exact"/>
        <w:ind w:left="709" w:hanging="238"/>
      </w:pPr>
      <w:r>
        <w:rPr>
          <w:rFonts w:ascii="맑은 고딕" w:hAnsi="맑은 고딕" w:eastAsia="맑은 고딕"/>
          <w:b w:val="0"/>
          <w:color w:val="000000"/>
          <w:sz w:val="20"/>
        </w:rPr>
        <w:t>- 선별 정확도 — 좋은 제안을 통과시키고 나쁜 제안을 거르는 정도. 본 연구의 측정 재현성이 바로 이 값의 상한을 규정함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이 틀에서 보면 </w:t>
      </w:r>
      <w:r>
        <w:rPr>
          <w:rFonts w:ascii="맑은 고딕" w:hAnsi="맑은 고딕" w:eastAsia="맑은 고딕"/>
          <w:b/>
          <w:color w:val="000000"/>
          <w:sz w:val="22"/>
        </w:rPr>
        <w:t>측정 신뢰도는 방법론 문제가 아니라 성장의 파라미터</w:t>
      </w:r>
      <w:r>
        <w:rPr>
          <w:rFonts w:ascii="맑은 고딕" w:hAnsi="맑은 고딕" w:eastAsia="맑은 고딕"/>
          <w:b w:val="0"/>
          <w:color w:val="000000"/>
          <w:sz w:val="22"/>
        </w:rPr>
        <w:t>가 됨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도구 격차를 배분의 왜곡으로 다시 씀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진술 능력이 선별을 좌우하면, 선별 기준은 아이디어의 질이 아니라 진술 자본이 됨. 이는 아이디어 배분의 왜곡이며 사회적 손실로 계산될 수 있음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생성형 AI 는 이 왜곡을 </w:t>
      </w:r>
      <w:r>
        <w:rPr>
          <w:rFonts w:ascii="맑은 고딕" w:hAnsi="맑은 고딕" w:eastAsia="맑은 고딕"/>
          <w:b/>
          <w:color w:val="000000"/>
          <w:sz w:val="22"/>
        </w:rPr>
        <w:t>키울 수도 줄일 수도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 있음 — 금지하면 접근 가능한 소수에게만 남아 왜곡이 커지고, 균등 제공하면 진술 자본의 차이가 상쇄되어 줄어듦</w:t>
      </w:r>
    </w:p>
    <w:p>
      <w:pPr>
        <w:keepLines/>
        <w:spacing w:after="60" w:before="0" w:line="340" w:lineRule="exact"/>
        <w:ind w:left="709" w:hanging="238"/>
      </w:pPr>
      <w:r>
        <w:rPr>
          <w:rFonts w:ascii="맑은 고딕" w:hAnsi="맑은 고딕" w:eastAsia="맑은 고딕"/>
          <w:b w:val="0"/>
          <w:color w:val="000000"/>
          <w:sz w:val="20"/>
        </w:rPr>
        <w:t>- 탐지·금지 대 균등 제공의 선택이 윤리 문제가 아니라 배분 효율의 문제로 다시 놓임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정책 함의 — 투자가 한쪽에만 가 있음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R&amp;D 보조금은 아이디어 생산에 투자하나, 선별 용량에 대한 투자는 거의 논의되지 않음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국민제안 제도가 그 예로, 접수는 대량이나 검증은 소수 담당자의 수작업에 의존함. 생산 측 투자만 늘리면 병목이 더 조여짐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본 연구가 만드는 평가 시스템은 </w:t>
      </w:r>
      <w:r>
        <w:rPr>
          <w:rFonts w:ascii="맑은 고딕" w:hAnsi="맑은 고딕" w:eastAsia="맑은 고딕"/>
          <w:b/>
          <w:color w:val="000000"/>
          <w:sz w:val="22"/>
        </w:rPr>
        <w:t>선별 용량에 대한 기술적 투자</w:t>
      </w:r>
      <w:r>
        <w:rPr>
          <w:rFonts w:ascii="맑은 고딕" w:hAnsi="맑은 고딕" w:eastAsia="맑은 고딕"/>
          <w:b w:val="0"/>
          <w:color w:val="000000"/>
          <w:sz w:val="22"/>
        </w:rPr>
        <w:t>의 한 형태이며, 그 효과를 성장의 언어로 계산해 보이는 것이 이 보고서의 목표임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이 구상의 지위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현 단계에서는 </w:t>
      </w:r>
      <w:r>
        <w:rPr>
          <w:rFonts w:ascii="맑은 고딕" w:hAnsi="맑은 고딕" w:eastAsia="맑은 고딕"/>
          <w:b/>
          <w:color w:val="000000"/>
          <w:sz w:val="22"/>
        </w:rPr>
        <w:t>시론</w:t>
      </w:r>
      <w:r>
        <w:rPr>
          <w:rFonts w:ascii="맑은 고딕" w:hAnsi="맑은 고딕" w:eastAsia="맑은 고딕"/>
          <w:b w:val="0"/>
          <w:color w:val="000000"/>
          <w:sz w:val="22"/>
        </w:rPr>
        <w:t>임. 형식 모형의 타당성과 선행 문헌과의 관계는 문헌 검토를 거쳐야 확정할 수 있으며, 실증 결과가 나오기 전에는 수치를 넣지 않을 것임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본 연구의 실증이 부정적으로 나오더라도 — 격차가 확인되지 않거나 재현성이 충분한 것으로 밝혀지더라도 — 그 결과를 그대로 반영하여 쓸 것임</w:t>
      </w:r>
    </w:p>
    <w:p>
      <w:pPr>
        <w:keepNext/>
        <w:keepLines/>
        <w:spacing w:after="160" w:before="360" w:line="340" w:lineRule="exact"/>
      </w:pPr>
      <w:r>
        <w:rPr>
          <w:rFonts w:ascii="맑은 고딕" w:hAnsi="맑은 고딕" w:eastAsia="맑은 고딕"/>
          <w:b/>
          <w:color w:val="000000"/>
          <w:sz w:val="24"/>
        </w:rPr>
        <w:t>Ⅴ. 참여 방식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주관은 KDI, 본인은 참여자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연구의 방향과 설계 결정은 KDI 연구진이 주관하고, 본인은 위 세 역할의 범위에서 참여하고자 함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참여 형태(공동연구·위탁·자문 등)와 범위는 기관 기준에 따르겠음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자료와 도구는 연구에 넘김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평가 시스템, 검증 코퍼스, 채점 기준, 예비 검토 원자료를 본 연구에 제공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연구 종료 후에도 기관 자산으로 남도록 하고자 함. </w:t>
      </w:r>
      <w:r>
        <w:rPr>
          <w:rFonts w:ascii="맑은 고딕" w:hAnsi="맑은 고딕" w:eastAsia="맑은 고딕"/>
          <w:b/>
          <w:color w:val="000000"/>
          <w:sz w:val="22"/>
        </w:rPr>
        <w:t>이 연구가 끝나면 쓸 수 없는 도구가 되지 않게 하는 것</w:t>
      </w:r>
      <w:r>
        <w:rPr>
          <w:rFonts w:ascii="맑은 고딕" w:hAnsi="맑은 고딕" w:eastAsia="맑은 고딕"/>
          <w:b w:val="0"/>
          <w:color w:val="000000"/>
          <w:sz w:val="22"/>
        </w:rPr>
        <w:t>이 참여의 조건 가운데 하나임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역할 1·2 와 역할 3 을 분리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자문·구현은 연구 수행 기간에 걸쳐 수시로, 보고서는 실증 결과가 나온 뒤에 착수하는 것이 순서에 맞다고 봄</w:t>
      </w:r>
    </w:p>
    <w:p>
      <w:pPr>
        <w:keepNext/>
        <w:keepLines/>
        <w:spacing w:after="160" w:before="360" w:line="340" w:lineRule="exact"/>
      </w:pPr>
      <w:r>
        <w:rPr>
          <w:rFonts w:ascii="맑은 고딕" w:hAnsi="맑은 고딕" w:eastAsia="맑은 고딕"/>
          <w:b/>
          <w:color w:val="000000"/>
          <w:sz w:val="24"/>
        </w:rPr>
        <w:t>Ⅵ. 밝혀 둘 것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도구를 만든 사람이 그 도구를 평가하는 연구에 참여함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설계를 옹호하는 방향의 해석이 끼어들 수 있는 위치임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채점 기준과 예비 검토 원자료를 공개하여 제3자 재분석이 가능하게 하고, </w:t>
      </w:r>
      <w:r>
        <w:rPr>
          <w:rFonts w:ascii="맑은 고딕" w:hAnsi="맑은 고딕" w:eastAsia="맑은 고딕"/>
          <w:b/>
          <w:color w:val="000000"/>
          <w:sz w:val="22"/>
        </w:rPr>
        <w:t>채점 결과의 해석은 본인이 아닌 연구진이 맡는 것</w:t>
      </w:r>
      <w:r>
        <w:rPr>
          <w:rFonts w:ascii="맑은 고딕" w:hAnsi="맑은 고딕" w:eastAsia="맑은 고딕"/>
          <w:b w:val="0"/>
          <w:color w:val="000000"/>
          <w:sz w:val="22"/>
        </w:rPr>
        <w:t>이 타당하다고 봄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예비 관찰은 확정된 결과가 아님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○ 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특히 AI 보조 조건의 점수 차이는 </w:t>
      </w:r>
      <w:r>
        <w:rPr>
          <w:rFonts w:ascii="맑은 고딕" w:hAnsi="맑은 고딕" w:eastAsia="맑은 고딕"/>
          <w:b/>
          <w:color w:val="000000"/>
          <w:sz w:val="22"/>
        </w:rPr>
        <w:t>n=1쌍</w:t>
      </w:r>
      <w:r>
        <w:rPr>
          <w:rFonts w:ascii="맑은 고딕" w:hAnsi="맑은 고딕" w:eastAsia="맑은 고딕"/>
          <w:b w:val="0"/>
          <w:color w:val="000000"/>
          <w:sz w:val="22"/>
        </w:rPr>
        <w:t>의 통제되지 않은 비교임. 본실험에서 재현되지 않을 가능성이 있으며 그 경우 그대로 보고되어야 함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구조적 순환이 남아 있음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문답 생성·채점·선례 판정에 같은 계열 모델이 쓰임. 모델이 잘 만드는 답을 모델이 높게 치는 구조일 수 있으며, 전문가 심사를 준거로 병행하는 것이 완화책이나 완전한 해소는 아님</w:t>
      </w:r>
    </w:p>
    <w:p>
      <w:pPr>
        <w:keepNext/>
        <w:keepLines/>
        <w:spacing w:after="100" w:before="160" w:line="340" w:lineRule="exact"/>
      </w:pPr>
      <w:r>
        <w:rPr>
          <w:rFonts w:ascii="맑은 고딕" w:hAnsi="맑은 고딕" w:eastAsia="맑은 고딕"/>
          <w:b/>
          <w:color w:val="000000"/>
          <w:sz w:val="22"/>
        </w:rPr>
        <w:t>□ 역할 3 의 이론 작업은 검증을 거쳐야 함</w:t>
      </w:r>
    </w:p>
    <w:p>
      <w:pPr>
        <w:keepLines/>
        <w:spacing w:after="80" w:before="0" w:line="340" w:lineRule="exact"/>
        <w:ind w:left="369" w:hanging="255"/>
      </w:pPr>
      <w:r>
        <w:rPr>
          <w:rFonts w:ascii="맑은 고딕" w:hAnsi="맑은 고딕" w:eastAsia="맑은 고딕"/>
          <w:b w:val="0"/>
          <w:color w:val="000000"/>
          <w:sz w:val="22"/>
        </w:rPr>
        <w:t>○ 내생 성장론 문헌에서 선별·심사 비용을 다룬 선행 연구가 이미 있을 수 있음. 문헌 검토를 선행하여 신규성 주장의 수위를 정하겠음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0" w:lineRule="exact" w:after="80"/>
    </w:pPr>
    <w:rPr>
      <w:rFonts w:ascii="맑은 고딕" w:hAnsi="맑은 고딕" w:eastAsia="맑은 고딕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