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K-Fashion 수출통계의 이중 왜곡</w:t>
      </w:r>
    </w:p>
    <w:p>
      <w:pPr>
        <w:pBdr>
          <w:bottom w:val="single" w:color="1F3A5F" w:sz="10"/>
        </w:pBdr>
        <w:spacing w:after="70"/>
      </w:pPr>
      <w:r>
        <w:rPr>
          <w:sz w:val="2"/>
          <w:szCs w:val="2"/>
        </w:rPr>
        <w:t xml:space="preserve"/>
      </w:r>
    </w:p>
    <w:p>
      <w:pPr>
        <w:spacing w:after="240" w:before="0" w:line="276"/>
      </w:pPr>
      <w:r>
        <w:rPr>
          <w:rFonts w:ascii="맑은 고딕" w:cs="맑은 고딕" w:eastAsia="맑은 고딕" w:hAnsi="맑은 고딕"/>
          <w:color w:val="6B6B6B"/>
          <w:sz w:val="18"/>
          <w:szCs w:val="18"/>
        </w:rPr>
        <w:t xml:space="preserve">KCI 조사보고서(김영범)와 KWCI L1 수집결과(김재준)의 대조  ·  2026-07-31</w:t>
      </w:r>
    </w:p>
    <w:p>
      <w:pPr>
        <w:spacing w:after="22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두 조사가 K-Fashion에 대해 같은 결론에 다른 경로로 도달했다.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그리고 두 결과를 겹치면 각각으로는 나오지 않는 세 번째 결론이 나온다. 이 문서는 그 대조를 정리한다.</w:t>
      </w:r>
    </w:p>
    <w:p>
      <w:pPr>
        <w:pStyle w:val="Heading1"/>
        <w:pBdr>
          <w:bottom w:val="single" w:color="D8D8D8" w:sz="6"/>
        </w:pBdr>
        <w:spacing w:after="110" w:before="3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1. 두 조사의 진단</w:t>
      </w:r>
    </w:p>
    <w:p>
      <w:pPr>
        <w:pBdr>
          <w:left w:val="single" w:color="C9CDD2" w:sz="12" w:space="140"/>
        </w:pBdr>
        <w:spacing w:after="130" w:before="60" w:line="264"/>
        <w:ind w:left="340"/>
      </w:pPr>
      <w:r>
        <w:rPr>
          <w:rFonts w:ascii="맑은 고딕" w:cs="맑은 고딕" w:eastAsia="맑은 고딕" w:hAnsi="맑은 고딕"/>
          <w:i/>
          <w:iCs/>
          <w:color w:val="3D3D3D"/>
          <w:sz w:val="18"/>
          <w:szCs w:val="18"/>
        </w:rPr>
        <w:t xml:space="preserve">“패션 수출액 상위국(베트남 19.6%·중국 13.1%·인니 6.3%)들이 K-패션 소비국이 아니라 이를 가공하는 나라다. … 베트남 수출액은 베트남 소비자의 K-패션 수요가 아니라 미국·유럽 의류 소비의 간접 함수다.”</w:t>
      </w:r>
      <w:r>
        <w:rPr>
          <w:rFonts w:ascii="맑은 고딕" w:cs="맑은 고딕" w:eastAsia="맑은 고딕" w:hAnsi="맑은 고딕"/>
          <w:color w:val="6B6B6B"/>
          <w:sz w:val="16"/>
          <w:szCs w:val="16"/>
        </w:rPr>
        <w:t xml:space="preserve">   — KCI 보고서 §3.7</w:t>
      </w:r>
    </w:p>
    <w:p>
      <w:pPr>
        <w:pBdr>
          <w:left w:val="single" w:color="C9CDD2" w:sz="12" w:space="140"/>
        </w:pBdr>
        <w:spacing w:after="130" w:before="60" w:line="264"/>
        <w:ind w:left="340"/>
      </w:pPr>
      <w:r>
        <w:rPr>
          <w:rFonts w:ascii="맑은 고딕" w:cs="맑은 고딕" w:eastAsia="맑은 고딕" w:hAnsi="맑은 고딕"/>
          <w:i/>
          <w:iCs/>
          <w:color w:val="3D3D3D"/>
          <w:sz w:val="18"/>
          <w:szCs w:val="18"/>
        </w:rPr>
        <w:t xml:space="preserve">“한국 브랜드 의류 수출의 상당분은 OEM·원부자재이고, 브랜드 완제품은 역직구로 나가 일반 무역통계에서 과소계상된다.”</w:t>
      </w:r>
      <w:r>
        <w:rPr>
          <w:rFonts w:ascii="맑은 고딕" w:cs="맑은 고딕" w:eastAsia="맑은 고딕" w:hAnsi="맑은 고딕"/>
          <w:color w:val="6B6B6B"/>
          <w:sz w:val="16"/>
          <w:szCs w:val="16"/>
        </w:rPr>
        <w:t xml:space="preserve">   — KWCI 계획서 §4.2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전자는 “통계에 잡히는 것이 소비 신호가 아니다”, 후자는 “소비 신호인 것이 통계에 안 잡힌다”이다. 방향이 반대인 두 왜곡이다.</w:t>
      </w:r>
    </w:p>
    <w:p>
      <w:pPr>
        <w:pStyle w:val="Heading1"/>
        <w:pBdr>
          <w:bottom w:val="single" w:color="D8D8D8" w:sz="6"/>
        </w:pBdr>
        <w:spacing w:after="110" w:before="3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2. 국가 순위가 실제로 다르다</w:t>
      </w:r>
    </w:p>
    <w:p>
      <w:pPr>
        <w:spacing w:after="18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두 조사가 같은 해(2024) 같은 산업을 재고도 상위국이 다르다. 품목 정의가 다르기 때문이다.</w:t>
      </w:r>
    </w:p>
    <w:tbl>
      <w:tblPr>
        <w:tblW w:type="dxa" w:w="9360"/>
        <w:tblBorders>
          <w:top w:val="single" w:color="D8D8D8" w:sz="4"/>
          <w:left w:val="none"/>
          <w:bottom w:val="single" w:color="D8D8D8" w:sz="4"/>
          <w:right w:val="none"/>
          <w:insideH w:val="single" w:color="D8D8D8" w:sz="2"/>
          <w:insideV w:val="none"/>
        </w:tblBorders>
      </w:tblPr>
      <w:tblGrid>
        <w:gridCol w:w="1500"/>
        <w:gridCol w:w="1970"/>
        <w:gridCol w:w="1970"/>
        <w:gridCol w:w="1970"/>
        <w:gridCol w:w="1950"/>
      </w:tblGrid>
      <w:tr>
        <w:trPr>
          <w:tblHeader/>
        </w:trPr>
        <w:tc>
          <w:tcPr>
            <w:tcW w:type="dxa" w:w="150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7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1위</w:t>
            </w:r>
          </w:p>
        </w:tc>
        <w:tc>
          <w:tcPr>
            <w:tcW w:type="dxa" w:w="197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2위</w:t>
            </w:r>
          </w:p>
        </w:tc>
        <w:tc>
          <w:tcPr>
            <w:tcW w:type="dxa" w:w="197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3위</w:t>
            </w:r>
          </w:p>
        </w:tc>
        <w:tc>
          <w:tcPr>
            <w:tcW w:type="dxa" w:w="195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4·5위</w:t>
            </w:r>
          </w:p>
        </w:tc>
      </w:tr>
      <w:tr>
        <w:tc>
          <w:tcPr>
            <w:tcW w:type="dxa" w:w="1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KCI
(MTI 4 섬유류)</w:t>
            </w:r>
          </w:p>
        </w:tc>
        <w:tc>
          <w:tcPr>
            <w:tcW w:type="dxa" w:w="19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베트남 19.6%</w:t>
            </w:r>
          </w:p>
        </w:tc>
        <w:tc>
          <w:tcPr>
            <w:tcW w:type="dxa" w:w="19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중국 13.1%</w:t>
            </w:r>
          </w:p>
        </w:tc>
        <w:tc>
          <w:tcPr>
            <w:tcW w:type="dxa" w:w="19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미국</w:t>
            </w:r>
          </w:p>
        </w:tc>
        <w:tc>
          <w:tcPr>
            <w:tcW w:type="dxa" w:w="195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인니 6.3% · 일본</w:t>
            </w:r>
          </w:p>
        </w:tc>
      </w:tr>
      <w:tr>
        <w:tc>
          <w:tcPr>
            <w:tcW w:type="dxa" w:w="1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KWCI
(BEC 소비재)</w:t>
            </w:r>
          </w:p>
        </w:tc>
        <w:tc>
          <w:tcPr>
            <w:tcW w:type="dxa" w:w="19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D5A3D"/>
                <w:sz w:val="18"/>
                <w:szCs w:val="18"/>
              </w:rPr>
              <w:t xml:space="preserve">중국 28%</w:t>
            </w:r>
          </w:p>
        </w:tc>
        <w:tc>
          <w:tcPr>
            <w:tcW w:type="dxa" w:w="19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미국 23%</w:t>
            </w:r>
          </w:p>
        </w:tc>
        <w:tc>
          <w:tcPr>
            <w:tcW w:type="dxa" w:w="197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6B6B6B"/>
                <w:sz w:val="18"/>
                <w:szCs w:val="18"/>
              </w:rPr>
              <w:t xml:space="preserve">베트남 18%</w:t>
            </w:r>
          </w:p>
        </w:tc>
        <w:tc>
          <w:tcPr>
            <w:tcW w:type="dxa" w:w="195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일본 14% · 대만 5%</w:t>
            </w:r>
          </w:p>
        </w:tc>
      </w:tr>
    </w:tbl>
    <w:p>
      <w:pPr>
        <w:spacing w:after="130" w:before="16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베트남이 1위에서 3위로 내려간다.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KWCI는 UN BEC rev.5의 최종소비재 판정을 통과한 품목만 남기므로 원단(HS 50~60)·단추·지퍼가 애초에 대역에 없다. 김영범 박사가 “향후 MTI 44로 한정해 다시 수집할 필요”라고 한 그 작업이, BEC 필터로 이미 부분 수행된 셈이다.</w:t>
      </w:r>
    </w:p>
    <w:p>
      <w:pPr>
        <w:keepNext/>
        <w:spacing w:after="110" w:before="28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정량 대조 — 필터가 걷어낸 몫</w:t>
      </w:r>
    </w:p>
    <w:p>
      <w:pPr>
        <w:spacing w:after="0" w:before="60"/>
        <w:ind w:left="34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KCI  패션 2024 (MTI 4 전체)        ≈ 10,650 백만$</w:t>
      </w:r>
    </w:p>
    <w:p>
      <w:pPr>
        <w:spacing w:after="0" w:before="0"/>
        <w:ind w:left="34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KWCI K-Fashion 2024 (BEC 소비재)   ≈  3,200 백만$</w:t>
      </w:r>
    </w:p>
    <w:p>
      <w:pPr>
        <w:spacing w:after="0" w:before="0"/>
        <w:ind w:left="34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                                    ────────────</w:t>
      </w:r>
    </w:p>
    <w:p>
      <w:pPr>
        <w:spacing w:after="150" w:before="0"/>
        <w:ind w:left="34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                              통과분  약 30%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주의 — 이 30%를 그대로 “B2B 비중”으로 읽으면 안 된다.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두 정의의 포괄 범위가 완전히 겹치지 않는다. KWCI 대역에는 신발(64)·가방(4202)·장신구(7113/7117)·안경(9003/9004)이 들어 있고 이들은 MTI 4 밖이다. 방향(대부분이 걸러진다)은 유효하나 배율은 정밀 대조가 필요하다.</w:t>
      </w:r>
    </w:p>
    <w:p>
      <w:pPr>
        <w:pStyle w:val="Heading1"/>
        <w:pBdr>
          <w:bottom w:val="single" w:color="D8D8D8" w:sz="6"/>
        </w:pBdr>
        <w:spacing w:after="110" w:before="380"/>
      </w:pPr>
      <w:r>
        <w:rPr>
          <w:rFonts w:ascii="맑은 고딕" w:cs="맑은 고딕" w:eastAsia="맑은 고딕" w:hAnsi="맑은 고딕"/>
          <w:b/>
          <w:bCs/>
          <w:color w:val="9E2A2B"/>
          <w:sz w:val="26"/>
          <w:szCs w:val="26"/>
        </w:rPr>
        <w:t xml:space="preserve">3. 겹쳤을 때 나오는 결론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B2B 왜곡을 걷어냈는데도 K-Fashion은 여전히 낮다.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이것이 두 조사를 합쳐야만 보이는 사실이다.</w:t>
      </w:r>
    </w:p>
    <w:tbl>
      <w:tblPr>
        <w:tblW w:type="dxa" w:w="9360"/>
        <w:tblBorders>
          <w:top w:val="single" w:color="D8D8D8" w:sz="4"/>
          <w:left w:val="none"/>
          <w:bottom w:val="single" w:color="D8D8D8" w:sz="4"/>
          <w:right w:val="none"/>
          <w:insideH w:val="single" w:color="D8D8D8" w:sz="2"/>
          <w:insideV w:val="none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지표</w:t>
            </w:r>
          </w:p>
        </w:tc>
        <w:tc>
          <w:tcPr>
            <w:tcW w:type="dxa" w:w="308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K-Fashion</w:t>
            </w:r>
          </w:p>
        </w:tc>
        <w:tc>
          <w:tcPr>
            <w:tcW w:type="dxa" w:w="308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다른 도메인</w:t>
            </w:r>
          </w:p>
        </w:tc>
      </w:tr>
      <w:tr>
        <w:tc>
          <w:tcPr>
            <w:tcW w:type="dxa" w:w="3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성장 (2018=100 → 2024)</w:t>
            </w:r>
          </w:p>
        </w:tc>
        <w:tc>
          <w:tcPr>
            <w:tcW w:type="dxa" w:w="308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104.4</w:t>
            </w:r>
          </w:p>
        </w:tc>
        <w:tc>
          <w:tcPr>
            <w:tcW w:type="dxa" w:w="308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K-Beauty 164.6 · K-Food 161.4</w:t>
            </w:r>
          </w:p>
        </w:tc>
      </w:tr>
      <w:tr>
        <w:tc>
          <w:tcPr>
            <w:tcW w:type="dxa" w:w="3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RCA ≥ 1 통과율</w:t>
            </w:r>
          </w:p>
        </w:tc>
        <w:tc>
          <w:tcPr>
            <w:tcW w:type="dxa" w:w="308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3/30 = 10%</w:t>
            </w:r>
          </w:p>
        </w:tc>
        <w:tc>
          <w:tcPr>
            <w:tcW w:type="dxa" w:w="308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K-Beauty 40% · K-Food 47%</w:t>
            </w:r>
          </w:p>
        </w:tc>
      </w:tr>
      <w:tr>
        <w:tc>
          <w:tcPr>
            <w:tcW w:type="dxa" w:w="3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다변화 ENM (2018→2024)</w:t>
            </w:r>
          </w:p>
        </w:tc>
        <w:tc>
          <w:tcPr>
            <w:tcW w:type="dxa" w:w="308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5.20 → 5.22</w:t>
            </w:r>
          </w:p>
        </w:tc>
        <w:tc>
          <w:tcPr>
            <w:tcW w:type="dxa" w:w="308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K-Beauty 2.49 → 4.58</w:t>
            </w:r>
          </w:p>
        </w:tc>
      </w:tr>
    </w:tbl>
    <w:p>
      <w:pPr>
        <w:spacing w:after="130" w:before="16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만약 낮은 수치의 원인이 B2B 부자재 혼입뿐이었다면, 소비재만 남긴 KWCI 집계에서는 정상 수준이 나와야 한다. 그런데 6년간 4% 성장에 특화도 통과율 10%다.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→ B2B 왜곡을 제거해도 낮다는 것은, 남은 설명이 “실제로 정체했다” 아니면 “통계 밖에서 성장했다” 둘 중 하나라는 뜻이다.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김영범 보고서 단독으로는 첫 번째 가능성을 배제할 수 없고, KWCI 단독으로는 낮은 수치가 부자재 탓인지 역직구 탓인지 구분할 수 없다. 두 결과를 겹쳐야 선택지가 둘로 좁혀진다.</w:t>
      </w:r>
    </w:p>
    <w:p>
      <w:pPr>
        <w:keepNext/>
        <w:spacing w:after="110" w:before="28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다변화 지표가 주는 보조 증거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K-Fashion의 ENM은 5.20 → 5.22로 6년간 사실상 무변화다. 같은 기간 K-Beauty는 2.49 → 4.58로 시장 구조가 크게 재편됐다. 시장이 실제로 움직이는 산업은 집중도가 변한다. K-Fashion만 6년간 정지해 있다는 것은, 이 통계가 살아있는 시장의 변화를 담고 있지 않다는 신호로 읽힌다.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color w:val="6B6B6B"/>
          <w:sz w:val="18"/>
          <w:szCs w:val="18"/>
        </w:rPr>
        <w:t xml:space="preserve">다만 이는 방증이지 증거가 아니다. B2B 가치사슬이 안정적이면 집중도도 안정적일 수 있다.</w:t>
      </w:r>
    </w:p>
    <w:p>
      <w:pPr>
        <w:pStyle w:val="Heading1"/>
        <w:pBdr>
          <w:bottom w:val="single" w:color="D8D8D8" w:sz="6"/>
        </w:pBdr>
        <w:spacing w:after="110" w:before="380"/>
      </w:pPr>
      <w:r>
        <w:rPr>
          <w:rFonts w:ascii="맑은 고딕" w:cs="맑은 고딕" w:eastAsia="맑은 고딕" w:hAnsi="맑은 고딕"/>
          <w:b/>
          <w:bCs/>
          <w:color w:val="8A6510"/>
          <w:sz w:val="26"/>
          <w:szCs w:val="26"/>
        </w:rPr>
        <w:t xml:space="preserve">4. 남은 오염원 — KWCI 쪽도 깨끗하지 않다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공정하게 적자면, BEC 필터도 부자재를 전부 걸러내지 못했다. KWCI의 K-Fashion 상위 품목에 다음이 남아 있다.</w:t>
      </w:r>
    </w:p>
    <w:tbl>
      <w:tblPr>
        <w:tblW w:type="dxa" w:w="9360"/>
        <w:tblBorders>
          <w:top w:val="single" w:color="D8D8D8" w:sz="4"/>
          <w:left w:val="none"/>
          <w:bottom w:val="single" w:color="D8D8D8" w:sz="4"/>
          <w:right w:val="none"/>
          <w:insideH w:val="single" w:color="D8D8D8" w:sz="2"/>
          <w:insideV w:val="none"/>
        </w:tblBorders>
      </w:tblPr>
      <w:tblGrid>
        <w:gridCol w:w="2100"/>
        <w:gridCol w:w="4200"/>
        <w:gridCol w:w="3060"/>
      </w:tblGrid>
      <w:tr>
        <w:trPr>
          <w:tblHeader/>
        </w:trPr>
        <w:tc>
          <w:tcPr>
            <w:tcW w:type="dxa" w:w="210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HS</w:t>
            </w:r>
          </w:p>
        </w:tc>
        <w:tc>
          <w:tcPr>
            <w:tcW w:type="dxa" w:w="420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품목</w:t>
            </w:r>
          </w:p>
        </w:tc>
        <w:tc>
          <w:tcPr>
            <w:tcW w:type="dxa" w:w="306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문제</w:t>
            </w:r>
          </w:p>
        </w:tc>
      </w:tr>
      <w:tr>
        <w:tc>
          <w:tcPr>
            <w:tcW w:type="dxa" w:w="21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711319</w:t>
            </w:r>
          </w:p>
        </w:tc>
        <w:tc>
          <w:tcPr>
            <w:tcW w:type="dxa" w:w="4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귀금속 장신구</w:t>
            </w:r>
          </w:p>
        </w:tc>
        <w:tc>
          <w:tcPr>
            <w:tcW w:type="dxa" w:w="30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9E2A2B"/>
                <w:sz w:val="18"/>
                <w:szCs w:val="18"/>
              </w:rPr>
              <w:t xml:space="preserve">단가 16,637$/kg — 금 시세 반영, 사실상 금괴성 거래</w:t>
            </w:r>
          </w:p>
        </w:tc>
      </w:tr>
      <w:tr>
        <w:tc>
          <w:tcPr>
            <w:tcW w:type="dxa" w:w="21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621790</w:t>
            </w:r>
          </w:p>
        </w:tc>
        <w:tc>
          <w:tcPr>
            <w:tcW w:type="dxa" w:w="4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의류 부속품(garment parts)</w:t>
            </w:r>
          </w:p>
        </w:tc>
        <w:tc>
          <w:tcPr>
            <w:tcW w:type="dxa" w:w="30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BEC는 소비재로 보나 실질은 부자재</w:t>
            </w:r>
          </w:p>
        </w:tc>
      </w:tr>
      <w:tr>
        <w:tc>
          <w:tcPr>
            <w:tcW w:type="dxa" w:w="21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621710</w:t>
            </w:r>
          </w:p>
        </w:tc>
        <w:tc>
          <w:tcPr>
            <w:tcW w:type="dxa" w:w="4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의류 액세서리</w:t>
            </w:r>
          </w:p>
        </w:tc>
        <w:tc>
          <w:tcPr>
            <w:tcW w:type="dxa" w:w="30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동일</w:t>
            </w:r>
          </w:p>
        </w:tc>
      </w:tr>
    </w:tbl>
    <w:p>
      <w:pPr>
        <w:spacing w:after="130" w:before="16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711319는 특히 문제다.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단가가 2위 품목(20$/kg)의 800배다. 이것이 K-Fashion 1위에 올라 있는 동안에는 도메인 총액과 성장률이 금 시세에 좌우된다. KWCI는 이를 미리 제거하지 않고 S3(한류 반응성 회귀)의 위약검정으로 걸러내도록 설계했으나, S3 실시 전까지는 오염원으로 남는다.</w:t>
      </w:r>
    </w:p>
    <w:p>
      <w:pPr>
        <w:pStyle w:val="Heading1"/>
        <w:pBdr>
          <w:bottom w:val="single" w:color="D8D8D8" w:sz="6"/>
        </w:pBdr>
        <w:spacing w:after="110" w:before="3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5. 검증 설계 — 세 정의를 나란히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두 조사의 대조가 시사하는 것은 “어느 정의가 옳은가”가 아니라 “정의를 바꾸면 무엇이 달라지는가를 보여야 한다”는 것이다. 같은 연도에 대해 세 계열을 나란히 산출하면 왜곡의 크기가 정량화된다.</w:t>
      </w:r>
    </w:p>
    <w:tbl>
      <w:tblPr>
        <w:tblW w:type="dxa" w:w="9360"/>
        <w:tblBorders>
          <w:top w:val="single" w:color="D8D8D8" w:sz="4"/>
          <w:left w:val="none"/>
          <w:bottom w:val="single" w:color="D8D8D8" w:sz="4"/>
          <w:right w:val="none"/>
          <w:insideH w:val="single" w:color="D8D8D8" w:sz="2"/>
          <w:insideV w:val="none"/>
        </w:tblBorders>
      </w:tblPr>
      <w:tblGrid>
        <w:gridCol w:w="1300"/>
        <w:gridCol w:w="3400"/>
        <w:gridCol w:w="4660"/>
      </w:tblGrid>
      <w:tr>
        <w:trPr>
          <w:tblHeader/>
        </w:trPr>
        <w:tc>
          <w:tcPr>
            <w:tcW w:type="dxa" w:w="130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정의</w:t>
            </w:r>
          </w:p>
        </w:tc>
        <w:tc>
          <w:tcPr>
            <w:tcW w:type="dxa" w:w="466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읽는 법</w:t>
            </w:r>
          </w:p>
        </w:tc>
      </w:tr>
      <w:tr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①</w:t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MTI 4 섬유류 전체</w:t>
            </w:r>
          </w:p>
        </w:tc>
        <w:tc>
          <w:tcPr>
            <w:tcW w:type="dxa" w:w="4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산업 규모 — 원부자재 포함, 소비 신호 아님</w:t>
            </w:r>
          </w:p>
        </w:tc>
      </w:tr>
      <w:tr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②</w:t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BEC 최종소비재 (현 KWCI)</w:t>
            </w:r>
          </w:p>
        </w:tc>
        <w:tc>
          <w:tcPr>
            <w:tcW w:type="dxa" w:w="4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①에서 명백한 중간재 제거</w:t>
            </w:r>
          </w:p>
        </w:tc>
      </w:tr>
      <w:tr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③</w:t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②에서 6217·7113 추가 제외</w:t>
            </w:r>
          </w:p>
        </w:tc>
        <w:tc>
          <w:tcPr>
            <w:tcW w:type="dxa" w:w="4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순수 브랜드 완제품 — 소비 신호에 가장 근접</w:t>
            </w:r>
          </w:p>
        </w:tc>
      </w:tr>
    </w:tbl>
    <w:p>
      <w:pPr>
        <w:spacing w:after="130" w:before="14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①→②→③으로 가며 베트남 비중이 계속 낮아지고 미국·일본 비중이 오른다면, 그 이동폭 자체가 “수출통계가 소비 신호를 얼마나 왜곡하는가”의 측정값이 된다. 세 계열의 성장률 차이는 그 왜곡이 시계열에 미치는 영향이다.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그리고 ③마저 낮게 나온다면 역직구 가설만 남는다.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그때 관세청 전자상거래 수출 통계를 붙이면 판정이 끝난다.</w:t>
      </w:r>
    </w:p>
    <w:p>
      <w:pPr>
        <w:pStyle w:val="Heading1"/>
        <w:pBdr>
          <w:bottom w:val="single" w:color="D8D8D8" w:sz="6"/>
        </w:pBdr>
        <w:spacing w:after="110" w:before="3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6. 제안</w:t>
      </w:r>
    </w:p>
    <w:tbl>
      <w:tblPr>
        <w:tblW w:type="dxa" w:w="9360"/>
        <w:tblBorders>
          <w:top w:val="single" w:color="D8D8D8" w:sz="4"/>
          <w:left w:val="none"/>
          <w:bottom w:val="single" w:color="D8D8D8" w:sz="4"/>
          <w:right w:val="none"/>
          <w:insideH w:val="single" w:color="D8D8D8" w:sz="2"/>
          <w:insideV w:val="none"/>
        </w:tblBorders>
      </w:tblPr>
      <w:tblGrid>
        <w:gridCol w:w="1300"/>
        <w:gridCol w:w="3200"/>
        <w:gridCol w:w="4860"/>
      </w:tblGrid>
      <w:tr>
        <w:trPr>
          <w:tblHeader/>
        </w:trPr>
        <w:tc>
          <w:tcPr>
            <w:tcW w:type="dxa" w:w="130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누가</w:t>
            </w:r>
          </w:p>
        </w:tc>
        <w:tc>
          <w:tcPr>
            <w:tcW w:type="dxa" w:w="486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무엇을</w:t>
            </w:r>
          </w:p>
        </w:tc>
      </w:tr>
      <w:tr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KCI (김영범)</w:t>
            </w:r>
          </w:p>
        </w:tc>
        <w:tc>
          <w:tcPr>
            <w:tcW w:type="dxa" w:w="48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패션을 MTI 44로 재수집 — 위 ②에 해당. 기존 MTI 4와 병기</w:t>
            </w:r>
          </w:p>
        </w:tc>
      </w:tr>
      <w:tr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KWCI (김재준)</w:t>
            </w:r>
          </w:p>
        </w:tc>
        <w:tc>
          <w:tcPr>
            <w:tcW w:type="dxa" w:w="48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③ 계열 산출 — 6217·7113 제외 버전을 현 계열과 병렬 제공</w:t>
            </w:r>
          </w:p>
        </w:tc>
      </w:tr>
      <w:tr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공동</w:t>
            </w:r>
          </w:p>
        </w:tc>
        <w:tc>
          <w:tcPr>
            <w:tcW w:type="dxa" w:w="48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관세청 전자상거래 수출 통계 확보 — 양쪽 판정의 공통 전제</w:t>
            </w:r>
          </w:p>
        </w:tc>
      </w:tr>
    </w:tbl>
    <w:p>
      <w:pPr>
        <w:spacing w:after="130" w:before="14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2번은 KWCI 코드에서 대역 상수 두 줄을 고치면 되고 캐시가 있어 재수집이 필요 없다. 3번이 병목이며, 두 조사가 함께 요청하는 편이 확보 가능성이 높다.</w:t>
      </w:r>
    </w:p>
    <w:p>
      <w:pPr>
        <w:pBdr>
          <w:top w:val="single" w:color="D8D8D8" w:sz="4"/>
        </w:pBdr>
        <w:spacing w:before="300"/>
      </w:pPr>
      <w:r>
        <w:rPr>
          <w:sz w:val="2"/>
          <w:szCs w:val="2"/>
        </w:rPr>
        <w:t xml:space="preserve"/>
      </w:r>
    </w:p>
    <w:p>
      <w:pPr>
        <w:spacing w:after="60" w:before="10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요약: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K-Fashion 수출통계는 양쪽에서 왜곡된다. 잡히는 것 중 상당수는 소비 신호가 아니고(B2B), 소비 신호인 것 상당수는 잡히지 않는다(역직구). 두 조사가 각각 한쪽씩 밝혔고, 겹치면 “B2B를 걷어내도 낮다”는 새로운 사실이 나온다. 이는 역직구 가설을 강화하지만 확정하지는 않으며, 확정에는 전자상거래 통계가 필요하다.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color w:val="6B6B6B"/>
          <w:sz w:val="17"/>
          <w:szCs w:val="17"/>
        </w:rPr>
        <w:t xml:space="preserve">본 대조에 쓰인 KWCI 수치의 원자료·코드는 kwci_kfood_kbeauty_kfashion_20260731.zip 에 포함되어 있다.</w:t>
      </w:r>
    </w:p>
    <w:sectPr>
      <w:pgSz w:w="11906" w:h="16838" w:orient="portrait"/>
      <w:pgMar w:top="1300" w:right="1080" w:bottom="11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2026-07-31T04:30:23.091Z</dcterms:created>
  <dcterms:modified xsi:type="dcterms:W3CDTF">2026-07-31T04:30:23.108Z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