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1F3864"/>
          <w:sz w:val="36"/>
          <w:szCs w:val="36"/>
        </w:rPr>
        <w:t xml:space="preserve">KCI 중간보고서(v07) 검토 소견</w:t>
      </w:r>
    </w:p>
    <w:p>
      <w:pPr>
        <w:spacing w:after="150"/>
      </w:pPr>
      <w:r>
        <w:rPr>
          <w:rFonts w:ascii="맑은 고딕" w:cs="맑은 고딕" w:eastAsia="맑은 고딕" w:hAnsi="맑은 고딕"/>
          <w:color w:val="5A5A5A"/>
          <w:sz w:val="22"/>
          <w:szCs w:val="22"/>
        </w:rPr>
        <w:t xml:space="preserve">요약 — 여섯 항목</w:t>
      </w:r>
    </w:p>
    <w:p>
      <w:pPr>
        <w:pBdr>
          <w:bottom w:val="single" w:color="C9C9C9" w:sz="6" w:space="8"/>
        </w:pBdr>
        <w:spacing w:after="200"/>
      </w:pPr>
      <w:r>
        <w:rPr>
          <w:rFonts w:ascii="맑은 고딕" w:cs="맑은 고딕" w:eastAsia="맑은 고딕" w:hAnsi="맑은 고딕"/>
          <w:color w:val="5A5A5A"/>
          <w:sz w:val="17"/>
          <w:szCs w:val="17"/>
        </w:rPr>
        <w:t xml:space="preserve">대상: 「K-Culture Index 개발 및 실증 연구」 중간보고서 v07 (2026.09)</w:t>
      </w:r>
      <w:r>
        <w:rPr>
          <w:rFonts w:ascii="맑은 고딕" w:cs="맑은 고딕" w:eastAsia="맑은 고딕" w:hAnsi="맑은 고딕"/>
          <w:color w:val="5A5A5A"/>
          <w:sz w:val="17"/>
          <w:szCs w:val="17"/>
        </w:rPr>
        <w:br/>
        <w:t xml:space="preserve">실측 근거: 함께 제출된 kci_dashboard.html 내장 데이터(EXP 8,039행 · SIG 9,905행)를 재계산한 값</w:t>
      </w:r>
    </w:p>
    <w:p>
      <w:pPr>
        <w:pBdr>
          <w:bottom w:val="single" w:color="1F3864" w:sz="10" w:space="6"/>
        </w:pBdr>
        <w:spacing w:after="130" w:before="340"/>
      </w:pPr>
      <w:r>
        <w:rPr>
          <w:rFonts w:ascii="맑은 고딕" w:cs="맑은 고딕" w:eastAsia="맑은 고딕" w:hAnsi="맑은 고딕"/>
          <w:b/>
          <w:bCs/>
          <w:color w:val="1F3864"/>
          <w:sz w:val="26"/>
          <w:szCs w:val="26"/>
        </w:rPr>
        <w:t xml:space="preserve">총평</w:t>
      </w:r>
    </w:p>
    <w:p>
      <w:pPr>
        <w:spacing w:after="70" w:before="70" w:line="280"/>
      </w:pPr>
      <w:r>
        <w:rPr>
          <w:rFonts w:ascii="맑은 고딕" w:cs="맑은 고딕" w:eastAsia="맑은 고딕" w:hAnsi="맑은 고딕"/>
          <w:sz w:val="20"/>
          <w:szCs w:val="20"/>
        </w:rPr>
        <w:t xml:space="preserve">제2장의 자기 검토 수준은 이 분야의 통상적 보고서를 상회한다. NNLS의 단점을 다섯 항목으로 스스로 열거하고 각각에 방어책을 배치하였으며, 데이터 스누핑·자기 채점·준거 품질 종속을 모두 명시적으로 다룬다.</w:t>
      </w:r>
    </w:p>
    <w:p>
      <w:pPr>
        <w:spacing w:after="70" w:before="70" w:line="280"/>
      </w:pPr>
      <w:r>
        <w:rPr>
          <w:rFonts w:ascii="맑은 고딕" w:cs="맑은 고딕" w:eastAsia="맑은 고딕" w:hAnsi="맑은 고딕"/>
          <w:sz w:val="20"/>
          <w:szCs w:val="20"/>
        </w:rPr>
        <w:t xml:space="preserve">문제는 </w:t>
      </w:r>
      <w:r>
        <w:rPr>
          <w:rFonts w:ascii="맑은 고딕" w:cs="맑은 고딕" w:eastAsia="맑은 고딕" w:hAnsi="맑은 고딕"/>
          <w:b/>
          <w:bCs/>
          <w:color w:val="A62B2B"/>
          <w:sz w:val="20"/>
          <w:szCs w:val="20"/>
        </w:rPr>
        <w:t xml:space="preserve">그 엄격함이 제4장의 결과 보고와 부록의 실제 사전에 적용되지 않았다는 데 있다.</w:t>
      </w:r>
      <w:r>
        <w:rPr>
          <w:rFonts w:ascii="맑은 고딕" w:cs="맑은 고딕" w:eastAsia="맑은 고딕" w:hAnsi="맑은 고딕"/>
          <w:sz w:val="20"/>
          <w:szCs w:val="20"/>
        </w:rPr>
        <w:t xml:space="preserve"> 아래 지적의 다수는 새로운 문제가 아니라, 보고서가 이미 서술한 원칙을 스스로 지키지 않은 경우다. 여섯 항목으로 요약한다.</w:t>
      </w:r>
    </w:p>
    <w:p>
      <w:pPr>
        <w:spacing w:after="100" w:before="300"/>
      </w:pPr>
      <w:r>
        <w:rPr>
          <w:rFonts w:ascii="맑은 고딕" w:cs="맑은 고딕" w:eastAsia="맑은 고딕" w:hAnsi="맑은 고딕"/>
          <w:b/>
          <w:bCs/>
          <w:color w:val="1F3864"/>
          <w:sz w:val="23"/>
          <w:szCs w:val="23"/>
        </w:rPr>
        <w:t xml:space="preserve">1. </w:t>
      </w:r>
      <w:r>
        <w:rPr>
          <w:rFonts w:ascii="맑은 고딕" w:cs="맑은 고딕" w:eastAsia="맑은 고딕" w:hAnsi="맑은 고딕"/>
          <w:b/>
          <w:bCs/>
          <w:color w:val="1F3864"/>
          <w:sz w:val="23"/>
          <w:szCs w:val="23"/>
        </w:rPr>
        <w:t xml:space="preserve">“8산업 β 전부 양수”는 발견이 아니라 추정량의 제약이다</w:t>
      </w:r>
    </w:p>
    <w:p>
      <w:pPr>
        <w:spacing w:after="70" w:before="70" w:line="280"/>
      </w:pPr>
      <w:r>
        <w:rPr>
          <w:rFonts w:ascii="맑은 고딕" w:cs="맑은 고딕" w:eastAsia="맑은 고딕" w:hAnsi="맑은 고딕"/>
          <w:sz w:val="20"/>
          <w:szCs w:val="20"/>
        </w:rPr>
        <w:t xml:space="preserve">제2장은 다음과 같이 서술한다.</w:t>
      </w:r>
    </w:p>
    <w:p>
      <w:pPr>
        <w:pBdr>
          <w:left w:val="single" w:color="C9C9C9" w:sz="14" w:space="10"/>
        </w:pBdr>
        <w:spacing w:after="110" w:before="90" w:line="264"/>
        <w:ind w:left="340"/>
      </w:pPr>
      <w:r>
        <w:rPr>
          <w:rFonts w:ascii="맑은 고딕" w:cs="맑은 고딕" w:eastAsia="맑은 고딕" w:hAnsi="맑은 고딕"/>
          <w:i/>
          <w:iCs/>
          <w:color w:val="5A5A5A"/>
          <w:sz w:val="19"/>
          <w:szCs w:val="19"/>
        </w:rPr>
        <w:t xml:space="preserve">부호 제약이 진짜 음의 관계를 숨길 수 있다 … NNLS는 이를 0으로 눌러 “무관계”로 보고한다</w:t>
      </w:r>
    </w:p>
    <w:p>
      <w:pPr>
        <w:spacing w:after="70" w:before="70" w:line="280"/>
      </w:pPr>
      <w:r>
        <w:rPr>
          <w:rFonts w:ascii="맑은 고딕" w:cs="맑은 고딕" w:eastAsia="맑은 고딕" w:hAnsi="맑은 고딕"/>
          <w:sz w:val="20"/>
          <w:szCs w:val="20"/>
        </w:rPr>
        <w:t xml:space="preserve">정확한 진술이다. 그러나 제4장과 Executive Summary는 그 비음수 결과를 “방향 일관성”의 근거로 제시한다. </w:t>
      </w:r>
      <w:r>
        <w:rPr>
          <w:rFonts w:ascii="맑은 고딕" w:cs="맑은 고딕" w:eastAsia="맑은 고딕" w:hAnsi="맑은 고딕"/>
          <w:b/>
          <w:bCs/>
          <w:color w:val="A62B2B"/>
          <w:sz w:val="20"/>
          <w:szCs w:val="20"/>
        </w:rPr>
        <w:t xml:space="preserve">음수를 산출할 수 없는 추정량으로 부호 일관성을 보고하는 것은 항진명제다.</w:t>
      </w:r>
    </w:p>
    <w:p>
      <w:pPr>
        <w:pBdr>
          <w:left w:val="single" w:color="2E6B3E" w:sz="14" w:space="10"/>
        </w:pBdr>
        <w:spacing w:after="140" w:before="100" w:line="272"/>
        <w:ind w:left="240"/>
      </w:pPr>
      <w:r>
        <w:rPr>
          <w:rFonts w:ascii="맑은 고딕" w:cs="맑은 고딕" w:eastAsia="맑은 고딕" w:hAnsi="맑은 고딕"/>
          <w:b/>
          <w:bCs/>
          <w:color w:val="2E6B3E"/>
          <w:sz w:val="19"/>
          <w:szCs w:val="19"/>
        </w:rPr>
        <w:t xml:space="preserve">권고  </w:t>
      </w:r>
      <w:r>
        <w:rPr>
          <w:rFonts w:ascii="맑은 고딕" w:cs="맑은 고딕" w:eastAsia="맑은 고딕" w:hAnsi="맑은 고딕"/>
          <w:sz w:val="19"/>
          <w:szCs w:val="19"/>
        </w:rPr>
        <w:t xml:space="preserve">해당 문장을 결론에서 삭제하고, 부호를 개방한 β_PRD의 부호 분포로 대체한다. 제2장이 PRD의 부호를 연 취지가 이것이다.</w:t>
      </w:r>
    </w:p>
    <w:p>
      <w:pPr>
        <w:spacing w:after="100" w:before="300"/>
      </w:pPr>
      <w:r>
        <w:rPr>
          <w:rFonts w:ascii="맑은 고딕" w:cs="맑은 고딕" w:eastAsia="맑은 고딕" w:hAnsi="맑은 고딕"/>
          <w:b/>
          <w:bCs/>
          <w:color w:val="1F3864"/>
          <w:sz w:val="23"/>
          <w:szCs w:val="23"/>
        </w:rPr>
        <w:t xml:space="preserve">2. </w:t>
      </w:r>
      <w:r>
        <w:rPr>
          <w:rFonts w:ascii="맑은 고딕" w:cs="맑은 고딕" w:eastAsia="맑은 고딕" w:hAnsi="맑은 고딕"/>
          <w:b/>
          <w:bCs/>
          <w:color w:val="1F3864"/>
          <w:sz w:val="23"/>
          <w:szCs w:val="23"/>
        </w:rPr>
        <w:t xml:space="preserve">웹툰은 국가별 변동이 0이다</w:t>
      </w:r>
    </w:p>
    <w:p>
      <w:pPr>
        <w:spacing w:after="70" w:before="70" w:line="280"/>
      </w:pPr>
      <w:r>
        <w:rPr>
          <w:rFonts w:ascii="맑은 고딕" w:cs="맑은 고딕" w:eastAsia="맑은 고딕" w:hAnsi="맑은 고딕"/>
          <w:sz w:val="20"/>
          <w:szCs w:val="20"/>
        </w:rPr>
        <w:t xml:space="preserve">제출된 대시보드 데이터로 전년동기 증가율의 국가 간 표준편차를 산출하였다.</w:t>
      </w:r>
    </w:p>
    <w:p>
      <w:pPr>
        <w:spacing w:after="110" w:before="0"/>
      </w:pPr>
    </w:p>
    <w:tbl>
      <w:tblPr>
        <w:tblW w:type="pct" w:w="100%"/>
        <w:tblBorders>
          <w:top w:val="single" w:color="C9C9C9" w:sz="6"/>
          <w:left w:val="none"/>
          <w:bottom w:val="single" w:color="C9C9C9" w:sz="6"/>
          <w:right w:val="none"/>
          <w:insideH w:val="single" w:color="C9C9C9" w:sz="4"/>
          <w:insideV w:val="none"/>
        </w:tblBorders>
      </w:tblPr>
      <w:tblGrid>
        <w:gridCol w:w="100"/>
        <w:gridCol w:w="100"/>
        <w:gridCol w:w="100"/>
      </w:tblGrid>
      <w:tr>
        <w:trPr>
          <w:tblHeader/>
        </w:trPr>
        <w:tc>
          <w:tcPr>
            <w:tcW w:type="pct" w:w="22%"/>
            <w:shd w:fill="F2F4F7" w:val="clear"/>
            <w:tcMar>
              <w:top w:type="dxa" w:w="70"/>
              <w:left w:type="dxa" w:w="110"/>
              <w:bottom w:type="dxa" w:w="70"/>
              <w:right w:type="dxa" w:w="110"/>
            </w:tcMar>
          </w:tcPr>
          <w:p>
            <w:pPr>
              <w:spacing w:after="0" w:before="0" w:line="252"/>
            </w:pPr>
            <w:r>
              <w:rPr>
                <w:rFonts w:ascii="맑은 고딕" w:cs="맑은 고딕" w:eastAsia="맑은 고딕" w:hAnsi="맑은 고딕"/>
                <w:b/>
                <w:bCs/>
                <w:color w:val="1F3864"/>
                <w:sz w:val="18"/>
                <w:szCs w:val="18"/>
              </w:rPr>
              <w:t xml:space="preserve">산업</w:t>
            </w:r>
          </w:p>
        </w:tc>
        <w:tc>
          <w:tcPr>
            <w:tcW w:type="pct" w:w="46%"/>
            <w:shd w:fill="F2F4F7" w:val="clear"/>
            <w:tcMar>
              <w:top w:type="dxa" w:w="70"/>
              <w:left w:type="dxa" w:w="110"/>
              <w:bottom w:type="dxa" w:w="70"/>
              <w:right w:type="dxa" w:w="110"/>
            </w:tcMar>
          </w:tcPr>
          <w:p>
            <w:pPr>
              <w:spacing w:after="0" w:before="0" w:line="252"/>
            </w:pPr>
            <w:r>
              <w:rPr>
                <w:rFonts w:ascii="맑은 고딕" w:cs="맑은 고딕" w:eastAsia="맑은 고딕" w:hAnsi="맑은 고딕"/>
                <w:b/>
                <w:bCs/>
                <w:color w:val="1F3864"/>
                <w:sz w:val="18"/>
                <w:szCs w:val="18"/>
              </w:rPr>
              <w:t xml:space="preserve">2022~2023</w:t>
            </w:r>
          </w:p>
        </w:tc>
        <w:tc>
          <w:tcPr>
            <w:tcW w:type="pct" w:w="32%"/>
            <w:shd w:fill="F2F4F7" w:val="clear"/>
            <w:tcMar>
              <w:top w:type="dxa" w:w="70"/>
              <w:left w:type="dxa" w:w="110"/>
              <w:bottom w:type="dxa" w:w="70"/>
              <w:right w:type="dxa" w:w="110"/>
            </w:tcMar>
          </w:tcPr>
          <w:p>
            <w:pPr>
              <w:spacing w:after="0" w:before="0" w:line="252"/>
            </w:pPr>
            <w:r>
              <w:rPr>
                <w:rFonts w:ascii="맑은 고딕" w:cs="맑은 고딕" w:eastAsia="맑은 고딕" w:hAnsi="맑은 고딕"/>
                <w:b/>
                <w:bCs/>
                <w:color w:val="1F3864"/>
                <w:sz w:val="18"/>
                <w:szCs w:val="18"/>
              </w:rPr>
              <w:t xml:space="preserve">2025~2026</w:t>
            </w:r>
          </w:p>
        </w:tc>
      </w:tr>
      <w:tr>
        <w:tc>
          <w:tcPr>
            <w:tcW w:type="pct" w:w="22%"/>
            <w:tcMar>
              <w:top w:type="dxa" w:w="70"/>
              <w:left w:type="dxa" w:w="110"/>
              <w:bottom w:type="dxa" w:w="70"/>
              <w:right w:type="dxa" w:w="110"/>
            </w:tcMar>
          </w:tcPr>
          <w:p>
            <w:pPr>
              <w:spacing w:after="0" w:before="0" w:line="252"/>
            </w:pPr>
            <w:r>
              <w:rPr>
                <w:rFonts w:ascii="맑은 고딕" w:cs="맑은 고딕" w:eastAsia="맑은 고딕" w:hAnsi="맑은 고딕"/>
                <w:b/>
                <w:bCs/>
                <w:sz w:val="18"/>
                <w:szCs w:val="18"/>
              </w:rPr>
              <w:t xml:space="preserve">webtoon</w:t>
            </w:r>
          </w:p>
        </w:tc>
        <w:tc>
          <w:tcPr>
            <w:tcW w:type="pct" w:w="46%"/>
            <w:tcMar>
              <w:top w:type="dxa" w:w="70"/>
              <w:left w:type="dxa" w:w="110"/>
              <w:bottom w:type="dxa" w:w="70"/>
              <w:right w:type="dxa" w:w="110"/>
            </w:tcMar>
          </w:tcPr>
          <w:p>
            <w:pPr>
              <w:spacing w:after="0" w:before="0" w:line="252"/>
            </w:pPr>
            <w:r>
              <w:rPr>
                <w:rFonts w:ascii="맑은 고딕" w:cs="맑은 고딕" w:eastAsia="맑은 고딕" w:hAnsi="맑은 고딕"/>
                <w:b/>
                <w:bCs/>
                <w:color w:val="A62B2B"/>
                <w:sz w:val="18"/>
                <w:szCs w:val="18"/>
              </w:rPr>
              <w:t xml:space="preserve">0.0000   ← 15개국이 완전히 동일</w:t>
            </w:r>
          </w:p>
        </w:tc>
        <w:tc>
          <w:tcPr>
            <w:tcW w:type="pct" w:w="32%"/>
            <w:tcMar>
              <w:top w:type="dxa" w:w="70"/>
              <w:left w:type="dxa" w:w="110"/>
              <w:bottom w:type="dxa" w:w="70"/>
              <w:right w:type="dxa" w:w="110"/>
            </w:tcMar>
          </w:tcPr>
          <w:p>
            <w:pPr>
              <w:spacing w:after="0" w:before="0" w:line="252"/>
            </w:pPr>
            <w:r>
              <w:rPr>
                <w:rFonts w:ascii="맑은 고딕" w:cs="맑은 고딕" w:eastAsia="맑은 고딕" w:hAnsi="맑은 고딕"/>
                <w:color w:val="A62B2B"/>
                <w:sz w:val="18"/>
                <w:szCs w:val="18"/>
              </w:rPr>
              <w:t xml:space="preserve">0.0164</w:t>
            </w:r>
          </w:p>
        </w:tc>
      </w:tr>
      <w:tr>
        <w:tc>
          <w:tcPr>
            <w:tcW w:type="pct" w:w="22%"/>
            <w:tcMar>
              <w:top w:type="dxa" w:w="70"/>
              <w:left w:type="dxa" w:w="110"/>
              <w:bottom w:type="dxa" w:w="70"/>
              <w:right w:type="dxa" w:w="110"/>
            </w:tcMar>
          </w:tcPr>
          <w:p>
            <w:pPr>
              <w:spacing w:after="0" w:before="0" w:line="252"/>
            </w:pPr>
            <w:r>
              <w:rPr>
                <w:rFonts w:ascii="맑은 고딕" w:cs="맑은 고딕" w:eastAsia="맑은 고딕" w:hAnsi="맑은 고딕"/>
                <w:sz w:val="18"/>
                <w:szCs w:val="18"/>
              </w:rPr>
              <w:t xml:space="preserve">game</w:t>
            </w:r>
          </w:p>
        </w:tc>
        <w:tc>
          <w:tcPr>
            <w:tcW w:type="pct" w:w="46%"/>
            <w:tcMar>
              <w:top w:type="dxa" w:w="70"/>
              <w:left w:type="dxa" w:w="110"/>
              <w:bottom w:type="dxa" w:w="70"/>
              <w:right w:type="dxa" w:w="110"/>
            </w:tcMar>
          </w:tcPr>
          <w:p>
            <w:pPr>
              <w:spacing w:after="0" w:before="0" w:line="252"/>
            </w:pPr>
            <w:r>
              <w:rPr>
                <w:rFonts w:ascii="맑은 고딕" w:cs="맑은 고딕" w:eastAsia="맑은 고딕" w:hAnsi="맑은 고딕"/>
                <w:sz w:val="18"/>
                <w:szCs w:val="18"/>
              </w:rPr>
              <w:t xml:space="preserve">0.1976</w:t>
            </w:r>
          </w:p>
        </w:tc>
        <w:tc>
          <w:tcPr>
            <w:tcW w:type="pct" w:w="32%"/>
            <w:tcMar>
              <w:top w:type="dxa" w:w="70"/>
              <w:left w:type="dxa" w:w="110"/>
              <w:bottom w:type="dxa" w:w="70"/>
              <w:right w:type="dxa" w:w="110"/>
            </w:tcMar>
          </w:tcPr>
          <w:p>
            <w:pPr>
              <w:spacing w:after="0" w:before="0" w:line="252"/>
            </w:pPr>
            <w:r>
              <w:rPr>
                <w:rFonts w:ascii="맑은 고딕" w:cs="맑은 고딕" w:eastAsia="맑은 고딕" w:hAnsi="맑은 고딕"/>
                <w:sz w:val="18"/>
                <w:szCs w:val="18"/>
              </w:rPr>
              <w:t xml:space="preserve">0.0971</w:t>
            </w:r>
          </w:p>
        </w:tc>
      </w:tr>
      <w:tr>
        <w:tc>
          <w:tcPr>
            <w:tcW w:type="pct" w:w="22%"/>
            <w:tcMar>
              <w:top w:type="dxa" w:w="70"/>
              <w:left w:type="dxa" w:w="110"/>
              <w:bottom w:type="dxa" w:w="70"/>
              <w:right w:type="dxa" w:w="110"/>
            </w:tcMar>
          </w:tcPr>
          <w:p>
            <w:pPr>
              <w:spacing w:after="0" w:before="0" w:line="252"/>
            </w:pPr>
            <w:r>
              <w:rPr>
                <w:rFonts w:ascii="맑은 고딕" w:cs="맑은 고딕" w:eastAsia="맑은 고딕" w:hAnsi="맑은 고딕"/>
                <w:sz w:val="18"/>
                <w:szCs w:val="18"/>
              </w:rPr>
              <w:t xml:space="preserve">food</w:t>
            </w:r>
          </w:p>
        </w:tc>
        <w:tc>
          <w:tcPr>
            <w:tcW w:type="pct" w:w="46%"/>
            <w:tcMar>
              <w:top w:type="dxa" w:w="70"/>
              <w:left w:type="dxa" w:w="110"/>
              <w:bottom w:type="dxa" w:w="70"/>
              <w:right w:type="dxa" w:w="110"/>
            </w:tcMar>
          </w:tcPr>
          <w:p>
            <w:pPr>
              <w:spacing w:after="0" w:before="0" w:line="252"/>
            </w:pPr>
            <w:r>
              <w:rPr>
                <w:rFonts w:ascii="맑은 고딕" w:cs="맑은 고딕" w:eastAsia="맑은 고딕" w:hAnsi="맑은 고딕"/>
                <w:sz w:val="18"/>
                <w:szCs w:val="18"/>
              </w:rPr>
              <w:t xml:space="preserve">0.3408</w:t>
            </w:r>
          </w:p>
        </w:tc>
        <w:tc>
          <w:tcPr>
            <w:tcW w:type="pct" w:w="32%"/>
            <w:tcMar>
              <w:top w:type="dxa" w:w="70"/>
              <w:left w:type="dxa" w:w="110"/>
              <w:bottom w:type="dxa" w:w="70"/>
              <w:right w:type="dxa" w:w="110"/>
            </w:tcMar>
          </w:tcPr>
          <w:p>
            <w:pPr>
              <w:spacing w:after="0" w:before="0" w:line="252"/>
            </w:pPr>
            <w:r>
              <w:rPr>
                <w:rFonts w:ascii="맑은 고딕" w:cs="맑은 고딕" w:eastAsia="맑은 고딕" w:hAnsi="맑은 고딕"/>
                <w:sz w:val="18"/>
                <w:szCs w:val="18"/>
              </w:rPr>
              <w:t xml:space="preserve">0.3315</w:t>
            </w:r>
          </w:p>
        </w:tc>
      </w:tr>
      <w:tr>
        <w:tc>
          <w:tcPr>
            <w:tcW w:type="pct" w:w="22%"/>
            <w:tcMar>
              <w:top w:type="dxa" w:w="70"/>
              <w:left w:type="dxa" w:w="110"/>
              <w:bottom w:type="dxa" w:w="70"/>
              <w:right w:type="dxa" w:w="110"/>
            </w:tcMar>
          </w:tcPr>
          <w:p>
            <w:pPr>
              <w:spacing w:after="0" w:before="0" w:line="252"/>
            </w:pPr>
            <w:r>
              <w:rPr>
                <w:rFonts w:ascii="맑은 고딕" w:cs="맑은 고딕" w:eastAsia="맑은 고딕" w:hAnsi="맑은 고딕"/>
                <w:sz w:val="18"/>
                <w:szCs w:val="18"/>
              </w:rPr>
              <w:t xml:space="preserve">fashion</w:t>
            </w:r>
          </w:p>
        </w:tc>
        <w:tc>
          <w:tcPr>
            <w:tcW w:type="pct" w:w="46%"/>
            <w:tcMar>
              <w:top w:type="dxa" w:w="70"/>
              <w:left w:type="dxa" w:w="110"/>
              <w:bottom w:type="dxa" w:w="70"/>
              <w:right w:type="dxa" w:w="110"/>
            </w:tcMar>
          </w:tcPr>
          <w:p>
            <w:pPr>
              <w:spacing w:after="0" w:before="0" w:line="252"/>
            </w:pPr>
            <w:r>
              <w:rPr>
                <w:rFonts w:ascii="맑은 고딕" w:cs="맑은 고딕" w:eastAsia="맑은 고딕" w:hAnsi="맑은 고딕"/>
                <w:sz w:val="18"/>
                <w:szCs w:val="18"/>
              </w:rPr>
              <w:t xml:space="preserve">0.6091</w:t>
            </w:r>
          </w:p>
        </w:tc>
        <w:tc>
          <w:tcPr>
            <w:tcW w:type="pct" w:w="32%"/>
            <w:tcMar>
              <w:top w:type="dxa" w:w="70"/>
              <w:left w:type="dxa" w:w="110"/>
              <w:bottom w:type="dxa" w:w="70"/>
              <w:right w:type="dxa" w:w="110"/>
            </w:tcMar>
          </w:tcPr>
          <w:p>
            <w:pPr>
              <w:spacing w:after="0" w:before="0" w:line="252"/>
            </w:pPr>
            <w:r>
              <w:rPr>
                <w:rFonts w:ascii="맑은 고딕" w:cs="맑은 고딕" w:eastAsia="맑은 고딕" w:hAnsi="맑은 고딕"/>
                <w:sz w:val="18"/>
                <w:szCs w:val="18"/>
              </w:rPr>
              <w:t xml:space="preserve">0.6591</w:t>
            </w:r>
          </w:p>
        </w:tc>
      </w:tr>
    </w:tbl>
    <w:p>
      <w:pPr>
        <w:spacing w:after="110" w:before="0"/>
      </w:pPr>
    </w:p>
    <w:p>
      <w:pPr>
        <w:spacing w:after="70" w:before="70" w:line="280"/>
      </w:pPr>
      <w:r>
        <w:rPr>
          <w:rFonts w:ascii="맑은 고딕" w:cs="맑은 고딕" w:eastAsia="맑은 고딕" w:hAnsi="맑은 고딕"/>
          <w:sz w:val="20"/>
          <w:szCs w:val="20"/>
        </w:rPr>
        <w:t xml:space="preserve">국가 구성비는 </w:t>
      </w:r>
      <w:r>
        <w:rPr>
          <w:rFonts w:ascii="맑은 고딕" w:cs="맑은 고딕" w:eastAsia="맑은 고딕" w:hAnsi="맑은 고딕"/>
          <w:b/>
          <w:bCs/>
          <w:sz w:val="20"/>
          <w:szCs w:val="20"/>
        </w:rPr>
        <w:t xml:space="preserve">2021-01 ~ 2024-03의 39개월 동안 단 하나</w:t>
      </w:r>
      <w:r>
        <w:rPr>
          <w:rFonts w:ascii="맑은 고딕" w:cs="맑은 고딕" w:eastAsia="맑은 고딕" w:hAnsi="맑은 고딕"/>
          <w:sz w:val="20"/>
          <w:szCs w:val="20"/>
        </w:rPr>
        <w:t xml:space="preserve">이며, 이후에도 분기 단위로만 변화한다(게임도 동일). 부록 D3이 기술한 월간 변조가 데이터에 존재하지 않는다. 웹툰 앱이 다수 국가의 Google Play 매출 순위권에 진입하지 못하여 변조 계수가 1로 고정된 것으로 추정된다.</w:t>
      </w:r>
    </w:p>
    <w:p>
      <w:pPr>
        <w:spacing w:after="70" w:before="70" w:line="280"/>
      </w:pPr>
      <w:r>
        <w:rPr>
          <w:rFonts w:ascii="맑은 고딕" w:cs="맑은 고딕" w:eastAsia="맑은 고딕" w:hAnsi="맑은 고딕"/>
          <w:sz w:val="20"/>
          <w:szCs w:val="20"/>
        </w:rPr>
        <w:t xml:space="preserve">그럼에도 표 4.2는 웹툰을 “통과(국가층) — 영어권 국가층에서 정방향 성립”으로 판정한다. </w:t>
      </w:r>
      <w:r>
        <w:rPr>
          <w:rFonts w:ascii="맑은 고딕" w:cs="맑은 고딕" w:eastAsia="맑은 고딕" w:hAnsi="맑은 고딕"/>
          <w:b/>
          <w:bCs/>
          <w:color w:val="A62B2B"/>
          <w:sz w:val="20"/>
          <w:szCs w:val="20"/>
        </w:rPr>
        <w:t xml:space="preserve">존재하지 않는 국가층을 근거로 통과 판정을 내린 것이다.</w:t>
      </w:r>
    </w:p>
    <w:p>
      <w:pPr>
        <w:pBdr>
          <w:left w:val="single" w:color="2E6B3E" w:sz="14" w:space="10"/>
        </w:pBdr>
        <w:spacing w:after="140" w:before="100" w:line="272"/>
        <w:ind w:left="240"/>
      </w:pPr>
      <w:r>
        <w:rPr>
          <w:rFonts w:ascii="맑은 고딕" w:cs="맑은 고딕" w:eastAsia="맑은 고딕" w:hAnsi="맑은 고딕"/>
          <w:b/>
          <w:bCs/>
          <w:color w:val="2E6B3E"/>
          <w:sz w:val="19"/>
          <w:szCs w:val="19"/>
        </w:rPr>
        <w:t xml:space="preserve">권고  </w:t>
      </w:r>
      <w:r>
        <w:rPr>
          <w:rFonts w:ascii="맑은 고딕" w:cs="맑은 고딕" w:eastAsia="맑은 고딕" w:hAnsi="맑은 고딕"/>
          <w:sz w:val="19"/>
          <w:szCs w:val="19"/>
        </w:rPr>
        <w:t xml:space="preserve">5국 파일럿에서 동일 계산을 1회 수행한다. 0이면 해당 β를 철회하고 “국가별 준거 부재로 산출 불가”로 표기한다.</w:t>
      </w:r>
    </w:p>
    <w:p>
      <w:pPr>
        <w:spacing w:after="100" w:before="300"/>
      </w:pPr>
      <w:r>
        <w:rPr>
          <w:rFonts w:ascii="맑은 고딕" w:cs="맑은 고딕" w:eastAsia="맑은 고딕" w:hAnsi="맑은 고딕"/>
          <w:b/>
          <w:bCs/>
          <w:color w:val="1F3864"/>
          <w:sz w:val="23"/>
          <w:szCs w:val="23"/>
        </w:rPr>
        <w:t xml:space="preserve">3. </w:t>
      </w:r>
      <w:r>
        <w:rPr>
          <w:rFonts w:ascii="맑은 고딕" w:cs="맑은 고딕" w:eastAsia="맑은 고딕" w:hAnsi="맑은 고딕"/>
          <w:b/>
          <w:bCs/>
          <w:color w:val="1F3864"/>
          <w:sz w:val="23"/>
          <w:szCs w:val="23"/>
        </w:rPr>
        <w:t xml:space="preserve">A 차원 백필 44%로 측정 정의가 시간에 따라 변한다</w:t>
      </w:r>
    </w:p>
    <w:p>
      <w:pPr>
        <w:spacing w:after="70" w:before="70" w:line="280"/>
      </w:pPr>
      <w:r>
        <w:rPr>
          <w:rFonts w:ascii="맑은 고딕" w:cs="맑은 고딕" w:eastAsia="맑은 고딕" w:hAnsi="맑은 고딕"/>
          <w:sz w:val="20"/>
          <w:szCs w:val="20"/>
        </w:rPr>
        <w:t xml:space="preserve">대시보드 신호의 연도별 차원 가용률은 다음과 같다.</w:t>
      </w:r>
    </w:p>
    <w:p>
      <w:pPr>
        <w:spacing w:after="100" w:before="70" w:line="250"/>
        <w:ind w:left="280"/>
      </w:pPr>
      <w:r>
        <w:rPr>
          <w:rFonts w:ascii="D2Coding" w:cs="D2Coding" w:eastAsia="D2Coding" w:hAnsi="D2Coding"/>
          <w:color w:val="5A5A5A"/>
          <w:sz w:val="17"/>
          <w:szCs w:val="17"/>
        </w:rPr>
        <w:t xml:space="preserve">2021   C 100%   A 83%   B 68%   S 95%
2024   C 100%   A 95%   B 68%   S 95%</w:t>
      </w:r>
    </w:p>
    <w:p>
      <w:pPr>
        <w:spacing w:after="70" w:before="70" w:line="280"/>
      </w:pPr>
      <w:r>
        <w:rPr>
          <w:rFonts w:ascii="맑은 고딕" w:cs="맑은 고딕" w:eastAsia="맑은 고딕" w:hAnsi="맑은 고딕"/>
          <w:sz w:val="20"/>
          <w:szCs w:val="20"/>
        </w:rPr>
        <w:t xml:space="preserve">부분창 재정규화 규정에 따르면 </w:t>
      </w:r>
      <w:r>
        <w:rPr>
          <w:rFonts w:ascii="맑은 고딕" w:cs="맑은 고딕" w:eastAsia="맑은 고딕" w:hAnsi="맑은 고딕"/>
          <w:b/>
          <w:bCs/>
          <w:color w:val="A62B2B"/>
          <w:sz w:val="20"/>
          <w:szCs w:val="20"/>
        </w:rPr>
        <w:t xml:space="preserve">전반부는 C·B 2차원, 후반부는 C·A·B 3차원 합성</w:t>
      </w:r>
      <w:r>
        <w:rPr>
          <w:rFonts w:ascii="맑은 고딕" w:cs="맑은 고딕" w:eastAsia="맑은 고딕" w:hAnsi="맑은 고딕"/>
          <w:sz w:val="20"/>
          <w:szCs w:val="20"/>
        </w:rPr>
        <w:t xml:space="preserve">이 된다. 12개월 차분을 적용하면 차원 구성이 상이한 두 시점을 차감하게 된다. 제2장이 서술한 문제와 동일하다.</w:t>
      </w:r>
    </w:p>
    <w:p>
      <w:pPr>
        <w:pBdr>
          <w:left w:val="single" w:color="C9C9C9" w:sz="14" w:space="10"/>
        </w:pBdr>
        <w:spacing w:after="110" w:before="90" w:line="264"/>
        <w:ind w:left="340"/>
      </w:pPr>
      <w:r>
        <w:rPr>
          <w:rFonts w:ascii="맑은 고딕" w:cs="맑은 고딕" w:eastAsia="맑은 고딕" w:hAnsi="맑은 고딕"/>
          <w:i/>
          <w:iCs/>
          <w:color w:val="5A5A5A"/>
          <w:sz w:val="19"/>
          <w:szCs w:val="19"/>
        </w:rPr>
        <w:t xml:space="preserve">장치의 탈착 자체가 측정 정의의 변경으로서 시계열 일관성을 해치는 것을 방지하려는 조치</w:t>
      </w:r>
    </w:p>
    <w:p>
      <w:pPr>
        <w:pBdr>
          <w:left w:val="single" w:color="2E6B3E" w:sz="14" w:space="10"/>
        </w:pBdr>
        <w:spacing w:after="140" w:before="100" w:line="272"/>
        <w:ind w:left="240"/>
      </w:pPr>
      <w:r>
        <w:rPr>
          <w:rFonts w:ascii="맑은 고딕" w:cs="맑은 고딕" w:eastAsia="맑은 고딕" w:hAnsi="맑은 고딕"/>
          <w:b/>
          <w:bCs/>
          <w:color w:val="2E6B3E"/>
          <w:sz w:val="19"/>
          <w:szCs w:val="19"/>
        </w:rPr>
        <w:t xml:space="preserve">권고  </w:t>
      </w:r>
      <w:r>
        <w:rPr>
          <w:rFonts w:ascii="맑은 고딕" w:cs="맑은 고딕" w:eastAsia="맑은 고딕" w:hAnsi="맑은 고딕"/>
          <w:sz w:val="19"/>
          <w:szCs w:val="19"/>
        </w:rPr>
        <w:t xml:space="preserve">백필 완료를 기다릴 필요가 없다. A를 제외한 C·B 2차원 판본으로 전 구간 β를 재추정하여 현행 결과와 병기한다. 두 판본이 일치하면 결과는 백필 진도와 무관하게 성립하고, 불일치하면 현행 β는 백필 진도를 측정한 것이다.</w:t>
      </w:r>
    </w:p>
    <w:p>
      <w:pPr>
        <w:spacing w:after="100" w:before="300"/>
      </w:pPr>
      <w:r>
        <w:rPr>
          <w:rFonts w:ascii="맑은 고딕" w:cs="맑은 고딕" w:eastAsia="맑은 고딕" w:hAnsi="맑은 고딕"/>
          <w:b/>
          <w:bCs/>
          <w:color w:val="1F3864"/>
          <w:sz w:val="23"/>
          <w:szCs w:val="23"/>
        </w:rPr>
        <w:t xml:space="preserve">4. </w:t>
      </w:r>
      <w:r>
        <w:rPr>
          <w:rFonts w:ascii="맑은 고딕" w:cs="맑은 고딕" w:eastAsia="맑은 고딕" w:hAnsi="맑은 고딕"/>
          <w:b/>
          <w:bCs/>
          <w:color w:val="1F3864"/>
          <w:sz w:val="23"/>
          <w:szCs w:val="23"/>
        </w:rPr>
        <w:t xml:space="preserve">관광 C가 맨 지명이며 가중 68%를 점한다</w:t>
      </w:r>
    </w:p>
    <w:p>
      <w:pPr>
        <w:spacing w:after="100" w:before="70" w:line="250"/>
        <w:ind w:left="280"/>
      </w:pPr>
      <w:r>
        <w:rPr>
          <w:rFonts w:ascii="D2Coding" w:cs="D2Coding" w:eastAsia="D2Coding" w:hAnsi="D2Coding"/>
          <w:color w:val="5A5A5A"/>
          <w:sz w:val="17"/>
          <w:szCs w:val="17"/>
        </w:rPr>
        <w:t xml:space="preserve">TOURISM  C   Busan · Seoul · Jeju Island · Gyeongbokgung Palace</w:t>
      </w:r>
    </w:p>
    <w:p>
      <w:pPr>
        <w:spacing w:after="70" w:before="70" w:line="280"/>
      </w:pPr>
      <w:r>
        <w:rPr>
          <w:rFonts w:ascii="맑은 고딕" w:cs="맑은 고딕" w:eastAsia="맑은 고딕" w:hAnsi="맑은 고딕"/>
          <w:sz w:val="20"/>
          <w:szCs w:val="20"/>
        </w:rPr>
        <w:t xml:space="preserve">지명 단독 검색은 뉴스·정치·스포츠 관련 검색을 포함한다. 부산은 영화제·엑스포 유치 보도로 여행 수요와 무관하게 급등한다.</w:t>
      </w:r>
    </w:p>
    <w:p>
      <w:pPr>
        <w:spacing w:after="70" w:before="70" w:line="280"/>
      </w:pPr>
      <w:r>
        <w:rPr>
          <w:rFonts w:ascii="맑은 고딕" w:cs="맑은 고딕" w:eastAsia="맑은 고딕" w:hAnsi="맑은 고딕"/>
          <w:sz w:val="20"/>
          <w:szCs w:val="20"/>
        </w:rPr>
        <w:t xml:space="preserve">관광은 8산업 중 </w:t>
      </w:r>
      <w:r>
        <w:rPr>
          <w:rFonts w:ascii="맑은 고딕" w:cs="맑은 고딕" w:eastAsia="맑은 고딕" w:hAnsi="맑은 고딕"/>
          <w:b/>
          <w:bCs/>
          <w:sz w:val="20"/>
          <w:szCs w:val="20"/>
        </w:rPr>
        <w:t xml:space="preserve">유일하게 표본외 개선까지 충족한 산업</w:t>
      </w:r>
      <w:r>
        <w:rPr>
          <w:rFonts w:ascii="맑은 고딕" w:cs="맑은 고딕" w:eastAsia="맑은 고딕" w:hAnsi="맑은 고딕"/>
          <w:sz w:val="20"/>
          <w:szCs w:val="20"/>
        </w:rPr>
        <w:t xml:space="preserve">이다. 지명 검색과 입국자 수가 모두 “해당국의 한국 관련 뉴스 노출”에 동시 반응할 수 있으므로, 높은 설명력이 공통 원인의 소산일 가능성을 배제하지 못한다.</w:t>
      </w:r>
    </w:p>
    <w:p>
      <w:pPr>
        <w:pBdr>
          <w:left w:val="single" w:color="2E6B3E" w:sz="14" w:space="10"/>
        </w:pBdr>
        <w:spacing w:after="140" w:before="100" w:line="272"/>
        <w:ind w:left="240"/>
      </w:pPr>
      <w:r>
        <w:rPr>
          <w:rFonts w:ascii="맑은 고딕" w:cs="맑은 고딕" w:eastAsia="맑은 고딕" w:hAnsi="맑은 고딕"/>
          <w:b/>
          <w:bCs/>
          <w:color w:val="2E6B3E"/>
          <w:sz w:val="19"/>
          <w:szCs w:val="19"/>
        </w:rPr>
        <w:t xml:space="preserve">권고  </w:t>
      </w:r>
      <w:r>
        <w:rPr>
          <w:rFonts w:ascii="맑은 고딕" w:cs="맑은 고딕" w:eastAsia="맑은 고딕" w:hAnsi="맑은 고딕"/>
          <w:sz w:val="19"/>
          <w:szCs w:val="19"/>
        </w:rPr>
        <w:t xml:space="preserve">Seoul travel·ソウル 旅行 등 의도어를 결합한 계열로 C를 재구성하여 β를 재추정한다. B 차원(Korail·Naver Map)의 설계는 적절하다.</w:t>
      </w:r>
    </w:p>
    <w:p>
      <w:pPr>
        <w:spacing w:after="100" w:before="300"/>
      </w:pPr>
      <w:r>
        <w:rPr>
          <w:rFonts w:ascii="맑은 고딕" w:cs="맑은 고딕" w:eastAsia="맑은 고딕" w:hAnsi="맑은 고딕"/>
          <w:b/>
          <w:bCs/>
          <w:color w:val="1F3864"/>
          <w:sz w:val="23"/>
          <w:szCs w:val="23"/>
        </w:rPr>
        <w:t xml:space="preserve">5. </w:t>
      </w:r>
      <w:r>
        <w:rPr>
          <w:rFonts w:ascii="맑은 고딕" w:cs="맑은 고딕" w:eastAsia="맑은 고딕" w:hAnsi="맑은 고딕"/>
          <w:b/>
          <w:bCs/>
          <w:color w:val="1F3864"/>
          <w:sz w:val="23"/>
          <w:szCs w:val="23"/>
        </w:rPr>
        <w:t xml:space="preserve">동일 산업에 판정이 셋 병존한다</w:t>
      </w:r>
    </w:p>
    <w:p>
      <w:pPr>
        <w:spacing w:after="110" w:before="0"/>
      </w:pPr>
    </w:p>
    <w:tbl>
      <w:tblPr>
        <w:tblW w:type="pct" w:w="100%"/>
        <w:tblBorders>
          <w:top w:val="single" w:color="C9C9C9" w:sz="6"/>
          <w:left w:val="none"/>
          <w:bottom w:val="single" w:color="C9C9C9" w:sz="6"/>
          <w:right w:val="none"/>
          <w:insideH w:val="single" w:color="C9C9C9" w:sz="4"/>
          <w:insideV w:val="none"/>
        </w:tblBorders>
      </w:tblPr>
      <w:tblGrid>
        <w:gridCol w:w="100"/>
        <w:gridCol w:w="100"/>
      </w:tblGrid>
      <w:tr>
        <w:trPr>
          <w:tblHeader/>
        </w:trPr>
        <w:tc>
          <w:tcPr>
            <w:tcW w:type="pct" w:w="34%"/>
            <w:shd w:fill="F2F4F7" w:val="clear"/>
            <w:tcMar>
              <w:top w:type="dxa" w:w="70"/>
              <w:left w:type="dxa" w:w="110"/>
              <w:bottom w:type="dxa" w:w="70"/>
              <w:right w:type="dxa" w:w="110"/>
            </w:tcMar>
          </w:tcPr>
          <w:p>
            <w:pPr>
              <w:spacing w:after="0" w:before="0" w:line="252"/>
            </w:pPr>
            <w:r>
              <w:rPr>
                <w:rFonts w:ascii="맑은 고딕" w:cs="맑은 고딕" w:eastAsia="맑은 고딕" w:hAnsi="맑은 고딕"/>
                <w:b/>
                <w:bCs/>
                <w:color w:val="1F3864"/>
                <w:sz w:val="18"/>
                <w:szCs w:val="18"/>
              </w:rPr>
              <w:t xml:space="preserve">위치</w:t>
            </w:r>
          </w:p>
        </w:tc>
        <w:tc>
          <w:tcPr>
            <w:tcW w:type="pct" w:w="66%"/>
            <w:shd w:fill="F2F4F7" w:val="clear"/>
            <w:tcMar>
              <w:top w:type="dxa" w:w="70"/>
              <w:left w:type="dxa" w:w="110"/>
              <w:bottom w:type="dxa" w:w="70"/>
              <w:right w:type="dxa" w:w="110"/>
            </w:tcMar>
          </w:tcPr>
          <w:p>
            <w:pPr>
              <w:spacing w:after="0" w:before="0" w:line="252"/>
            </w:pPr>
            <w:r>
              <w:rPr>
                <w:rFonts w:ascii="맑은 고딕" w:cs="맑은 고딕" w:eastAsia="맑은 고딕" w:hAnsi="맑은 고딕"/>
                <w:b/>
                <w:bCs/>
                <w:color w:val="1F3864"/>
                <w:sz w:val="18"/>
                <w:szCs w:val="18"/>
              </w:rPr>
              <w:t xml:space="preserve">영상·웹툰 판정</w:t>
            </w:r>
          </w:p>
        </w:tc>
      </w:tr>
      <w:tr>
        <w:tc>
          <w:tcPr>
            <w:tcW w:type="pct" w:w="34%"/>
            <w:tcMar>
              <w:top w:type="dxa" w:w="70"/>
              <w:left w:type="dxa" w:w="110"/>
              <w:bottom w:type="dxa" w:w="70"/>
              <w:right w:type="dxa" w:w="110"/>
            </w:tcMar>
          </w:tcPr>
          <w:p>
            <w:pPr>
              <w:spacing w:after="0" w:before="0" w:line="252"/>
            </w:pPr>
            <w:r>
              <w:rPr>
                <w:rFonts w:ascii="맑은 고딕" w:cs="맑은 고딕" w:eastAsia="맑은 고딕" w:hAnsi="맑은 고딕"/>
                <w:sz w:val="18"/>
                <w:szCs w:val="18"/>
              </w:rPr>
              <w:t xml:space="preserve">Executive Summary</w:t>
            </w:r>
          </w:p>
        </w:tc>
        <w:tc>
          <w:tcPr>
            <w:tcW w:type="pct" w:w="66%"/>
            <w:tcMar>
              <w:top w:type="dxa" w:w="70"/>
              <w:left w:type="dxa" w:w="110"/>
              <w:bottom w:type="dxa" w:w="70"/>
              <w:right w:type="dxa" w:w="110"/>
            </w:tcMar>
          </w:tcPr>
          <w:p>
            <w:pPr>
              <w:spacing w:after="0" w:before="0" w:line="252"/>
            </w:pPr>
            <w:r>
              <w:rPr>
                <w:rFonts w:ascii="맑은 고딕" w:cs="맑은 고딕" w:eastAsia="맑은 고딕" w:hAnsi="맑은 고딕"/>
                <w:b/>
                <w:bCs/>
                <w:sz w:val="18"/>
                <w:szCs w:val="18"/>
              </w:rPr>
              <w:t xml:space="preserve">재검토</w:t>
            </w:r>
          </w:p>
        </w:tc>
      </w:tr>
      <w:tr>
        <w:tc>
          <w:tcPr>
            <w:tcW w:type="pct" w:w="34%"/>
            <w:tcMar>
              <w:top w:type="dxa" w:w="70"/>
              <w:left w:type="dxa" w:w="110"/>
              <w:bottom w:type="dxa" w:w="70"/>
              <w:right w:type="dxa" w:w="110"/>
            </w:tcMar>
          </w:tcPr>
          <w:p>
            <w:pPr>
              <w:spacing w:after="0" w:before="0" w:line="252"/>
            </w:pPr>
            <w:r>
              <w:rPr>
                <w:rFonts w:ascii="맑은 고딕" w:cs="맑은 고딕" w:eastAsia="맑은 고딕" w:hAnsi="맑은 고딕"/>
                <w:sz w:val="18"/>
                <w:szCs w:val="18"/>
              </w:rPr>
              <w:t xml:space="preserve">표 4.1</w:t>
            </w:r>
          </w:p>
        </w:tc>
        <w:tc>
          <w:tcPr>
            <w:tcW w:type="pct" w:w="66%"/>
            <w:tcMar>
              <w:top w:type="dxa" w:w="70"/>
              <w:left w:type="dxa" w:w="110"/>
              <w:bottom w:type="dxa" w:w="70"/>
              <w:right w:type="dxa" w:w="110"/>
            </w:tcMar>
          </w:tcPr>
          <w:p>
            <w:pPr>
              <w:spacing w:after="0" w:before="0" w:line="252"/>
            </w:pPr>
            <w:r>
              <w:rPr>
                <w:rFonts w:ascii="맑은 고딕" w:cs="맑은 고딕" w:eastAsia="맑은 고딕" w:hAnsi="맑은 고딕"/>
                <w:b/>
                <w:bCs/>
                <w:sz w:val="18"/>
                <w:szCs w:val="18"/>
              </w:rPr>
              <w:t xml:space="preserve">공시(부호 역전)</w:t>
            </w:r>
          </w:p>
        </w:tc>
      </w:tr>
      <w:tr>
        <w:tc>
          <w:tcPr>
            <w:tcW w:type="pct" w:w="34%"/>
            <w:tcMar>
              <w:top w:type="dxa" w:w="70"/>
              <w:left w:type="dxa" w:w="110"/>
              <w:bottom w:type="dxa" w:w="70"/>
              <w:right w:type="dxa" w:w="110"/>
            </w:tcMar>
          </w:tcPr>
          <w:p>
            <w:pPr>
              <w:spacing w:after="0" w:before="0" w:line="252"/>
            </w:pPr>
            <w:r>
              <w:rPr>
                <w:rFonts w:ascii="맑은 고딕" w:cs="맑은 고딕" w:eastAsia="맑은 고딕" w:hAnsi="맑은 고딕"/>
                <w:sz w:val="18"/>
                <w:szCs w:val="18"/>
              </w:rPr>
              <w:t xml:space="preserve">표 4.2</w:t>
            </w:r>
          </w:p>
        </w:tc>
        <w:tc>
          <w:tcPr>
            <w:tcW w:type="pct" w:w="66%"/>
            <w:tcMar>
              <w:top w:type="dxa" w:w="70"/>
              <w:left w:type="dxa" w:w="110"/>
              <w:bottom w:type="dxa" w:w="70"/>
              <w:right w:type="dxa" w:w="110"/>
            </w:tcMar>
          </w:tcPr>
          <w:p>
            <w:pPr>
              <w:spacing w:after="0" w:before="0" w:line="252"/>
            </w:pPr>
            <w:r>
              <w:rPr>
                <w:rFonts w:ascii="맑은 고딕" w:cs="맑은 고딕" w:eastAsia="맑은 고딕" w:hAnsi="맑은 고딕"/>
                <w:b/>
                <w:bCs/>
                <w:color w:val="A62B2B"/>
                <w:sz w:val="18"/>
                <w:szCs w:val="18"/>
              </w:rPr>
              <w:t xml:space="preserve">통과(국가층)</w:t>
            </w:r>
          </w:p>
        </w:tc>
      </w:tr>
    </w:tbl>
    <w:p>
      <w:pPr>
        <w:spacing w:after="110" w:before="0"/>
      </w:pPr>
    </w:p>
    <w:p>
      <w:pPr>
        <w:spacing w:after="70" w:before="70" w:line="280"/>
      </w:pPr>
      <w:r>
        <w:rPr>
          <w:rFonts w:ascii="맑은 고딕" w:cs="맑은 고딕" w:eastAsia="맑은 고딕" w:hAnsi="맑은 고딕"/>
          <w:sz w:val="20"/>
          <w:szCs w:val="20"/>
        </w:rPr>
        <w:t xml:space="preserve">식품은 Executive Summary의 판정 목록에서 누락되었으나, 해당 산업은 </w:t>
      </w:r>
      <w:r>
        <w:rPr>
          <w:rFonts w:ascii="맑은 고딕" w:cs="맑은 고딕" w:eastAsia="맑은 고딕" w:hAnsi="맑은 고딕"/>
          <w:b/>
          <w:bCs/>
          <w:color w:val="A62B2B"/>
          <w:sz w:val="20"/>
          <w:szCs w:val="20"/>
        </w:rPr>
        <w:t xml:space="preserve">β 0.00006 · r² .01로 8산업 중 최약</w:t>
      </w:r>
      <w:r>
        <w:rPr>
          <w:rFonts w:ascii="맑은 고딕" w:cs="맑은 고딕" w:eastAsia="맑은 고딕" w:hAnsi="맑은 고딕"/>
          <w:sz w:val="20"/>
          <w:szCs w:val="20"/>
        </w:rPr>
        <w:t xml:space="preserve">이다. 준거 등급도 제2장은 5단계, 제4장은 4단계로 상이하다.</w:t>
      </w:r>
    </w:p>
    <w:p>
      <w:pPr>
        <w:pBdr>
          <w:left w:val="single" w:color="2E6B3E" w:sz="14" w:space="10"/>
        </w:pBdr>
        <w:spacing w:after="140" w:before="100" w:line="272"/>
        <w:ind w:left="240"/>
      </w:pPr>
      <w:r>
        <w:rPr>
          <w:rFonts w:ascii="맑은 고딕" w:cs="맑은 고딕" w:eastAsia="맑은 고딕" w:hAnsi="맑은 고딕"/>
          <w:b/>
          <w:bCs/>
          <w:color w:val="2E6B3E"/>
          <w:sz w:val="19"/>
          <w:szCs w:val="19"/>
        </w:rPr>
        <w:t xml:space="preserve">권고  </w:t>
      </w:r>
      <w:r>
        <w:rPr>
          <w:rFonts w:ascii="맑은 고딕" w:cs="맑은 고딕" w:eastAsia="맑은 고딕" w:hAnsi="맑은 고딕"/>
          <w:sz w:val="19"/>
          <w:szCs w:val="19"/>
        </w:rPr>
        <w:t xml:space="preserve">표 4.1과 표 4.2를 단일 표로 통합하고 판정 어휘를 4단계로 고정한다.</w:t>
      </w:r>
    </w:p>
    <w:p>
      <w:pPr>
        <w:spacing w:after="100" w:before="300"/>
      </w:pPr>
      <w:r>
        <w:rPr>
          <w:rFonts w:ascii="맑은 고딕" w:cs="맑은 고딕" w:eastAsia="맑은 고딕" w:hAnsi="맑은 고딕"/>
          <w:b/>
          <w:bCs/>
          <w:color w:val="1F3864"/>
          <w:sz w:val="23"/>
          <w:szCs w:val="23"/>
        </w:rPr>
        <w:t xml:space="preserve">6. </w:t>
      </w:r>
      <w:r>
        <w:rPr>
          <w:rFonts w:ascii="맑은 고딕" w:cs="맑은 고딕" w:eastAsia="맑은 고딕" w:hAnsi="맑은 고딕"/>
          <w:b/>
          <w:bCs/>
          <w:color w:val="1F3864"/>
          <w:sz w:val="23"/>
          <w:szCs w:val="23"/>
        </w:rPr>
        <w:t xml:space="preserve">등가중 대비 검정 결과가 제시되지 않았다</w:t>
      </w:r>
    </w:p>
    <w:p>
      <w:pPr>
        <w:spacing w:after="70" w:before="70" w:line="280"/>
      </w:pPr>
      <w:r>
        <w:rPr>
          <w:rFonts w:ascii="맑은 고딕" w:cs="맑은 고딕" w:eastAsia="맑은 고딕" w:hAnsi="맑은 고딕"/>
          <w:sz w:val="20"/>
          <w:szCs w:val="20"/>
        </w:rPr>
        <w:t xml:space="preserve">제2장은 성과준거 가중을 방법론적 장점으로 제시한다.</w:t>
      </w:r>
    </w:p>
    <w:p>
      <w:pPr>
        <w:pBdr>
          <w:left w:val="single" w:color="C9C9C9" w:sz="14" w:space="10"/>
        </w:pBdr>
        <w:spacing w:after="110" w:before="90" w:line="264"/>
        <w:ind w:left="340"/>
      </w:pPr>
      <w:r>
        <w:rPr>
          <w:rFonts w:ascii="맑은 고딕" w:cs="맑은 고딕" w:eastAsia="맑은 고딕" w:hAnsi="맑은 고딕"/>
          <w:i/>
          <w:iCs/>
          <w:color w:val="5A5A5A"/>
          <w:sz w:val="19"/>
          <w:szCs w:val="19"/>
        </w:rPr>
        <w:t xml:space="preserve">왜 관광 지수에서 C가 68%인가 — 관광객 수를 가장 잘 설명하는 비율이기 때문</w:t>
      </w:r>
    </w:p>
    <w:p>
      <w:pPr>
        <w:spacing w:after="70" w:before="70" w:line="280"/>
      </w:pPr>
      <w:r>
        <w:rPr>
          <w:rFonts w:ascii="맑은 고딕" w:cs="맑은 고딕" w:eastAsia="맑은 고딕" w:hAnsi="맑은 고딕"/>
          <w:sz w:val="20"/>
          <w:szCs w:val="20"/>
        </w:rPr>
        <w:t xml:space="preserve">그러나 동 장의 한계 다섯째는 다음과 같다.</w:t>
      </w:r>
    </w:p>
    <w:p>
      <w:pPr>
        <w:pBdr>
          <w:left w:val="single" w:color="C9C9C9" w:sz="14" w:space="10"/>
        </w:pBdr>
        <w:spacing w:after="110" w:before="90" w:line="264"/>
        <w:ind w:left="340"/>
      </w:pPr>
      <w:r>
        <w:rPr>
          <w:rFonts w:ascii="맑은 고딕" w:cs="맑은 고딕" w:eastAsia="맑은 고딕" w:hAnsi="맑은 고딕"/>
          <w:i/>
          <w:iCs/>
          <w:color w:val="5A5A5A"/>
          <w:sz w:val="19"/>
          <w:szCs w:val="19"/>
        </w:rPr>
        <w:t xml:space="preserve">추정 창(수년)의 유효 자유도 제약으로 가중치가 등가중과 통계적으로 구별되지 않을 수 있으며, 이 경우 축소 추정이 등가중을 채택하는 것은 결함이 아니라 정직한 판정이다</w:t>
      </w:r>
    </w:p>
    <w:p>
      <w:pPr>
        <w:spacing w:after="70" w:before="70" w:line="280"/>
      </w:pPr>
      <w:r>
        <w:rPr>
          <w:rFonts w:ascii="맑은 고딕" w:cs="맑은 고딕" w:eastAsia="맑은 고딕" w:hAnsi="맑은 고딕"/>
          <w:sz w:val="20"/>
          <w:szCs w:val="20"/>
        </w:rPr>
        <w:t xml:space="preserve">해당 검정 결과와 축소 강도 λ가 </w:t>
      </w:r>
      <w:r>
        <w:rPr>
          <w:rFonts w:ascii="맑은 고딕" w:cs="맑은 고딕" w:eastAsia="맑은 고딕" w:hAnsi="맑은 고딕"/>
          <w:b/>
          <w:bCs/>
          <w:color w:val="A62B2B"/>
          <w:sz w:val="20"/>
          <w:szCs w:val="20"/>
        </w:rPr>
        <w:t xml:space="preserve">문서에 없다.</w:t>
      </w:r>
      <w:r>
        <w:rPr>
          <w:rFonts w:ascii="맑은 고딕" w:cs="맑은 고딕" w:eastAsia="맑은 고딕" w:hAnsi="맑은 고딕"/>
          <w:sz w:val="20"/>
          <w:szCs w:val="20"/>
        </w:rPr>
        <w:t xml:space="preserve"> 68%가 33%와 구별되지 않으면 위 “한 줄 답변”은 성립하지 않는다.</w:t>
      </w:r>
    </w:p>
    <w:p>
      <w:pPr>
        <w:pBdr>
          <w:left w:val="single" w:color="2E6B3E" w:sz="14" w:space="10"/>
        </w:pBdr>
        <w:spacing w:after="140" w:before="100" w:line="272"/>
        <w:ind w:left="240"/>
      </w:pPr>
      <w:r>
        <w:rPr>
          <w:rFonts w:ascii="맑은 고딕" w:cs="맑은 고딕" w:eastAsia="맑은 고딕" w:hAnsi="맑은 고딕"/>
          <w:b/>
          <w:bCs/>
          <w:color w:val="2E6B3E"/>
          <w:sz w:val="19"/>
          <w:szCs w:val="19"/>
        </w:rPr>
        <w:t xml:space="preserve">권고  </w:t>
      </w:r>
      <w:r>
        <w:rPr>
          <w:rFonts w:ascii="맑은 고딕" w:cs="맑은 고딕" w:eastAsia="맑은 고딕" w:hAnsi="맑은 고딕"/>
          <w:sz w:val="19"/>
          <w:szCs w:val="19"/>
        </w:rPr>
        <w:t xml:space="preserve">산업별로 추정 w / 축소 후 w / λ / 등가중 대비 표본외 개선의 4열 표를 제시한다. λ가 큰 산업은 “데이터가 가중을 결정하지 못하였다”고 명시한다. 이는 결함의 고백이 아니라 정직한 보고이며, 보고서 자신이 그렇게 규정하였다.</w:t>
      </w:r>
    </w:p>
    <w:p>
      <w:pPr>
        <w:pBdr>
          <w:bottom w:val="single" w:color="1F3864" w:sz="10" w:space="6"/>
        </w:pBdr>
        <w:spacing w:after="130" w:before="340"/>
      </w:pPr>
      <w:r>
        <w:rPr>
          <w:rFonts w:ascii="맑은 고딕" w:cs="맑은 고딕" w:eastAsia="맑은 고딕" w:hAnsi="맑은 고딕"/>
          <w:b/>
          <w:bCs/>
          <w:color w:val="1F3864"/>
          <w:sz w:val="26"/>
          <w:szCs w:val="26"/>
        </w:rPr>
        <w:t xml:space="preserve">조치 우선순위</w:t>
      </w:r>
    </w:p>
    <w:tbl>
      <w:tblPr>
        <w:tblW w:type="pct" w:w="100%"/>
        <w:tblBorders>
          <w:top w:val="single" w:color="C9C9C9" w:sz="6"/>
          <w:left w:val="none"/>
          <w:bottom w:val="single" w:color="C9C9C9" w:sz="6"/>
          <w:right w:val="none"/>
          <w:insideH w:val="single" w:color="C9C9C9" w:sz="4"/>
          <w:insideV w:val="none"/>
        </w:tblBorders>
      </w:tblPr>
      <w:tblGrid>
        <w:gridCol w:w="100"/>
        <w:gridCol w:w="100"/>
        <w:gridCol w:w="100"/>
      </w:tblGrid>
      <w:tr>
        <w:trPr>
          <w:tblHeader/>
        </w:trPr>
        <w:tc>
          <w:tcPr>
            <w:tcW w:type="pct" w:w="8%"/>
            <w:shd w:fill="F2F4F7" w:val="clear"/>
            <w:tcMar>
              <w:top w:type="dxa" w:w="70"/>
              <w:left w:type="dxa" w:w="110"/>
              <w:bottom w:type="dxa" w:w="70"/>
              <w:right w:type="dxa" w:w="110"/>
            </w:tcMar>
          </w:tcPr>
          <w:p>
            <w:pPr>
              <w:spacing w:after="0" w:before="0" w:line="252"/>
            </w:pPr>
            <w:r>
              <w:rPr>
                <w:rFonts w:ascii="맑은 고딕" w:cs="맑은 고딕" w:eastAsia="맑은 고딕" w:hAnsi="맑은 고딕"/>
                <w:b/>
                <w:bCs/>
                <w:color w:val="1F3864"/>
                <w:sz w:val="18"/>
                <w:szCs w:val="18"/>
              </w:rPr>
              <w:t xml:space="preserve"/>
            </w:r>
          </w:p>
        </w:tc>
        <w:tc>
          <w:tcPr>
            <w:tcW w:type="pct" w:w="72%"/>
            <w:shd w:fill="F2F4F7" w:val="clear"/>
            <w:tcMar>
              <w:top w:type="dxa" w:w="70"/>
              <w:left w:type="dxa" w:w="110"/>
              <w:bottom w:type="dxa" w:w="70"/>
              <w:right w:type="dxa" w:w="110"/>
            </w:tcMar>
          </w:tcPr>
          <w:p>
            <w:pPr>
              <w:spacing w:after="0" w:before="0" w:line="252"/>
            </w:pPr>
            <w:r>
              <w:rPr>
                <w:rFonts w:ascii="맑은 고딕" w:cs="맑은 고딕" w:eastAsia="맑은 고딕" w:hAnsi="맑은 고딕"/>
                <w:b/>
                <w:bCs/>
                <w:color w:val="1F3864"/>
                <w:sz w:val="18"/>
                <w:szCs w:val="18"/>
              </w:rPr>
              <w:t xml:space="preserve">조치</w:t>
            </w:r>
          </w:p>
        </w:tc>
        <w:tc>
          <w:tcPr>
            <w:tcW w:type="pct" w:w="20%"/>
            <w:shd w:fill="F2F4F7" w:val="clear"/>
            <w:tcMar>
              <w:top w:type="dxa" w:w="70"/>
              <w:left w:type="dxa" w:w="110"/>
              <w:bottom w:type="dxa" w:w="70"/>
              <w:right w:type="dxa" w:w="110"/>
            </w:tcMar>
          </w:tcPr>
          <w:p>
            <w:pPr>
              <w:spacing w:after="0" w:before="0" w:line="252"/>
            </w:pPr>
            <w:r>
              <w:rPr>
                <w:rFonts w:ascii="맑은 고딕" w:cs="맑은 고딕" w:eastAsia="맑은 고딕" w:hAnsi="맑은 고딕"/>
                <w:b/>
                <w:bCs/>
                <w:color w:val="1F3864"/>
                <w:sz w:val="18"/>
                <w:szCs w:val="18"/>
              </w:rPr>
              <w:t xml:space="preserve">소요</w:t>
            </w:r>
          </w:p>
        </w:tc>
      </w:tr>
      <w:tr>
        <w:tc>
          <w:tcPr>
            <w:tcW w:type="pct" w:w="8%"/>
            <w:tcMar>
              <w:top w:type="dxa" w:w="70"/>
              <w:left w:type="dxa" w:w="110"/>
              <w:bottom w:type="dxa" w:w="70"/>
              <w:right w:type="dxa" w:w="110"/>
            </w:tcMar>
          </w:tcPr>
          <w:p>
            <w:pPr>
              <w:spacing w:after="0" w:before="0" w:line="252"/>
            </w:pPr>
            <w:r>
              <w:rPr>
                <w:rFonts w:ascii="맑은 고딕" w:cs="맑은 고딕" w:eastAsia="맑은 고딕" w:hAnsi="맑은 고딕"/>
                <w:b/>
                <w:bCs/>
                <w:color w:val="A62B2B"/>
                <w:sz w:val="18"/>
                <w:szCs w:val="18"/>
              </w:rPr>
              <w:t xml:space="preserve">1</w:t>
            </w:r>
          </w:p>
        </w:tc>
        <w:tc>
          <w:tcPr>
            <w:tcW w:type="pct" w:w="72%"/>
            <w:tcMar>
              <w:top w:type="dxa" w:w="70"/>
              <w:left w:type="dxa" w:w="110"/>
              <w:bottom w:type="dxa" w:w="70"/>
              <w:right w:type="dxa" w:w="110"/>
            </w:tcMar>
          </w:tcPr>
          <w:p>
            <w:pPr>
              <w:spacing w:after="0" w:before="0" w:line="252"/>
            </w:pPr>
            <w:r>
              <w:rPr>
                <w:rFonts w:ascii="맑은 고딕" w:cs="맑은 고딕" w:eastAsia="맑은 고딕" w:hAnsi="맑은 고딕"/>
                <w:b/>
                <w:bCs/>
                <w:sz w:val="18"/>
                <w:szCs w:val="18"/>
              </w:rPr>
              <w:t xml:space="preserve">웹툰·게임 5국판 국가 간 분산 확인</w:t>
            </w:r>
          </w:p>
        </w:tc>
        <w:tc>
          <w:tcPr>
            <w:tcW w:type="pct" w:w="20%"/>
            <w:tcMar>
              <w:top w:type="dxa" w:w="70"/>
              <w:left w:type="dxa" w:w="110"/>
              <w:bottom w:type="dxa" w:w="70"/>
              <w:right w:type="dxa" w:w="110"/>
            </w:tcMar>
          </w:tcPr>
          <w:p>
            <w:pPr>
              <w:spacing w:after="0" w:before="0" w:line="252"/>
            </w:pPr>
            <w:r>
              <w:rPr>
                <w:rFonts w:ascii="맑은 고딕" w:cs="맑은 고딕" w:eastAsia="맑은 고딕" w:hAnsi="맑은 고딕"/>
                <w:color w:val="2E6B3E"/>
                <w:sz w:val="18"/>
                <w:szCs w:val="18"/>
              </w:rPr>
              <w:t xml:space="preserve">즉시</w:t>
            </w:r>
          </w:p>
        </w:tc>
      </w:tr>
      <w:tr>
        <w:tc>
          <w:tcPr>
            <w:tcW w:type="pct" w:w="8%"/>
            <w:tcMar>
              <w:top w:type="dxa" w:w="70"/>
              <w:left w:type="dxa" w:w="110"/>
              <w:bottom w:type="dxa" w:w="70"/>
              <w:right w:type="dxa" w:w="110"/>
            </w:tcMar>
          </w:tcPr>
          <w:p>
            <w:pPr>
              <w:spacing w:after="0" w:before="0" w:line="252"/>
            </w:pPr>
            <w:r>
              <w:rPr>
                <w:rFonts w:ascii="맑은 고딕" w:cs="맑은 고딕" w:eastAsia="맑은 고딕" w:hAnsi="맑은 고딕"/>
                <w:b/>
                <w:bCs/>
                <w:color w:val="A62B2B"/>
                <w:sz w:val="18"/>
                <w:szCs w:val="18"/>
              </w:rPr>
              <w:t xml:space="preserve">2</w:t>
            </w:r>
          </w:p>
        </w:tc>
        <w:tc>
          <w:tcPr>
            <w:tcW w:type="pct" w:w="72%"/>
            <w:tcMar>
              <w:top w:type="dxa" w:w="70"/>
              <w:left w:type="dxa" w:w="110"/>
              <w:bottom w:type="dxa" w:w="70"/>
              <w:right w:type="dxa" w:w="110"/>
            </w:tcMar>
          </w:tcPr>
          <w:p>
            <w:pPr>
              <w:spacing w:after="0" w:before="0" w:line="252"/>
            </w:pPr>
            <w:r>
              <w:rPr>
                <w:rFonts w:ascii="맑은 고딕" w:cs="맑은 고딕" w:eastAsia="맑은 고딕" w:hAnsi="맑은 고딕"/>
                <w:b/>
                <w:bCs/>
                <w:sz w:val="18"/>
                <w:szCs w:val="18"/>
              </w:rPr>
              <w:t xml:space="preserve">관광 C를 의도어 결합 계열로 재추정</w:t>
            </w:r>
          </w:p>
        </w:tc>
        <w:tc>
          <w:tcPr>
            <w:tcW w:type="pct" w:w="20%"/>
            <w:tcMar>
              <w:top w:type="dxa" w:w="70"/>
              <w:left w:type="dxa" w:w="110"/>
              <w:bottom w:type="dxa" w:w="70"/>
              <w:right w:type="dxa" w:w="110"/>
            </w:tcMar>
          </w:tcPr>
          <w:p>
            <w:pPr>
              <w:spacing w:after="0" w:before="0" w:line="252"/>
            </w:pPr>
            <w:r>
              <w:rPr>
                <w:rFonts w:ascii="맑은 고딕" w:cs="맑은 고딕" w:eastAsia="맑은 고딕" w:hAnsi="맑은 고딕"/>
                <w:color w:val="2E6B3E"/>
                <w:sz w:val="18"/>
                <w:szCs w:val="18"/>
              </w:rPr>
              <w:t xml:space="preserve">재분석</w:t>
            </w:r>
          </w:p>
        </w:tc>
      </w:tr>
      <w:tr>
        <w:tc>
          <w:tcPr>
            <w:tcW w:type="pct" w:w="8%"/>
            <w:tcMar>
              <w:top w:type="dxa" w:w="70"/>
              <w:left w:type="dxa" w:w="110"/>
              <w:bottom w:type="dxa" w:w="70"/>
              <w:right w:type="dxa" w:w="110"/>
            </w:tcMar>
          </w:tcPr>
          <w:p>
            <w:pPr>
              <w:spacing w:after="0" w:before="0" w:line="252"/>
            </w:pPr>
            <w:r>
              <w:rPr>
                <w:rFonts w:ascii="맑은 고딕" w:cs="맑은 고딕" w:eastAsia="맑은 고딕" w:hAnsi="맑은 고딕"/>
                <w:b/>
                <w:bCs/>
                <w:color w:val="A62B2B"/>
                <w:sz w:val="18"/>
                <w:szCs w:val="18"/>
              </w:rPr>
              <w:t xml:space="preserve">3</w:t>
            </w:r>
          </w:p>
        </w:tc>
        <w:tc>
          <w:tcPr>
            <w:tcW w:type="pct" w:w="72%"/>
            <w:tcMar>
              <w:top w:type="dxa" w:w="70"/>
              <w:left w:type="dxa" w:w="110"/>
              <w:bottom w:type="dxa" w:w="70"/>
              <w:right w:type="dxa" w:w="110"/>
            </w:tcMar>
          </w:tcPr>
          <w:p>
            <w:pPr>
              <w:spacing w:after="0" w:before="0" w:line="252"/>
            </w:pPr>
            <w:r>
              <w:rPr>
                <w:rFonts w:ascii="맑은 고딕" w:cs="맑은 고딕" w:eastAsia="맑은 고딕" w:hAnsi="맑은 고딕"/>
                <w:b/>
                <w:bCs/>
                <w:sz w:val="18"/>
                <w:szCs w:val="18"/>
              </w:rPr>
              <w:t xml:space="preserve">A 제외(C·B 2차원) 판본 β 병기</w:t>
            </w:r>
          </w:p>
        </w:tc>
        <w:tc>
          <w:tcPr>
            <w:tcW w:type="pct" w:w="20%"/>
            <w:tcMar>
              <w:top w:type="dxa" w:w="70"/>
              <w:left w:type="dxa" w:w="110"/>
              <w:bottom w:type="dxa" w:w="70"/>
              <w:right w:type="dxa" w:w="110"/>
            </w:tcMar>
          </w:tcPr>
          <w:p>
            <w:pPr>
              <w:spacing w:after="0" w:before="0" w:line="252"/>
            </w:pPr>
            <w:r>
              <w:rPr>
                <w:rFonts w:ascii="맑은 고딕" w:cs="맑은 고딕" w:eastAsia="맑은 고딕" w:hAnsi="맑은 고딕"/>
                <w:color w:val="2E6B3E"/>
                <w:sz w:val="18"/>
                <w:szCs w:val="18"/>
              </w:rPr>
              <w:t xml:space="preserve">재분석</w:t>
            </w:r>
          </w:p>
        </w:tc>
      </w:tr>
      <w:tr>
        <w:tc>
          <w:tcPr>
            <w:tcW w:type="pct" w:w="8%"/>
            <w:tcMar>
              <w:top w:type="dxa" w:w="70"/>
              <w:left w:type="dxa" w:w="110"/>
              <w:bottom w:type="dxa" w:w="70"/>
              <w:right w:type="dxa" w:w="110"/>
            </w:tcMar>
          </w:tcPr>
          <w:p>
            <w:pPr>
              <w:spacing w:after="0" w:before="0" w:line="252"/>
            </w:pPr>
            <w:r>
              <w:rPr>
                <w:rFonts w:ascii="맑은 고딕" w:cs="맑은 고딕" w:eastAsia="맑은 고딕" w:hAnsi="맑은 고딕"/>
                <w:b/>
                <w:bCs/>
                <w:color w:val="A62B2B"/>
                <w:sz w:val="18"/>
                <w:szCs w:val="18"/>
              </w:rPr>
              <w:t xml:space="preserve">4</w:t>
            </w:r>
          </w:p>
        </w:tc>
        <w:tc>
          <w:tcPr>
            <w:tcW w:type="pct" w:w="72%"/>
            <w:tcMar>
              <w:top w:type="dxa" w:w="70"/>
              <w:left w:type="dxa" w:w="110"/>
              <w:bottom w:type="dxa" w:w="70"/>
              <w:right w:type="dxa" w:w="110"/>
            </w:tcMar>
          </w:tcPr>
          <w:p>
            <w:pPr>
              <w:spacing w:after="0" w:before="0" w:line="252"/>
            </w:pPr>
            <w:r>
              <w:rPr>
                <w:rFonts w:ascii="맑은 고딕" w:cs="맑은 고딕" w:eastAsia="맑은 고딕" w:hAnsi="맑은 고딕"/>
                <w:b/>
                <w:bCs/>
                <w:sz w:val="18"/>
                <w:szCs w:val="18"/>
              </w:rPr>
              <w:t xml:space="preserve">등가중 대비 검정 결과 및 λ 공표</w:t>
            </w:r>
          </w:p>
        </w:tc>
        <w:tc>
          <w:tcPr>
            <w:tcW w:type="pct" w:w="20%"/>
            <w:tcMar>
              <w:top w:type="dxa" w:w="70"/>
              <w:left w:type="dxa" w:w="110"/>
              <w:bottom w:type="dxa" w:w="70"/>
              <w:right w:type="dxa" w:w="110"/>
            </w:tcMar>
          </w:tcPr>
          <w:p>
            <w:pPr>
              <w:spacing w:after="0" w:before="0" w:line="252"/>
            </w:pPr>
            <w:r>
              <w:rPr>
                <w:rFonts w:ascii="맑은 고딕" w:cs="맑은 고딕" w:eastAsia="맑은 고딕" w:hAnsi="맑은 고딕"/>
                <w:color w:val="2E6B3E"/>
                <w:sz w:val="18"/>
                <w:szCs w:val="18"/>
              </w:rPr>
              <w:t xml:space="preserve">재분석</w:t>
            </w:r>
          </w:p>
        </w:tc>
      </w:tr>
    </w:tbl>
    <w:p>
      <w:pPr>
        <w:spacing w:after="110" w:before="0"/>
      </w:pPr>
    </w:p>
    <w:p>
      <w:pPr>
        <w:spacing w:after="70" w:before="70" w:line="280"/>
      </w:pPr>
      <w:r>
        <w:rPr>
          <w:rFonts w:ascii="맑은 고딕" w:cs="맑은 고딕" w:eastAsia="맑은 고딕" w:hAnsi="맑은 고딕"/>
          <w:sz w:val="20"/>
          <w:szCs w:val="20"/>
        </w:rPr>
        <w:t xml:space="preserve">네 항목 모두 </w:t>
      </w:r>
      <w:r>
        <w:rPr>
          <w:rFonts w:ascii="맑은 고딕" w:cs="맑은 고딕" w:eastAsia="맑은 고딕" w:hAnsi="맑은 고딕"/>
          <w:b/>
          <w:bCs/>
          <w:color w:val="2E6B3E"/>
          <w:sz w:val="20"/>
          <w:szCs w:val="20"/>
        </w:rPr>
        <w:t xml:space="preserve">추가 자료 구매 없이 기존 자료의 재분석만으로 수행된다.</w:t>
      </w:r>
      <w:r>
        <w:rPr>
          <w:rFonts w:ascii="맑은 고딕" w:cs="맑은 고딕" w:eastAsia="맑은 고딕" w:hAnsi="맑은 고딕"/>
          <w:sz w:val="20"/>
          <w:szCs w:val="20"/>
        </w:rPr>
        <w:t xml:space="preserve"> 차기 과제로 제시된 “8산업별 보정 데이터 구매”에 선행해야 한다. 자료를 추가 확보하기 전에 현행 자료로 무엇을 진술할 수 있는지가 먼저 확정되어야 한다.</w:t>
      </w:r>
    </w:p>
    <w:p>
      <w:pPr>
        <w:spacing w:after="70" w:before="70" w:line="280"/>
      </w:pPr>
      <w:r>
        <w:rPr>
          <w:rFonts w:ascii="맑은 고딕" w:cs="맑은 고딕" w:eastAsia="맑은 고딕" w:hAnsi="맑은 고딕"/>
          <w:sz w:val="20"/>
          <w:szCs w:val="20"/>
        </w:rPr>
        <w:t xml:space="preserve">나머지 항목(판정표 통일, 준거 등급 정리, 대상 국가 명단 확정)은 집필 정합성에 해당하며 단기간에 처리 가능하다.</w:t>
      </w:r>
    </w:p>
    <w:p>
      <w:pPr>
        <w:pBdr>
          <w:bottom w:val="single" w:color="1F3864" w:sz="10" w:space="6"/>
        </w:pBdr>
        <w:spacing w:after="130" w:before="340"/>
      </w:pPr>
      <w:r>
        <w:rPr>
          <w:rFonts w:ascii="맑은 고딕" w:cs="맑은 고딕" w:eastAsia="맑은 고딕" w:hAnsi="맑은 고딕"/>
          <w:b/>
          <w:bCs/>
          <w:color w:val="1F3864"/>
          <w:sz w:val="26"/>
          <w:szCs w:val="26"/>
        </w:rPr>
        <w:t xml:space="preserve">부기</w:t>
      </w:r>
    </w:p>
    <w:p>
      <w:pPr>
        <w:spacing w:after="70" w:before="70" w:line="280"/>
      </w:pPr>
      <w:r>
        <w:rPr>
          <w:rFonts w:ascii="맑은 고딕" w:cs="맑은 고딕" w:eastAsia="맑은 고딕" w:hAnsi="맑은 고딕"/>
          <w:sz w:val="20"/>
          <w:szCs w:val="20"/>
        </w:rPr>
        <w:t xml:space="preserve">본 파일럿의 성과를 β의 크기에서 찾을 필요는 없다. 측정 → 준거 → 추정 → 합성 → 검증의 전 구성요소가 실데이터에서 완주하였다는 사실 자체로 중간 성과는 충분하다. </w:t>
      </w:r>
      <w:r>
        <w:rPr>
          <w:rFonts w:ascii="맑은 고딕" w:cs="맑은 고딕" w:eastAsia="맑은 고딕" w:hAnsi="맑은 고딕"/>
          <w:b/>
          <w:bCs/>
          <w:color w:val="1F3864"/>
          <w:sz w:val="20"/>
          <w:szCs w:val="20"/>
        </w:rPr>
        <w:t xml:space="preserve">β 판정을 “결과”가 아니라 “진단 절차의 작동 확인”으로 재서술하는 것</w:t>
      </w:r>
      <w:r>
        <w:rPr>
          <w:rFonts w:ascii="맑은 고딕" w:cs="맑은 고딕" w:eastAsia="맑은 고딕" w:hAnsi="맑은 고딕"/>
          <w:sz w:val="20"/>
          <w:szCs w:val="20"/>
        </w:rPr>
        <w:t xml:space="preserve">이 현 단계에 부합하며, 위 지적의 다수도 그 재서술로 해소된다.</w:t>
      </w:r>
    </w:p>
    <w:p>
      <w:pPr>
        <w:pBdr>
          <w:top w:val="single" w:color="C9C9C9" w:sz="6" w:space="8"/>
        </w:pBdr>
        <w:spacing w:before="320"/>
      </w:pPr>
      <w:r>
        <w:rPr>
          <w:rFonts w:ascii="맑은 고딕" w:cs="맑은 고딕" w:eastAsia="맑은 고딕" w:hAnsi="맑은 고딕"/>
          <w:color w:val="5A5A5A"/>
          <w:sz w:val="16"/>
          <w:szCs w:val="16"/>
        </w:rPr>
        <w:t xml:space="preserve">상세 검토는 별도 의견서(5묶음 16항목)로 정리되어 있다. 파일럿 β는 5국 산출이고 대시보드는 15국 구축분이므로 항목 2의 지적은 5국판에서의 재확인을 요하나, 부록 D3이 기술한 배분 방법이 양자에 동일하므로 동일한 성질이 관측될 개연성이 높다.</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2026-09-13T04:44:21.133Z</dcterms:created>
  <dcterms:modified xsi:type="dcterms:W3CDTF">2026-09-13T04:44:21.147Z</dcterms:modified>
</cp:coreProperties>
</file>

<file path=docProps/custom.xml><?xml version="1.0" encoding="utf-8"?>
<Properties xmlns="http://schemas.openxmlformats.org/officeDocument/2006/custom-properties" xmlns:vt="http://schemas.openxmlformats.org/officeDocument/2006/docPropsVTypes"/>
</file>