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60" w:before="0"/>
        <w:jc w:val="center"/>
      </w:pPr>
      <w:r>
        <w:rPr>
          <w:rFonts w:ascii="Arial" w:cs="Arial" w:eastAsia="Arial" w:hAnsi="Arial"/>
          <w:b/>
          <w:bCs/>
          <w:color w:val="0C4E54"/>
          <w:sz w:val="52"/>
          <w:szCs w:val="52"/>
        </w:rPr>
        <w:t xml:space="preserve">한류는 어떻게 측정되는가</w:t>
      </w:r>
    </w:p>
    <w:p>
      <w:pPr>
        <w:spacing w:after="400" w:before="0"/>
        <w:jc w:val="center"/>
      </w:pPr>
      <w:r>
        <w:rPr>
          <w:rFonts w:ascii="Arial" w:cs="Arial" w:eastAsia="Arial" w:hAnsi="Arial"/>
          <w:color w:val="1B474D"/>
          <w:sz w:val="26"/>
          <w:szCs w:val="26"/>
        </w:rPr>
        <w:t xml:space="preserve">국가별·장르별 한류지수 개발을 위한 복합지표 연구
— 논문 원문 및 심층 연구 종합 보고서 —</w:t>
      </w:r>
    </w:p>
    <w:p>
      <w:pPr>
        <w:pBdr>
          <w:bottom w:val="single" w:color="D4D1CA" w:sz="4"/>
        </w:pBdr>
        <w:spacing w:after="160" w:before="160"/>
      </w:pPr>
    </w:p>
    <w:p/>
    <w:p>
      <w:pPr>
        <w:spacing w:after="80" w:before="120"/>
        <w:jc w:val="center"/>
      </w:pPr>
      <w:r>
        <w:rPr>
          <w:rFonts w:ascii="Arial" w:cs="Arial" w:eastAsia="Arial" w:hAnsi="Arial"/>
          <w:color w:val="7A7974"/>
          <w:sz w:val="22"/>
          <w:szCs w:val="22"/>
        </w:rPr>
        <w:t xml:space="preserve">2026년 6월</w:t>
      </w:r>
    </w:p>
    <w:p>
      <w:r>
        <w:br w:type="page"/>
      </w:r>
    </w:p>
    <w:p>
      <w:pPr>
        <w:pStyle w:val="Heading1"/>
        <w:spacing w:after="160" w:before="400"/>
      </w:pPr>
      <w:r>
        <w:rPr>
          <w:rFonts w:ascii="Arial" w:cs="Arial" w:eastAsia="Arial" w:hAnsi="Arial"/>
          <w:b/>
          <w:bCs/>
          <w:color w:val="0C4E54"/>
          <w:sz w:val="36"/>
          <w:szCs w:val="36"/>
        </w:rPr>
        <w:t xml:space="preserve">국문초록</w:t>
      </w:r>
    </w:p>
    <w:p>
      <w:pPr>
        <w:spacing w:after="80" w:before="80" w:line="360"/>
        <w:ind/>
        <w:jc w:val="both"/>
      </w:pPr>
      <w:r>
        <w:rPr>
          <w:rFonts w:ascii="Arial" w:cs="Arial" w:eastAsia="Arial" w:hAnsi="Arial"/>
          <w:b w:val="false"/>
          <w:bCs w:val="false"/>
          <w:i w:val="false"/>
          <w:iCs w:val="false"/>
          <w:color w:val="28251D"/>
          <w:sz w:val="22"/>
          <w:szCs w:val="22"/>
        </w:rPr>
        <w:t xml:space="preserve">이 연구는 한류를 국가별·장르별로 비교·진단하기 위한 복합지표인 한류지수(Korean Wave Index)의 이론적·방법론적 틀을 제안한다. 기존 한류 연구는 문화적 근접성, 문화혼종성, 문화산업, 팬덤, 소프트파워, 경제효과 등을 중심으로 한류의 확산과 의미를 설명해 왔다. 그러나 한류의 강도를 국가별·장르별로 체계적으로 측정하고, 콘텐츠 소비가 팬덤 참여, 한국 이미지, 소비재 구매, 관광, 한국어 학습 등으로 전환되는 과정을 통합적으로 포착하는 지표체계는 아직 충분히 정립되지 않았다. 본 연구는 한류를 인지도, 소비도, 선호도, 참여도, 확산도, 전환도, 위험도로 구성된 다차원 문화확산 현상으로 정의하고, 설문자료, 플랫폼 빅데이터, 산업통계, 관광통계, 언어학습 자료를 결합하는 복합지표 설계안을 제시한다. 방법론적으로는 지표 후보군 구성, 자료 표준화, 가중치 부여, 산술·기하 집계, 민감도 분석, 외적 타당도 검증 절차를 포함한다. 본 연구의 의의는 한류를 단순한 해외 인기나 문화산업 성과가 아니라, 국가별 수용구조와 장르별 확산 양식, 경제적 전환, 부정적 위험요인을 함께 포함하는 동태적 문화생태계로 측정할 수 있는 분석틀을 제안한다는 데 있다.</w:t>
      </w:r>
    </w:p>
    <w:p/>
    <w:p>
      <w:pPr>
        <w:spacing w:after="80" w:before="80" w:line="360"/>
        <w:ind/>
        <w:jc w:val="both"/>
      </w:pPr>
      <w:r>
        <w:rPr>
          <w:rFonts w:ascii="Arial" w:cs="Arial" w:eastAsia="Arial" w:hAnsi="Arial"/>
          <w:b/>
          <w:bCs/>
          <w:color w:val="28251D"/>
          <w:sz w:val="22"/>
          <w:szCs w:val="22"/>
        </w:rPr>
        <w:t xml:space="preserve">주제어: </w:t>
      </w:r>
      <w:r>
        <w:rPr>
          <w:rFonts w:ascii="Arial" w:cs="Arial" w:eastAsia="Arial" w:hAnsi="Arial"/>
          <w:i w:val="false"/>
          <w:iCs w:val="false"/>
          <w:color w:val="28251D"/>
          <w:sz w:val="22"/>
          <w:szCs w:val="22"/>
        </w:rPr>
        <w:t xml:space="preserve">한류, 한류지수, 복합지표, 문화산업, 팬덤, 소프트파워, 문화정책</w:t>
      </w:r>
    </w:p>
    <w:p>
      <w:r>
        <w:br w:type="page"/>
      </w:r>
    </w:p>
    <w:p>
      <w:pPr>
        <w:pStyle w:val="Heading1"/>
        <w:spacing w:after="160" w:before="400"/>
      </w:pPr>
      <w:r>
        <w:rPr>
          <w:rFonts w:ascii="Arial" w:cs="Arial" w:eastAsia="Arial" w:hAnsi="Arial"/>
          <w:b/>
          <w:bCs/>
          <w:color w:val="0C4E54"/>
          <w:sz w:val="36"/>
          <w:szCs w:val="36"/>
        </w:rPr>
        <w:t xml:space="preserve">Ⅰ. 서론</w:t>
      </w:r>
    </w:p>
    <w:p>
      <w:pPr>
        <w:spacing w:after="80" w:before="80" w:line="360"/>
        <w:ind/>
        <w:jc w:val="both"/>
      </w:pPr>
      <w:r>
        <w:rPr>
          <w:rFonts w:ascii="Arial" w:cs="Arial" w:eastAsia="Arial" w:hAnsi="Arial"/>
          <w:b w:val="false"/>
          <w:bCs w:val="false"/>
          <w:i w:val="false"/>
          <w:iCs w:val="false"/>
          <w:color w:val="28251D"/>
          <w:sz w:val="22"/>
          <w:szCs w:val="22"/>
        </w:rPr>
        <w:t xml:space="preserve">한류는 더 이상 한국 드라마와 대중음악의 해외 인기를 가리키는 제한적 개념에 머물지 않는다. 1990년대 말 중국과 동아시아 지역에서 한국 드라마가 인기를 얻으며 등장한 한류는 이후 K-pop, 영화, 예능, 게임, 웹툰, 음식, 뷰티, 패션, 관광, 한국어 학습, 전통문화 이미지까지 포괄하는 복합적 문화현상으로 확장되었다. 특히 유튜브, 넷플릭스, 스포티파이, 틱톡, 인스타그램, X, 위버스와 같은 디지털 플랫폼의 확산은 한류의 유통방식과 수용방식을 근본적으로 변화시켰다. 이제 한류는 국가가 콘텐츠를 해외에 수출하는 단선적 과정이라기보다, 기업, 플랫폼, 팬덤, 알고리즘, 번역 공동체, 소비재 시장, 관광산업이 상호작용하는 초국가적 문화생태계로 이해되어야 한다.</w:t>
      </w:r>
    </w:p>
    <w:p>
      <w:pPr>
        <w:spacing w:after="80" w:before="80" w:line="360"/>
        <w:ind/>
        <w:jc w:val="both"/>
      </w:pPr>
      <w:r>
        <w:rPr>
          <w:rFonts w:ascii="Arial" w:cs="Arial" w:eastAsia="Arial" w:hAnsi="Arial"/>
          <w:b w:val="false"/>
          <w:bCs w:val="false"/>
          <w:i w:val="false"/>
          <w:iCs w:val="false"/>
          <w:color w:val="28251D"/>
          <w:sz w:val="22"/>
          <w:szCs w:val="22"/>
        </w:rPr>
        <w:t xml:space="preserve">그러나 한류 연구의 양적 축적에도 불구하고 아직 해결되지 않은 문제가 있다. 그것은 "한류가 어느 나라에서, 어떤 장르를 중심으로, 어느 정도 강하며, 어떤 행동 변화로 전환되는가"를 체계적으로 측정하는 문제다. 기존 연구는 한류의 발생과 확산, 문화적 의미, 팬덤의 역할, 소프트파워 효과, 경제적 파급효과를 다양하게 분석해 왔다. 그러나 대다수 연구는 특정 국가, 특정 장르, 특정 사례에 초점을 맞추는 경향이 강했다. 그 결과 국가별·장르별 한류 강도를 비교하고, 한류의 인지도·소비도·선호도·참여도·전환도·위험도를 하나의 분석틀 안에서 진단하는 방법론은 상대적으로 부족했다.</w:t>
      </w:r>
    </w:p>
    <w:p>
      <w:pPr>
        <w:spacing w:after="80" w:before="80" w:line="360"/>
        <w:ind/>
        <w:jc w:val="both"/>
      </w:pPr>
      <w:r>
        <w:rPr>
          <w:rFonts w:ascii="Arial" w:cs="Arial" w:eastAsia="Arial" w:hAnsi="Arial"/>
          <w:b w:val="false"/>
          <w:bCs w:val="false"/>
          <w:i w:val="false"/>
          <w:iCs w:val="false"/>
          <w:color w:val="28251D"/>
          <w:sz w:val="22"/>
          <w:szCs w:val="22"/>
        </w:rPr>
        <w:t xml:space="preserve">정책적으로도 이 문제는 중요하다. 한류정책은 오랫동안 "한류 확산", "K-culture 세계화", "문화콘텐츠 수출 확대"와 같은 포괄적 목표를 중심으로 추진되어 왔다. 그러나 현재 한류의 양상은 국가별로 크게 다르다. 어떤 국가는 K-pop 팬덤의 참여가 강하지만 한국상품 구매 전환은 약할 수 있다. 어떤 국가는 한국 드라마 소비가 높지만 정치적 갈등 때문에 한국에 대한 호감도는 낮을 수 있다. 어떤 국가는 음식과 뷰티 소비가 강하지만 K-pop이나 드라마에 대한 관심은 제한적일 수 있다. 따라서 한류정책은 단순한 전체 확산전략에서 벗어나 국가별·장르별 수용구조를 반영한 정밀한 정책 설계로 이동해야 한다.</w:t>
      </w:r>
    </w:p>
    <w:p>
      <w:pPr>
        <w:spacing w:after="80" w:before="80" w:line="360"/>
        <w:ind/>
        <w:jc w:val="both"/>
      </w:pPr>
      <w:r>
        <w:rPr>
          <w:rFonts w:ascii="Arial" w:cs="Arial" w:eastAsia="Arial" w:hAnsi="Arial"/>
          <w:b w:val="false"/>
          <w:bCs w:val="false"/>
          <w:i w:val="false"/>
          <w:iCs w:val="false"/>
          <w:color w:val="28251D"/>
          <w:sz w:val="22"/>
          <w:szCs w:val="22"/>
        </w:rPr>
        <w:t xml:space="preserve">이 연구의 목적은 이러한 문제의식에 기초하여 국가별·장르별 한류지수의 이론적·방법론적 틀을 제시하는 것이다. 본 연구는 한류를 "한국과 연관된 문화콘텐츠, 문화상품, 문화실천, 생활양식이 해외 수용자에게 인지·소비·선호·참여·확산·전환 효과를 발생시키는 초국가적 문화확산 현상"으로 정의한다. 그리고 한류의 강도를 인지도, 소비도, 선호도, 참여도, 확산도, 전환도, 위험도라는 일곱 개 하위 차원으로 분해한다. 이때 한류지수는 단순한 인기순위가 아니라, 특정 국가 또는 지역에서 특정 장르의 한류가 어떤 단계에 있으며, 얼마나 지속가능하고, 어떤 경제·문화적 전환 가능성을 가지는지를 진단하는 복합지표로 이해된다.</w:t>
      </w:r>
    </w:p>
    <w:p>
      <w:r>
        <w:br w:type="page"/>
      </w:r>
    </w:p>
    <w:p>
      <w:r>
        <w:t>이 글은 그 자체로 완결된 이론 작업이 아니라, 실제로 구축된 종합 한류지수 KWCI(K-Wave Composite Index)의 전(前)단계 설계도다. 뒤에서 보겠지만 KWCI는 일곱 개의 기능적 차원을 그대로 옮겨 담지 않는다. 그것은 일곱 차원이 가리키는 내용을 경제지표·플랫폼 데이터·정성 아카이브라는 세 개의 자료 레이어로 재배치하고, 여덟 개의 운영 도메인과 분기 단위의 국가 패널 위에서 산출한다. 그러므로 이 보고서가 정의하는 ‘차원’은 KWCI에서 사라지지 않는다. 그것은 측정 가능한 형태로 번역되어 레이어 안에 분포한다. 본 보고서는 그 번역의 논리를 명시함으로써 이론과 구현 사이의 간극을 메우려 한다.</w:t>
      </w:r>
    </w:p>
    <w:p>
      <w:pPr>
        <w:pStyle w:val="Heading1"/>
        <w:spacing w:after="160" w:before="400"/>
      </w:pPr>
      <w:r>
        <w:rPr>
          <w:rFonts w:ascii="Arial" w:cs="Arial" w:eastAsia="Arial" w:hAnsi="Arial"/>
          <w:b/>
          <w:bCs/>
          <w:color w:val="0C4E54"/>
          <w:sz w:val="36"/>
          <w:szCs w:val="36"/>
        </w:rPr>
        <w:t xml:space="preserve">Ⅱ. 선행연구 검토</w:t>
      </w:r>
    </w:p>
    <w:p>
      <w:pPr>
        <w:pStyle w:val="Heading2"/>
        <w:spacing w:after="120" w:before="320"/>
      </w:pPr>
      <w:r>
        <w:rPr>
          <w:rFonts w:ascii="Arial" w:cs="Arial" w:eastAsia="Arial" w:hAnsi="Arial"/>
          <w:b/>
          <w:bCs/>
          <w:color w:val="1B474D"/>
          <w:sz w:val="28"/>
          <w:szCs w:val="28"/>
        </w:rPr>
        <w:t xml:space="preserve">1. 문화적 근접성과 문화혼종성 연구</w:t>
      </w:r>
    </w:p>
    <w:p>
      <w:pPr>
        <w:spacing w:after="80" w:before="80" w:line="360"/>
        <w:ind/>
        <w:jc w:val="both"/>
      </w:pPr>
      <w:r>
        <w:rPr>
          <w:rFonts w:ascii="Arial" w:cs="Arial" w:eastAsia="Arial" w:hAnsi="Arial"/>
          <w:b w:val="false"/>
          <w:bCs w:val="false"/>
          <w:i w:val="false"/>
          <w:iCs w:val="false"/>
          <w:color w:val="28251D"/>
          <w:sz w:val="22"/>
          <w:szCs w:val="22"/>
        </w:rPr>
        <w:t xml:space="preserve">초기 한류 연구의 핵심 질문은 "왜 한국 대중문화가 아시아 지역에서 수용되었는가"였다. 이 시기 연구는 한국 드라마와 대중음악이 중국, 대만, 일본, 동남아시아에서 인기를 얻은 이유를 문화적 근접성, 동아시아적 정서, 가족주의, 도시적 근대성, 감정표현의 친숙성 등에서 찾았다. 한국 드라마는 서구 콘텐츠에 비해 문화적으로 덜 낯설면서도, 기존 지역 콘텐츠보다 세련된 제작방식과 감각을 보여주었다. 이러한 특성은 동아시아 수용자에게 친숙성과 새로움을 동시에 제공했다.</w:t>
      </w:r>
    </w:p>
    <w:p>
      문화혼종성 연구는 한류를 순수한 한국문화의 일방적 확산으로 보지 않는다. 오히려 한류는 한국적 정서, 서구 대중문화 형식, 일본식 아이돌 시스템, 글로벌 미디어 산업, 아시아적 감수성이 결합한 혼종적 문화형식으로 이해된다. Shim(2006)은 한류를 서구 중심 미디어 세계화에 대한 주변부의 문화적 역류이자, 한국 대중문화가 글로벌 형식을 수용하면서도 지역적 정서를 재구성한 사례로 해석했다.
      <w:r>
        <w:rPr>
          <w:rStyle w:val="FootnoteReference"/>
        </w:rPr>
        <w:footnoteReference w:id="3"/>
      </w:r>
      <w:r>
        <w:rPr>
          <w:rFonts w:ascii="Arial" w:cs="Arial" w:eastAsia="Arial" w:hAnsi="Arial"/>
          <w:i w:val="false"/>
          <w:iCs w:val="false"/>
          <w:color w:val="28251D"/>
          <w:sz w:val="22"/>
          <w:szCs w:val="22"/>
        </w:rPr>
        <w:t xml:space="preserve"> 이러한 관점은 한류를 단순한 민족문화의 확장이 아니라, 세계문화와 지역문화가 상호작용하는 장으로 이해하게 만든다.</w:t>
      </w:r>
    </w:p>
    <w:p>
      <w:pPr>
        <w:pStyle w:val="Heading3"/>
        <w:spacing w:after="80" w:before="240"/>
      </w:pPr>
      <w:r>
        <w:rPr>
          <w:rFonts w:ascii="Arial" w:cs="Arial" w:eastAsia="Arial" w:hAnsi="Arial"/>
          <w:b/>
          <w:bCs/>
          <w:color w:val="28251D"/>
          <w:sz w:val="24"/>
          <w:szCs w:val="24"/>
        </w:rPr>
        <w:t xml:space="preserve">Iwabuchi의 문화적 무취와 범아시아적 상호참조</w:t>
      </w:r>
    </w:p>
    <w:p>
      한류의 혼종성을 논할 때 Koichi Iwabuchi의 '문화적 무취(odorlessness)' 개념은 빠질 수 없는 이론적 자원이다. Iwabuchi는 일본 대중문화의 아시아 확산을 분석하면서, 성공적인 문화수출품은 원산지의 문화적 냄새(cultural odor)가 희석되어 수용자가 자신의 맥락에서 의미를 재구성할 수 있는 '무국적성(mukokuseki)'을 갖는다고 보았다.
      <w:r>
        <w:rPr>
          <w:rStyle w:val="FootnoteReference"/>
        </w:rPr>
        <w:footnoteReference w:id="4"/>
      </w:r>
      <w:r>
        <w:rPr>
          <w:rFonts w:ascii="Arial" w:cs="Arial" w:eastAsia="Arial" w:hAnsi="Arial"/>
          <w:i w:val="false"/>
          <w:iCs w:val="false"/>
          <w:color w:val="28251D"/>
          <w:sz w:val="22"/>
          <w:szCs w:val="22"/>
        </w:rPr>
        <w:t xml:space="preserve"> 이 개념은 Jung(2011)에 의해 한국 맥락에서 '무국적성(mugukjeok)'으로 재개념화되었다. Iwabuchi(2013)는 이 재개념화가 자신의 개념을 심화시켰다고 인정하면서, 한류 분석을 위한 '범아시아적 상호참조(inter-Asian referencing)' 방법론의 필요성을 제안하였다.</w:t>
      </w:r>
    </w:p>
    <w:p>
      <w:pPr>
        <w:spacing w:after="80" w:before="80" w:line="360"/>
        <w:ind/>
        <w:jc w:val="both"/>
      </w:pPr>
      <w:r>
        <w:rPr>
          <w:rFonts w:ascii="Arial" w:cs="Arial" w:eastAsia="Arial" w:hAnsi="Arial"/>
          <w:b w:val="false"/>
          <w:bCs w:val="false"/>
          <w:i w:val="false"/>
          <w:iCs w:val="false"/>
          <w:color w:val="28251D"/>
          <w:sz w:val="22"/>
          <w:szCs w:val="22"/>
        </w:rPr>
        <w:t xml:space="preserve">즉 한류의 혼종성은 서구 형식과 한국 정서의 단순 결합이 아니라, 일본 대중문화→한국 대중문화→새로운 수용자 해석이라는 다층적 문화회로 속에서 이해되어야 한다. 이 논문이 한류를 혼종적 문화형식으로 정의하면서도 지수 설계에서 '한국에서 발신되는 문화영향력'을 측정하는 단방향 구조를 취한다면, 이 이론과 방법 사이의 긴장을 명시적으로 해소하는 서술이 필요하다.</w:t>
      </w:r>
    </w:p>
    <w:p>
      <w:pPr>
        <w:pStyle w:val="Heading3"/>
        <w:spacing w:after="80" w:before="240"/>
      </w:pPr>
      <w:r>
        <w:rPr>
          <w:rFonts w:ascii="Arial" w:cs="Arial" w:eastAsia="Arial" w:hAnsi="Arial"/>
          <w:b/>
          <w:bCs/>
          <w:color w:val="28251D"/>
          <w:sz w:val="24"/>
          <w:szCs w:val="24"/>
        </w:rPr>
        <w:t xml:space="preserve">문화적 근접성 이론의 한계: 비아시아권 확산의 도전</w:t>
      </w:r>
    </w:p>
    <w:p>
      Yang(2012)은 동아시아 세 국가(중국, 일본, 대만) 수용자를 비교 분석하여, 문화적 근접성보다 '사회적 근접성'과 젠더 변수가 한류 수용에 더 강한 설명력을 갖는다는 것을 실증적으로 보여주었다.
      <w:r>
        <w:rPr>
          <w:rStyle w:val="FootnoteReference"/>
        </w:rPr>
        <w:footnoteReference w:id="10"/>
      </w:r>
      <w:r>
        <w:rPr>
          <w:rFonts w:ascii="Arial" w:cs="Arial" w:eastAsia="Arial" w:hAnsi="Arial"/>
          <w:i w:val="false"/>
          <w:iCs w:val="false"/>
          <w:color w:val="28251D"/>
          <w:sz w:val="22"/>
          <w:szCs w:val="22"/>
        </w:rPr>
        <w:t xml:space="preserve"> 더 나아가 Ko et al.(2014)은 페루와 브라질 현지 조사를 통해, 라틴아메리카의 한류 확산은 문화적 근접성이 아니라 아시아계 이주민 공동체와 사회경제적 요인으로 설명된다고 주장하였다. 이들 연구는 문화적 근접성 이론이 동아시아를 넘어선 한류 확산을 설명하는 데 근본적 한계를 지님을 실증적으로 뒷받침한다. 따라서 한류지수는 지역별로 작동하는 수용 메커니즘이 다름을 전제해야 하며, 동일한 지표 가중치를 모든 지역에 균등 적용하는 것은 방법론적으로 문제가 있을 수 있다.</w:t>
      </w:r>
    </w:p>
    <w:p>
      <w:pPr>
        <w:pStyle w:val="Heading2"/>
        <w:spacing w:after="120" w:before="320"/>
      </w:pPr>
      <w:r>
        <w:rPr>
          <w:rFonts w:ascii="Arial" w:cs="Arial" w:eastAsia="Arial" w:hAnsi="Arial"/>
          <w:b/>
          <w:bCs/>
          <w:color w:val="1B474D"/>
          <w:sz w:val="28"/>
          <w:szCs w:val="28"/>
        </w:rPr>
        <w:t xml:space="preserve">2. 문화산업과 정책 연구</w:t>
      </w:r>
    </w:p>
    <w:p>
      <w:pPr>
        <w:spacing w:after="80" w:before="80" w:line="360"/>
        <w:ind/>
        <w:jc w:val="both"/>
      </w:pPr>
      <w:r>
        <w:rPr>
          <w:rFonts w:ascii="Arial" w:cs="Arial" w:eastAsia="Arial" w:hAnsi="Arial"/>
          <w:b w:val="false"/>
          <w:bCs w:val="false"/>
          <w:i w:val="false"/>
          <w:iCs w:val="false"/>
          <w:color w:val="28251D"/>
          <w:sz w:val="22"/>
          <w:szCs w:val="22"/>
        </w:rPr>
        <w:t xml:space="preserve">두 번째 흐름은 한류를 문화산업과 국가정책의 산물로 보는 연구다. 이 관점은 한국 정부의 문화산업 육성정책, 방송·음악·영화 산업의 해외진출 전략, 기획사의 훈련 시스템, 콘텐츠 기업의 글로벌 유통망 구축, 국가 브랜드 전략을 중시한다. 특히 1990년대 후반 이후 한국 정부는 문화산업을 고부가가치 산업으로 인식하고 콘텐츠 제작, 수출, 인력양성, 해외시장 개척을 지원해 왔다.</w:t>
      </w:r>
    </w:p>
    <w:p>
      <w:pPr>
        <w:pStyle w:val="Heading3"/>
        <w:spacing w:after="80" w:before="240"/>
      </w:pPr>
      <w:r>
        <w:rPr>
          <w:rFonts w:ascii="Arial" w:cs="Arial" w:eastAsia="Arial" w:hAnsi="Arial"/>
          <w:b/>
          <w:bCs/>
          <w:color w:val="28251D"/>
          <w:sz w:val="24"/>
          <w:szCs w:val="24"/>
        </w:rPr>
        <w:t xml:space="preserve">플랫폼화의 정치경제학: 넷플릭스와 한국 콘텐츠 산업의 종속</w:t>
      </w:r>
    </w:p>
    <w:p>
      Jin, Yoon &amp; Han(2023)은 비판적 정치경제학의 관점에서 한류의 '플랫폼화(platformization)' 단계를 분석하였다. 이들은 넷플릭스가 오리지널 콘텐츠 투자, 콘텐츠 라이선싱, 한국 제작사의 하청 구조화라는 세 가지 전략을 통해 한국 방송산업을 플랫폼에 종속시키고 있다고 주장한다.
      <w:r>
        <w:rPr>
          <w:rStyle w:val="FootnoteReference"/>
        </w:rPr>
        <w:footnoteReference w:id="5"/>
      </w:r>
      <w:r>
        <w:rPr>
          <w:rFonts w:ascii="Arial" w:cs="Arial" w:eastAsia="Arial" w:hAnsi="Arial"/>
          <w:i w:val="false"/>
          <w:iCs w:val="false"/>
          <w:color w:val="28251D"/>
          <w:sz w:val="22"/>
          <w:szCs w:val="22"/>
        </w:rPr>
        <w:t xml:space="preserve"> 이 분석은 한류를 한국 문화산업의 성과로만 해석하는 기존 시각에 중요한 수정을 요구한다. 즉 〈오징어 게임〉이나 〈더 글로리〉의 글로벌 성과는 동시에 한국 콘텐츠가 넷플릭스라는 미국 플랫폼의 수익 모델에 복무하는 구조이기도 하다. 이 점은 한류지수에서 '전환도' 측정 시 넷플릭스 수익이 한국 문화산업의 실질적 이익으로 귀환하는지를 별도로 추적해야 할 필요성을 시사한다.</w:t>
      </w:r>
    </w:p>
    <w:p>
      <w:pPr>
        <w:spacing w:after="80" w:before="80" w:line="360"/>
        <w:ind/>
        <w:jc w:val="both"/>
      </w:pPr>
      <w:r>
        <w:rPr>
          <w:rFonts w:ascii="Arial" w:cs="Arial" w:eastAsia="Arial" w:hAnsi="Arial"/>
          <w:b w:val="false"/>
          <w:bCs w:val="false"/>
          <w:i w:val="false"/>
          <w:iCs w:val="false"/>
          <w:color w:val="28251D"/>
          <w:sz w:val="22"/>
          <w:szCs w:val="22"/>
        </w:rPr>
        <w:t xml:space="preserve">이와 관련하여 Bae &amp; Kang(2026)은 'K-Culture Gradation(KCG)' 모형을 제안하면서, Bhabha의 혼종성·Iwabuchi의 문화적 냄새·Jin의 초국가적 근접성을 통합하여 한국 자본 통제, 창작자 국적과 의도, 출연진 구성, IP의 한국성(K-ness), 기술이라는 다섯 가지 요소로 한류 콘텐츠의 '한국성 수준'을 측정하고자 했다. 이 연구는 이 논문의 KWI와 상호보완적 관계에 있다. KCG가 콘텐츠 생산 단계의 '한국성'을 측정한다면, KWI는 수용자 단계에서 확산·전환 효과를 측정한다.</w:t>
      </w:r>
    </w:p>
    <w:p>
      <w:pPr>
        <w:pStyle w:val="Heading2"/>
        <w:spacing w:after="120" w:before="320"/>
      </w:pPr>
      <w:r>
        <w:rPr>
          <w:rFonts w:ascii="Arial" w:cs="Arial" w:eastAsia="Arial" w:hAnsi="Arial"/>
          <w:b/>
          <w:bCs/>
          <w:color w:val="1B474D"/>
          <w:sz w:val="28"/>
          <w:szCs w:val="28"/>
        </w:rPr>
        <w:t xml:space="preserve">3. 팬덤·플랫폼 연구</w:t>
      </w:r>
    </w:p>
    <w:p>
      <w:pPr>
        <w:spacing w:after="80" w:before="80" w:line="360"/>
        <w:ind/>
        <w:jc w:val="both"/>
      </w:pPr>
      <w:r>
        <w:rPr>
          <w:rFonts w:ascii="Arial" w:cs="Arial" w:eastAsia="Arial" w:hAnsi="Arial"/>
          <w:b w:val="false"/>
          <w:bCs w:val="false"/>
          <w:i w:val="false"/>
          <w:iCs w:val="false"/>
          <w:color w:val="28251D"/>
          <w:sz w:val="22"/>
          <w:szCs w:val="22"/>
        </w:rPr>
        <w:t xml:space="preserve">2010년대 이후 한류 연구에서 가장 중요한 변화는 팬덤과 플랫폼의 부상이다. 초기 한류가 방송 편성과 음반 유통을 통해 확산되었다면, 현재 한류는 유튜브, 스포티파이, 넷플릭스, 틱톡, 인스타그램, X, 위버스 등 플랫폼을 통해 실시간으로 확산된다. 이 과정에서 팬덤은 단순한 소비자가 아니라 번역자, 홍보자, 해설자, 데이터 노동자, 정서 공동체, 알고리즘 증폭자로 기능한다.</w:t>
      </w:r>
    </w:p>
    <w:p>
      <w:pPr>
        <w:pStyle w:val="Heading3"/>
        <w:spacing w:after="80" w:before="240"/>
      </w:pPr>
      <w:r>
        <w:rPr>
          <w:rFonts w:ascii="Arial" w:cs="Arial" w:eastAsia="Arial" w:hAnsi="Arial"/>
          <w:b/>
          <w:bCs/>
          <w:color w:val="28251D"/>
          <w:sz w:val="24"/>
          <w:szCs w:val="24"/>
        </w:rPr>
        <w:t xml:space="preserve">데이터 팬덤과 무보수 노동</w:t>
      </w:r>
    </w:p>
    <w:p>
      Negus &amp; Zhang(2020)은 중국 디지털 플랫폼에서 형성된 '데이터 팬덤(data fandom)'을 분석하면서, 팬들이 스트리밍, 투표, 댓글 등의 데이터 활동을 통해 플랫폼과 산업에 무보수 노동을 제공하고 있음을 비판적으로 논의했다.
      <w:r>
        <w:rPr>
          <w:rStyle w:val="FootnoteReference"/>
        </w:rPr>
        <w:footnoteReference w:id="9"/>
      </w:r>
      <w:r>
        <w:rPr>
          <w:rFonts w:ascii="Arial" w:cs="Arial" w:eastAsia="Arial" w:hAnsi="Arial"/>
          <w:i w:val="false"/>
          <w:iCs w:val="false"/>
          <w:color w:val="28251D"/>
          <w:sz w:val="22"/>
          <w:szCs w:val="22"/>
        </w:rPr>
        <w:t xml:space="preserve"> 이 시각은 팬덤 참여가 순수한 문화적 관여의 표현인 동시에 플랫폼 자본의 가치 창출 메커니즘임을 보여준다. 따라서 참여도 지표가 단순히 '문화적 관여의 강도'를 측정하는 것이 아니라, 그 이면에 있는 데이터 노동 구조도 내포하고 있음을 설계 단계에서 인식해야 한다.</w:t>
      </w:r>
    </w:p>
    <w:p>
      <w:pPr>
        <w:pStyle w:val="Heading3"/>
        <w:spacing w:after="80" w:before="240"/>
      </w:pPr>
      <w:r>
        <w:rPr>
          <w:rFonts w:ascii="Arial" w:cs="Arial" w:eastAsia="Arial" w:hAnsi="Arial"/>
          <w:b/>
          <w:bCs/>
          <w:color w:val="28251D"/>
          <w:sz w:val="24"/>
          <w:szCs w:val="24"/>
        </w:rPr>
        <w:t xml:space="preserve">플랫폼 글로컬라이제이션과 측정의 복잡성</w:t>
      </w:r>
    </w:p>
    <w:p>
      Abidin &amp; Lee(2023)는 TikTok이 K-pop을 매개로 한국 시장에 진입하는 '플랫폼 글로컬라이제이션(platformed glocalization)' 과정을 분석하였다.
      <w:r>
        <w:rPr>
          <w:rStyle w:val="FootnoteReference"/>
        </w:rPr>
        <w:footnoteReference w:id="8"/>
      </w:r>
      <w:r>
        <w:rPr>
          <w:rFonts w:ascii="Arial" w:cs="Arial" w:eastAsia="Arial" w:hAnsi="Arial"/>
          <w:i w:val="false"/>
          <w:iCs w:val="false"/>
          <w:color w:val="28251D"/>
          <w:sz w:val="22"/>
          <w:szCs w:val="22"/>
        </w:rPr>
        <w:t xml:space="preserve"> 이 연구는 K-pop의 TikTok 확산이 K-pop 자체의 힘만이 아니라 플랫폼의 시장 진입 전략과의 공모 속에서 이루어진다는 점을 보여준다. 즉 TikTok의 알고리즘이 K-pop 콘텐츠를 전략적으로 증폭할 때, 그 확산도 지표는 실제 유기적 관심이 아닌 플랫폼의 시장 전략을 반영할 수 있다. 따라서 확산도 지표를 설계할 때 플랫폼별 알고리즘 편향의 차이를 보정하는 방안이 필요하다.</w:t>
      </w:r>
    </w:p>
    <w:p>
      <w:pPr>
        <w:pStyle w:val="Heading2"/>
        <w:spacing w:after="120" w:before="320"/>
      </w:pPr>
      <w:r>
        <w:rPr>
          <w:rFonts w:ascii="Arial" w:cs="Arial" w:eastAsia="Arial" w:hAnsi="Arial"/>
          <w:b/>
          <w:bCs/>
          <w:color w:val="1B474D"/>
          <w:sz w:val="28"/>
          <w:szCs w:val="28"/>
        </w:rPr>
        <w:t xml:space="preserve">4. 소프트파워와 경제효과 연구</w:t>
      </w:r>
    </w:p>
    <w:p>
      <w:pPr>
        <w:spacing w:after="80" w:before="80" w:line="360"/>
        <w:ind/>
        <w:jc w:val="both"/>
      </w:pPr>
      <w:r>
        <w:rPr>
          <w:rFonts w:ascii="Arial" w:cs="Arial" w:eastAsia="Arial" w:hAnsi="Arial"/>
          <w:b w:val="false"/>
          <w:bCs w:val="false"/>
          <w:i w:val="false"/>
          <w:iCs w:val="false"/>
          <w:color w:val="28251D"/>
          <w:sz w:val="22"/>
          <w:szCs w:val="22"/>
        </w:rPr>
        <w:t xml:space="preserve">네 번째 흐름은 한류가 한국의 국가이미지, 공공외교, 관광, 소비재 수출, 한국어 학습에 미치는 영향을 분석하는 연구다. 이 연구들은 한류가 한국에 대한 호감도를 높이고, 한국 상품 구매 의향과 방한 의향을 강화하며, 한국어와 한국문화에 대한 관심을 증대시킨다고 본다.</w:t>
      </w:r>
    </w:p>
    <w:p>
      <w:pPr>
        <w:spacing w:after="80" w:before="80" w:line="360"/>
        <w:ind/>
        <w:jc w:val="both"/>
      </w:pPr>
      <w:r>
        <w:rPr>
          <w:rFonts w:ascii="Arial" w:cs="Arial" w:eastAsia="Arial" w:hAnsi="Arial"/>
          <w:b/>
          <w:bCs/>
          <w:color w:val="28251D"/>
          <w:sz w:val="22"/>
          <w:szCs w:val="22"/>
        </w:rPr>
        <w:t xml:space="preserve">[표 6] 소프트파워·전환효과 관련 주요 실증연구 요약</w:t>
      </w:r>
      <w:r>
        <w:rPr>
          <w:rFonts w:ascii="Arial" w:cs="Arial" w:eastAsia="Arial" w:hAnsi="Arial"/>
          <w:i w:val="false"/>
          <w:iCs w:val="false"/>
          <w:color w:val="28251D"/>
          <w:sz w:val="22"/>
          <w:szCs w:val="22"/>
        </w:rPr>
        <w:t xml:space="preserve"/>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200"/>
        <w:gridCol w:w="3200"/>
      </w:tblGrid>
      <w:tr>
        <w:tc>
          <w:tcPr>
            <w:tcW w:type="dxa" w:w="17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연구</w:t>
            </w:r>
          </w:p>
        </w:tc>
        <w:tc>
          <w:tcPr>
            <w:tcW w:type="dxa" w:w="21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방법론</w:t>
            </w:r>
          </w:p>
        </w:tc>
        <w:tc>
          <w:tcPr>
            <w:tcW w:type="dxa" w:w="2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종속변수</w:t>
            </w:r>
          </w:p>
        </w:tc>
        <w:tc>
          <w:tcPr>
            <w:tcW w:type="dxa" w:w="3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핵심 결과</w:t>
            </w:r>
          </w:p>
        </w:tc>
      </w:tr>
      <w:tr>
        <w:tc>
          <w:tcPr>
            <w:tcW w:type="dxa" w:w="1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Bae et al.(2017)</w:t>
            </w:r>
          </w:p>
        </w:tc>
        <w:tc>
          <w:tcPr>
            <w:tcW w:type="dxa" w:w="2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패널 무작위 효과</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방한 관광 수요</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한류·GDP·환율이 유의한 양(+) 효과; CPI 유의하지 않음</w:t>
            </w:r>
          </w:p>
        </w:tc>
      </w:tr>
      <w:tr>
        <w:tc>
          <w:tcPr>
            <w:tcW w:type="dxa" w:w="1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Huh &amp; Wu(2017)</w:t>
            </w:r>
          </w:p>
        </w:tc>
        <w:tc>
          <w:tcPr>
            <w:tcW w:type="dxa" w:w="2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패널 분석</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한국 소비재 수출</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한류 콘텐츠 수출이 소비재 수출에 유의한 양(+) 효과</w:t>
            </w:r>
          </w:p>
        </w:tc>
      </w:tr>
      <w:tr>
        <w:tc>
          <w:tcPr>
            <w:tcW w:type="dxa" w:w="1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Lee &amp; Chang(2019)</w:t>
            </w:r>
          </w:p>
        </w:tc>
        <w:tc>
          <w:tcPr>
            <w:tcW w:type="dxa" w:w="2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중력 모형, 패널</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한국 상품 수출</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드라마 수출 증가로 여성용 상품 수출 증폭; 남성 효과 미미</w:t>
            </w:r>
          </w:p>
        </w:tc>
      </w:tr>
      <w:tr>
        <w:tc>
          <w:tcPr>
            <w:tcW w:type="dxa" w:w="1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Ding &amp; Wu(2023)</w:t>
            </w:r>
          </w:p>
        </w:tc>
        <w:tc>
          <w:tcPr>
            <w:tcW w:type="dxa" w:w="2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Heckman 2단계</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한국어 학습자 수</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한류 유의한 촉진 요인; 고소득국은 취업·유학 동기 우선</w:t>
            </w:r>
          </w:p>
        </w:tc>
      </w:tr>
      <w:tr>
        <w:tc>
          <w:tcPr>
            <w:tcW w:type="dxa" w:w="1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Bunnag(2024)</w:t>
            </w:r>
          </w:p>
        </w:tc>
        <w:tc>
          <w:tcPr>
            <w:tcW w:type="dxa" w:w="2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증강 중력 RE-ECM</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방한 관광객 수</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K-콘텐츠 Google 검색: 젠더·지연 기간에 따라 효과 상이</w:t>
            </w:r>
          </w:p>
        </w:tc>
      </w:tr>
    </w:tbl>
    <w:p/>
    <w:p>
      Bae et al.(2017)은 1997~2014년 패널 데이터를 사용하여 방한 관광 수요에 대한 한류의 효과를 분석하였다.
      <w:r>
        <w:rPr>
          <w:rStyle w:val="FootnoteReference"/>
        </w:rPr>
        <w:footnoteReference w:id="6"/>
      </w:r>
      <w:r>
        <w:rPr>
          <w:rFonts w:ascii="Arial" w:cs="Arial" w:eastAsia="Arial" w:hAnsi="Arial"/>
          <w:i w:val="false"/>
          <w:iCs w:val="false"/>
          <w:color w:val="28251D"/>
          <w:sz w:val="22"/>
          <w:szCs w:val="22"/>
        </w:rPr>
        <w:t xml:space="preserve"> Lee &amp; Chang(2019)은 1998~2014년 150개국 이상의 패널 데이터를 통해 한국 TV 프로그램 수출이 국가별 상품 수출에 미치는 영향을 분석한 결과, 드라마 수출 증가가 여성용 상품 수출에는 유의한 증가 효과를 내지만 남성용 상품에는 효과가 작다는 점을 발견하였다.</w:t>
      </w:r>
      <w:r>
        <w:rPr>
          <w:rStyle w:val="FootnoteReference"/>
        </w:rPr>
        <w:footnoteReference w:id="7"/>
      </w:r>
      <w:r>
        <w:rPr>
          <w:rFonts w:ascii="Arial" w:cs="Arial" w:eastAsia="Arial" w:hAnsi="Arial"/>
          <w:i w:val="false"/>
          <w:iCs w:val="false"/>
          <w:color w:val="28251D"/>
          <w:sz w:val="22"/>
          <w:szCs w:val="22"/>
        </w:rPr>
        <w:t xml:space="preserve"> 이는 K-pop과 드라마 소비자의 젠더 구성이 소비재 전환 경로에 영향을 미침을 보여주며, 한류지수의 전환도를 젠더별로도 분해해야 할 필요성을 제기한다.</w:t>
      </w:r>
    </w:p>
    <w:p>
      <w:pPr>
        <w:pStyle w:val="Heading2"/>
        <w:spacing w:after="120" w:before="320"/>
      </w:pPr>
      <w:r>
        <w:rPr>
          <w:rFonts w:ascii="Arial" w:cs="Arial" w:eastAsia="Arial" w:hAnsi="Arial"/>
          <w:b/>
          <w:bCs/>
          <w:color w:val="1B474D"/>
          <w:sz w:val="28"/>
          <w:szCs w:val="28"/>
        </w:rPr>
        <w:t xml:space="preserve">5. 기존 연구의 한계</w:t>
      </w:r>
    </w:p>
    <w:p>
      <w:pPr>
        <w:spacing w:after="80" w:before="80" w:line="360"/>
        <w:ind/>
        <w:jc w:val="both"/>
      </w:pPr>
      <w:r>
        <w:rPr>
          <w:rFonts w:ascii="Arial" w:cs="Arial" w:eastAsia="Arial" w:hAnsi="Arial"/>
          <w:b w:val="false"/>
          <w:bCs w:val="false"/>
          <w:i w:val="false"/>
          <w:iCs w:val="false"/>
          <w:color w:val="28251D"/>
          <w:sz w:val="22"/>
          <w:szCs w:val="22"/>
        </w:rPr>
        <w:t xml:space="preserve">기존 한류 연구는 풍부한 이론적·경험적 성과를 축적했지만, 한류지수 개발의 관점에서는 다섯 가지 한계를 가진다.</w:t>
      </w:r>
    </w:p>
    <w:p>
      <w:pPr>
        <w:pStyle w:val="ListParagraph"/>
        <w:numPr>
          <w:ilvl w:val="0"/>
          <w:numId w:val="2"/>
        </w:numPr>
        <w:spacing w:after="40" w:before="40" w:line="340"/>
      </w:pPr>
      <w:r>
        <w:rPr>
          <w:rFonts w:ascii="Arial" w:cs="Arial" w:eastAsia="Arial" w:hAnsi="Arial"/>
          <w:color w:val="28251D"/>
          <w:sz w:val="22"/>
          <w:szCs w:val="22"/>
        </w:rPr>
        <w:t xml:space="preserve">첫째, 장르별 분절성이다. K-pop, 드라마, 영화, 웹툰, 음식, 뷰티, 관광 연구는 각각 축적되었지만, 이들을 동일한 기준으로 비교할 수 있는 통합 지표체계는 부족하다.</w:t>
      </w:r>
    </w:p>
    <w:p>
      <w:pPr>
        <w:pStyle w:val="ListParagraph"/>
        <w:numPr>
          <w:ilvl w:val="0"/>
          <w:numId w:val="2"/>
        </w:numPr>
        <w:spacing w:after="40" w:before="40" w:line="340"/>
      </w:pPr>
      <w:r>
        <w:rPr>
          <w:rFonts w:ascii="Arial" w:cs="Arial" w:eastAsia="Arial" w:hAnsi="Arial"/>
          <w:color w:val="28251D"/>
          <w:sz w:val="22"/>
          <w:szCs w:val="22"/>
        </w:rPr>
        <w:t xml:space="preserve">둘째, 국가별 비교의 한계다. 특정 국가나 지역에 대한 사례연구는 많지만, 여러 국가의 한류 강도와 구조를 비교하는 계량적 연구는 제한적이다.</w:t>
      </w:r>
    </w:p>
    <w:p>
      <w:pPr>
        <w:pStyle w:val="ListParagraph"/>
        <w:numPr>
          <w:ilvl w:val="0"/>
          <w:numId w:val="2"/>
        </w:numPr>
        <w:spacing w:after="40" w:before="40" w:line="340"/>
      </w:pPr>
      <w:r>
        <w:rPr>
          <w:rFonts w:ascii="Arial" w:cs="Arial" w:eastAsia="Arial" w:hAnsi="Arial"/>
          <w:color w:val="28251D"/>
          <w:sz w:val="22"/>
          <w:szCs w:val="22"/>
        </w:rPr>
        <w:t xml:space="preserve">셋째, 단계 구분의 부족이다. 기존 연구는 인지도, 소비, 선호, 참여, 전환을 종종 혼합하여 사용한다. 그러나 한류를 안다는 것, 소비한다는 것, 좋아한다는 것, 팬덤 활동을 한다는 것, 한국상품을 구매한다는 것은 서로 다른 단계다.</w:t>
      </w:r>
    </w:p>
    <w:p>
      <w:pPr>
        <w:pStyle w:val="ListParagraph"/>
        <w:numPr>
          <w:ilvl w:val="0"/>
          <w:numId w:val="2"/>
        </w:numPr>
        <w:spacing w:after="40" w:before="40" w:line="340"/>
      </w:pPr>
      <w:r>
        <w:rPr>
          <w:rFonts w:ascii="Arial" w:cs="Arial" w:eastAsia="Arial" w:hAnsi="Arial"/>
          <w:color w:val="28251D"/>
          <w:sz w:val="22"/>
          <w:szCs w:val="22"/>
        </w:rPr>
        <w:t xml:space="preserve">넷째, 위험요인 측정의 부족이다. 반한류, 피로도, 정치적 갈등, 문화전유 논란, 팬덤 갈등, 산업윤리 문제는 한류의 지속가능성을 판단하는 데 중요하지만, 기존 지표체계에서는 충분히 반영되지 못했다.</w:t>
      </w:r>
    </w:p>
    <w:p>
      <w:pPr>
        <w:pStyle w:val="ListParagraph"/>
        <w:numPr>
          <w:ilvl w:val="0"/>
          <w:numId w:val="2"/>
        </w:numPr>
        <w:spacing w:after="40" w:before="40" w:line="340"/>
      </w:pPr>
      <w:r>
        <w:rPr>
          <w:rFonts w:ascii="Arial" w:cs="Arial" w:eastAsia="Arial" w:hAnsi="Arial"/>
          <w:color w:val="28251D"/>
          <w:sz w:val="22"/>
          <w:szCs w:val="22"/>
        </w:rPr>
        <w:t xml:space="preserve">다섯째, 방법론적 단일중심주의 문제다. 기존 한류 연구의 대다수는 한국 또는 서구 학자가 생산한 연구에 기반하고 있으며, 카자흐스탄, 이란, 아프리카 등 비주류 수용권의 한류 연구는 절대적으로 부족하다. 한류지수가 28개국 이상을 포괄하는 비교 분석 도구가 되기 위해서는 지표 설계 단계부터 다중언어·다중문화 수용 환경의 차이를 반영해야 한다.</w:t>
      </w:r>
    </w:p>
    <w:p>
      <w:r>
        <w:br w:type="page"/>
      </w:r>
    </w:p>
    <w:p>
      <w:pPr>
        <w:pStyle w:val="Heading1"/>
        <w:spacing w:after="160" w:before="400"/>
      </w:pPr>
      <w:r>
        <w:rPr>
          <w:rFonts w:ascii="Arial" w:cs="Arial" w:eastAsia="Arial" w:hAnsi="Arial"/>
          <w:b/>
          <w:bCs/>
          <w:color w:val="0C4E54"/>
          <w:sz w:val="36"/>
          <w:szCs w:val="36"/>
        </w:rPr>
        <w:t xml:space="preserve">Ⅲ. 이론적 분석틀: 한류지수의 개념과 구성</w:t>
      </w:r>
    </w:p>
    <w:p>
      <w:pPr>
        <w:pStyle w:val="Heading2"/>
        <w:spacing w:after="120" w:before="320"/>
      </w:pPr>
      <w:r>
        <w:rPr>
          <w:rFonts w:ascii="Arial" w:cs="Arial" w:eastAsia="Arial" w:hAnsi="Arial"/>
          <w:b/>
          <w:bCs/>
          <w:color w:val="1B474D"/>
          <w:sz w:val="28"/>
          <w:szCs w:val="28"/>
        </w:rPr>
        <w:t xml:space="preserve">1. 한류의 조작적 정의</w:t>
      </w:r>
    </w:p>
    <w:p>
      <w:pPr>
        <w:spacing w:after="80" w:before="80" w:line="360"/>
        <w:ind/>
        <w:jc w:val="both"/>
      </w:pPr>
      <w:r>
        <w:rPr>
          <w:rFonts w:ascii="Arial" w:cs="Arial" w:eastAsia="Arial" w:hAnsi="Arial"/>
          <w:b w:val="false"/>
          <w:bCs w:val="false"/>
          <w:i w:val="false"/>
          <w:iCs w:val="false"/>
          <w:color w:val="28251D"/>
          <w:sz w:val="22"/>
          <w:szCs w:val="22"/>
        </w:rPr>
        <w:t xml:space="preserve">본 연구에서 한류는 다음과 같이 정의된다.</w:t>
      </w:r>
    </w:p>
    <w:p>
      <w:pPr>
        <w:shd w:fill="EDF2F7" w:val="clear"/>
        <w:spacing w:after="120" w:before="120" w:line="360"/>
        <w:ind w:left="720" w:right="720"/>
        <w:jc w:val="both"/>
      </w:pPr>
      <w:r>
        <w:rPr>
          <w:rFonts w:ascii="Arial" w:cs="Arial" w:eastAsia="Arial" w:hAnsi="Arial"/>
          <w:b/>
          <w:bCs/>
          <w:i/>
          <w:iCs/>
          <w:color w:val="0C4E54"/>
          <w:sz w:val="22"/>
          <w:szCs w:val="22"/>
        </w:rPr>
        <w:t xml:space="preserve">한류란 한국과 연관된 문화콘텐츠, 문화상품, 문화실천, 생활양식이 해외 수용자에게 인지·소비·선호·참여·확산·전환 효과를 발생시키는 초국가적 문화확산 현상이다.</w:t>
      </w:r>
    </w:p>
    <w:p/>
    <w:p>
      <w:pPr>
        <w:spacing w:after="80" w:before="80" w:line="360"/>
        <w:ind/>
        <w:jc w:val="both"/>
      </w:pPr>
      <w:r>
        <w:rPr>
          <w:rFonts w:ascii="Arial" w:cs="Arial" w:eastAsia="Arial" w:hAnsi="Arial"/>
          <w:b w:val="false"/>
          <w:bCs w:val="false"/>
          <w:i w:val="false"/>
          <w:iCs w:val="false"/>
          <w:color w:val="28251D"/>
          <w:sz w:val="22"/>
          <w:szCs w:val="22"/>
        </w:rPr>
        <w:t xml:space="preserve">이 정의는 세 가지 점에서 기존 정의와 구별된다. 첫째, 한류를 콘텐츠 자체가 아니라 수용자에게 발생하는 효과의 연쇄로 정의한다. 둘째, 한류를 인지, 소비, 선호, 참여, 확산, 전환이라는 단계적 과정으로 파악한다. 셋째, 한류의 긍정효과뿐 아니라 반감과 피로도 같은 위험요인을 분석에 포함할 수 있도록 한다.</w:t>
      </w:r>
    </w:p>
    <w:p>
      <w:pPr>
        <w:pStyle w:val="Heading2"/>
        <w:spacing w:after="120" w:before="320"/>
      </w:pPr>
      <w:r>
        <w:rPr>
          <w:rFonts w:ascii="Arial" w:cs="Arial" w:eastAsia="Arial" w:hAnsi="Arial"/>
          <w:b/>
          <w:bCs/>
          <w:color w:val="1B474D"/>
          <w:sz w:val="28"/>
          <w:szCs w:val="28"/>
        </w:rPr>
        <w:t xml:space="preserve">2. 한류지수의 정의 및 층위</w:t>
      </w:r>
    </w:p>
    <w:p>
      <w:pPr>
        <w:shd w:fill="EDF2F7" w:val="clear"/>
        <w:spacing w:after="120" w:before="120" w:line="360"/>
        <w:ind w:left="720" w:right="720"/>
        <w:jc w:val="both"/>
      </w:pPr>
      <w:r>
        <w:rPr>
          <w:rFonts w:ascii="Arial" w:cs="Arial" w:eastAsia="Arial" w:hAnsi="Arial"/>
          <w:b/>
          <w:bCs/>
          <w:i/>
          <w:iCs/>
          <w:color w:val="0C4E54"/>
          <w:sz w:val="22"/>
          <w:szCs w:val="22"/>
        </w:rPr>
        <w:t xml:space="preserve">한류지수(Korean Wave Index)란 특정 국가 또는 지역에서 특정 한류 장르가 보이는 인지도, 소비도, 선호도, 참여도, 확산도, 전환도, 위험도를 표준화하여 산출한 복합지표다.</w:t>
      </w:r>
    </w:p>
    <w:p/>
    <w:p>
      <w:pPr>
        <w:spacing w:after="80" w:before="80" w:line="360"/>
        <w:ind/>
        <w:jc w:val="both"/>
      </w:pPr>
      <w:r>
        <w:t>한류지수는 세 층위로 구성된다. ① 국가별 종합 한류지수(특정 국가에서 한류 전체의 활성화 수준), ② 도메인별 한류지수(K-pop, K영상, 게임, 웹툰, 푸드, 패션, 뷰티, 관광이라는 여덟 개 도메인별 강도), ③ 기능별 하위 지수(인지도, 소비도, 선호도, 참여도, 확산도, 전환도, 위험도). 여기서 도메인은 임의의 장르 목록이 아니라 뒤의 두 절에서 근거를 밝히는 설계의 산물이며, 이 세 층위를 결합하면 한류를 국가–도메인–기능의 입체적 구조로 분석할 수 있다.</w:t>
      </w:r>
    </w:p>
    <w:p>
      <w:pPr>
        <w:pStyle w:val="Heading2"/>
        <w:spacing w:after="120" w:before="320"/>
      </w:pPr>
      <w:r>
        <w:rPr>
          <w:rFonts w:ascii="Arial" w:cs="Arial" w:eastAsia="Arial" w:hAnsi="Arial"/>
          <w:b/>
          <w:bCs/>
          <w:color w:val="1B474D"/>
          <w:sz w:val="28"/>
          <w:szCs w:val="28"/>
        </w:rPr>
        <w:t xml:space="preserve">3. 한류지수의 7대 하위 차원</w:t>
      </w:r>
    </w:p>
    <w:p>
      <w:pPr>
        <w:spacing w:after="80" w:before="80" w:line="360"/>
        <w:ind/>
        <w:jc w:val="both"/>
      </w:pPr>
      <w:r>
        <w:rPr>
          <w:rFonts w:ascii="Arial" w:cs="Arial" w:eastAsia="Arial" w:hAnsi="Arial"/>
          <w:b w:val="false"/>
          <w:bCs w:val="false"/>
          <w:i w:val="false"/>
          <w:iCs w:val="false"/>
          <w:color w:val="28251D"/>
          <w:sz w:val="22"/>
          <w:szCs w:val="22"/>
        </w:rPr>
        <w:t xml:space="preserve">아래 표는 7개 하위 차원별 설문 기반 지표와 플랫폼·산업 기반 지표, 집계 방향을 정리한 것이다.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900"/>
        <w:gridCol w:w="2200"/>
      </w:tblGrid>
      <w:tr>
        <w:tc>
          <w:tcPr>
            <w:tcW w:type="dxa" w:w="15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하위 차원</w:t>
            </w:r>
          </w:p>
        </w:tc>
        <w:tc>
          <w:tcPr>
            <w:tcW w:type="dxa" w:w="26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설문 기반 지표</w:t>
            </w:r>
          </w:p>
        </w:tc>
        <w:tc>
          <w:tcPr>
            <w:tcW w:type="dxa" w:w="29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플랫폼·산업 기반 지표</w:t>
            </w:r>
          </w:p>
        </w:tc>
        <w:tc>
          <w:tcPr>
            <w:tcW w:type="dxa" w:w="2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집계 방향</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인지도(A)</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장르별 인지도, 한국문화 인지율</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검색량, 뉴스 노출량, 키워드 언급량</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소비도(C)</w:t>
            </w:r>
          </w:p>
        </w:tc>
        <w:tc>
          <w:tcPr>
            <w:tcW w:type="dxa" w:w="26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이용 경험, 이용 빈도, 지출 경험</w:t>
            </w:r>
          </w:p>
        </w:tc>
        <w:tc>
          <w:tcPr>
            <w:tcW w:type="dxa" w:w="2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시청시간, 조회수, 차트 순위, 구매액</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선호도(P)</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호감도, 만족도, 추천 의향</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긍정 댓글 비율, 긍정 감성 비율</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참여도(E)</w:t>
            </w:r>
          </w:p>
        </w:tc>
        <w:tc>
          <w:tcPr>
            <w:tcW w:type="dxa" w:w="26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팬덤 활동, 공유 경험, 커뮤니티 활동</w:t>
            </w:r>
          </w:p>
        </w:tc>
        <w:tc>
          <w:tcPr>
            <w:tcW w:type="dxa" w:w="2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댓글 수, 공유 수, 해시태그, 팬번역</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확산도(D)</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주변 추천 경험, 신규 이용 증가</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언급량 증가율, 랭킹 진입, 확산국가 수</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전환도(T)</w:t>
            </w:r>
          </w:p>
        </w:tc>
        <w:tc>
          <w:tcPr>
            <w:tcW w:type="dxa" w:w="26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구매 의향, 방한 의향, 한국어 학습 의향</w:t>
            </w:r>
          </w:p>
        </w:tc>
        <w:tc>
          <w:tcPr>
            <w:tcW w:type="dxa" w:w="29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소비재 수출, 관광객 수, 언어학습자 수</w:t>
            </w:r>
          </w:p>
        </w:tc>
        <w:tc>
          <w:tcPr>
            <w:tcW w:type="dxa" w:w="2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가산</w:t>
            </w:r>
          </w:p>
        </w:tc>
      </w:tr>
      <w:tr>
        <w:tc>
          <w:tcPr>
            <w:tcW w:type="dxa" w:w="15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위험도(R)</w:t>
            </w:r>
          </w:p>
        </w:tc>
        <w:tc>
          <w:tcPr>
            <w:tcW w:type="dxa" w:w="26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반감도, 피로도, 부정 인식</w:t>
            </w:r>
          </w:p>
        </w:tc>
        <w:tc>
          <w:tcPr>
            <w:tcW w:type="dxa" w:w="29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부정 감성, 불매 키워드, 정치갈등 뉴스</w:t>
            </w:r>
          </w:p>
        </w:tc>
        <w:tc>
          <w:tcPr>
            <w:tcW w:type="dxa" w:w="2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center"/>
            </w:pPr>
            <w:r>
              <w:rPr>
                <w:rFonts w:ascii="Arial" w:cs="Arial" w:eastAsia="Arial" w:hAnsi="Arial"/>
                <w:b w:val="false"/>
                <w:bCs w:val="false"/>
                <w:color w:val="28251D"/>
                <w:sz w:val="20"/>
                <w:szCs w:val="20"/>
              </w:rPr>
              <w:t xml:space="preserve">− 감산</w:t>
            </w:r>
          </w:p>
        </w:tc>
      </w:tr>
    </w:tbl>
    <w:p/>
    <w:p>
      <w:pPr>
        <w:spacing w:after="80" w:before="80" w:line="360"/>
        <w:ind/>
        <w:jc w:val="both"/>
      </w:pPr>
      <w:r>
        <w:rPr>
          <w:rFonts w:ascii="Arial" w:cs="Arial" w:eastAsia="Arial" w:hAnsi="Arial"/>
          <w:b w:val="false"/>
          <w:bCs w:val="false"/>
          <w:i w:val="false"/>
          <w:iCs w:val="false"/>
          <w:color w:val="28251D"/>
          <w:sz w:val="22"/>
          <w:szCs w:val="22"/>
        </w:rPr>
        <w:t xml:space="preserve">위험도 지표는 다른 여섯 개 지표와 달리 종합지수에서 감산요인 또는 별도 경보지표로 처리한다. 이는 한류지수가 단순한 인기 합산이 아니라 지속가능성을 내재화한 복합지표임을 보여주는 핵심 설계 원리다.</w:t>
      </w:r>
    </w:p>
    <w:p>
      <w:pPr>
        <w:pStyle w:val="Heading2"/>
        <w:spacing w:after="120" w:before="320"/>
      </w:pPr>
      <w:r>
        <w:rPr>
          <w:rFonts w:ascii="Arial" w:cs="Arial" w:eastAsia="Arial" w:hAnsi="Arial"/>
          <w:b/>
          <w:bCs/>
          <w:color w:val="1B474D"/>
          <w:sz w:val="28"/>
          <w:szCs w:val="28"/>
        </w:rPr>
        <w:t xml:space="preserve">4. 개념 모형: 이론적 계보</w:t>
      </w:r>
    </w:p>
    <w:p>
      <w:pPr>
        <w:spacing w:after="80" w:before="80" w:line="360"/>
        <w:ind/>
        <w:jc w:val="both"/>
      </w:pPr>
      <w:r>
        <w:rPr>
          <w:rFonts w:ascii="Arial" w:cs="Arial" w:eastAsia="Arial" w:hAnsi="Arial"/>
          <w:b w:val="false"/>
          <w:bCs w:val="false"/>
          <w:i w:val="false"/>
          <w:iCs w:val="false"/>
          <w:color w:val="28251D"/>
          <w:sz w:val="22"/>
          <w:szCs w:val="22"/>
        </w:rPr>
        <w:t xml:space="preserve">본 연구의 한류지수 모형은 다음과 같은 단계 구조를 가진다.</w:t>
      </w:r>
    </w:p>
    <w:p>
      <w:pPr>
        <w:spacing w:after="160" w:before="160"/>
        <w:jc w:val="center"/>
      </w:pPr>
      <w:r>
        <w:rPr>
          <w:rFonts w:ascii="Arial" w:cs="Arial" w:eastAsia="Arial" w:hAnsi="Arial"/>
          <w:b/>
          <w:bCs/>
          <w:color w:val="0C4E54"/>
          <w:sz w:val="22"/>
          <w:szCs w:val="22"/>
        </w:rPr>
        <w:t xml:space="preserve">인지도(A) → 소비도(C) → 선호도(P) → 참여도(E) → 확산도(D) → 전환도(T)  ⟵  위험도(R) [조절]</w:t>
      </w:r>
    </w:p>
    <w:p>
      <w:pPr>
        <w:spacing w:after="80" w:before="80" w:line="360"/>
        <w:ind/>
        <w:jc w:val="both"/>
      </w:pPr>
      <w:r>
        <w:rPr>
          <w:rFonts w:ascii="Arial" w:cs="Arial" w:eastAsia="Arial" w:hAnsi="Arial"/>
          <w:b w:val="false"/>
          <w:bCs w:val="false"/>
          <w:i w:val="false"/>
          <w:iCs w:val="false"/>
          <w:color w:val="28251D"/>
          <w:sz w:val="22"/>
          <w:szCs w:val="22"/>
        </w:rPr>
        <w:t xml:space="preserve">이 단계 구조는 Rogers(1962, 2003)의 혁신 확산 이론(인지→설득→결정→실행→확인), 마케팅의 AIDA 모형(Awareness–Interest–Desire–Action), Prochaska &amp; DiClemente의 범이론적 모형(TTM)과 이론적으로 공명한다. 특히 TTM은 단계 구조가 반드시 선형적이지 않으며 역행 가능성을 포함한다는 점을 보여준다. 어떤 국가는 소비도를 건너뛰고 팬덤 참여도에서 한류와 접촉하기 시작할 수 있다. 이러한 비선형성은 국가 유형화 분석에서 더 정교하게 다루어진다.</w:t>
      </w:r>
    </w:p>
    <w:p>
      <w:r>
        <w:br w:type="page"/>
      </w:r>
    </w:p>
    <w:p>
      <w:pPr>
        <w:pStyle w:val="Heading2"/>
      </w:pPr>
      <w:r>
        <w:t>5. 왜 여덟 도메인인가: 분야의 다양성에서 도메인의 체계로</w:t>
      </w:r>
    </w:p>
    <w:p>
      <w:r>
        <w:t>한류라는 한 단어 아래에는 서로 닮지 않은 수십 개의 분야가 들어 있다. 아이돌 팝과 힙합과 발라드와 트로트와 인디, 드라마와 영화와 예능과 다큐멘터리, 웹툰과 웹소설, 콘솔·모바일 게임과 e스포츠, 한식과 가공식품과 외식 프랜차이즈, 스킨케어와 색조화장품, 의류와 스트리트웨어와 액세서리, 일반 관광과 의료관광과 미식관광, 그리고 한국어와 서예와 도자와 국악까지. 이 목록은 부를수록 늘어난다. 지수는 이 무한히 분기하는 목록을 그대로 측정할 수 없다.</w:t>
      </w:r>
    </w:p>
    <w:p>
      <w:r>
        <w:t>여기서 측정 단위의 문제가 발생한다. 분야를 너무 잘게 쪼개면 그것을 받쳐 줄 산업통계도 플랫폼 데이터도 존재하지 않고, 너무 크게 묶으면 ‘한류가 강하다’는 말처럼 해석이 증발한다. 그러므로 도메인은 발견되는 것이 아니라 설계되는 것이다. 본 연구는 흩어진 분야들을 다음 네 기준으로 묶어 도메인을 주조한다.</w:t>
      </w:r>
    </w:p>
    <w:p>
      <w:r>
        <w:t>첫째, 산업통계 가용성이다. 수출액·매출이 독립적으로 집계되어 경제 레이어(L1)로 측정될 수 있어야 한다. 둘째, 플랫폼 측정 가능성이다. 검색·조회·언급이 식별 가능한 단위로 잡혀 플랫폼 레이어(L2)에 포착되어야 한다. 셋째, 소비 양식의 동질성이다. 한 도메인으로 묶이는 분야들은 수용자가 비슷한 방식으로 소비하고 참여해야 한다. 넷째, 정책·산업 단위와의 정합이다. 진흥정책과 산업분류가 그 단위를 이미 하나의 범주로 인정하고 있어야 한다. 이 네 기준을 통과할 때 분야는 비로소 도메인이 된다.</w:t>
      </w:r>
    </w:p>
    <w:p>
      <w:r>
        <w:t>네 기준을 적용하면 수십 개의 분야는 여덟 개의 도메인으로 수렴한다. 아래 표는 각 도메인이 어떤 분야들을 품으며 어떤 근거로 하나의 단위가 되는지를 정리한 것이다.</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055"/>
        <w:gridCol w:w="3055"/>
        <w:gridCol w:w="3055"/>
      </w:tblGrid>
      <w:tr>
        <w:tc>
          <w:tcPr>
            <w:tcW w:type="dxa" w:w="3055"/>
          </w:tcPr>
          <w:p>
            <w:r/>
            <w:r>
              <w:rPr>
                <w:b/>
                <w:sz w:val="18"/>
              </w:rPr>
              <w:t>도메인</w:t>
            </w:r>
          </w:p>
        </w:tc>
        <w:tc>
          <w:tcPr>
            <w:tcW w:type="dxa" w:w="3055"/>
          </w:tcPr>
          <w:p>
            <w:r/>
            <w:r>
              <w:rPr>
                <w:b/>
                <w:sz w:val="18"/>
              </w:rPr>
              <w:t>포함 분야</w:t>
            </w:r>
          </w:p>
        </w:tc>
        <w:tc>
          <w:tcPr>
            <w:tcW w:type="dxa" w:w="3055"/>
          </w:tcPr>
          <w:p>
            <w:r/>
            <w:r>
              <w:rPr>
                <w:b/>
                <w:sz w:val="18"/>
              </w:rPr>
              <w:t>하나로 묶는 근거</w:t>
            </w:r>
          </w:p>
        </w:tc>
      </w:tr>
      <w:tr>
        <w:tc>
          <w:tcPr>
            <w:tcW w:type="dxa" w:w="3055"/>
          </w:tcPr>
          <w:p>
            <w:r/>
            <w:r>
              <w:rPr>
                <w:sz w:val="18"/>
              </w:rPr>
              <w:t>K-pop</w:t>
            </w:r>
          </w:p>
        </w:tc>
        <w:tc>
          <w:tcPr>
            <w:tcW w:type="dxa" w:w="3055"/>
          </w:tcPr>
          <w:p>
            <w:r/>
            <w:r>
              <w:rPr>
                <w:sz w:val="18"/>
              </w:rPr>
              <w:t>아이돌 팝·힙합·발라드·인디·공연</w:t>
            </w:r>
          </w:p>
        </w:tc>
        <w:tc>
          <w:tcPr>
            <w:tcW w:type="dxa" w:w="3055"/>
          </w:tcPr>
          <w:p>
            <w:r/>
            <w:r>
              <w:rPr>
                <w:sz w:val="18"/>
              </w:rPr>
              <w:t>음원·공연 산업통계와 차트·스트리밍 지표가 견고</w:t>
            </w:r>
          </w:p>
        </w:tc>
      </w:tr>
      <w:tr>
        <w:tc>
          <w:tcPr>
            <w:tcW w:type="dxa" w:w="3055"/>
          </w:tcPr>
          <w:p>
            <w:r/>
            <w:r>
              <w:rPr>
                <w:sz w:val="18"/>
              </w:rPr>
              <w:t>K영상</w:t>
            </w:r>
          </w:p>
        </w:tc>
        <w:tc>
          <w:tcPr>
            <w:tcW w:type="dxa" w:w="3055"/>
          </w:tcPr>
          <w:p>
            <w:r/>
            <w:r>
              <w:rPr>
                <w:sz w:val="18"/>
              </w:rPr>
              <w:t>드라마·영화·예능·다큐멘터리</w:t>
            </w:r>
          </w:p>
        </w:tc>
        <w:tc>
          <w:tcPr>
            <w:tcW w:type="dxa" w:w="3055"/>
          </w:tcPr>
          <w:p>
            <w:r/>
            <w:r>
              <w:rPr>
                <w:sz w:val="18"/>
              </w:rPr>
              <w:t>OTT 환경에서 양식 경계 약화, 시청 데이터로 통합 측정</w:t>
            </w:r>
          </w:p>
        </w:tc>
      </w:tr>
      <w:tr>
        <w:tc>
          <w:tcPr>
            <w:tcW w:type="dxa" w:w="3055"/>
          </w:tcPr>
          <w:p>
            <w:r/>
            <w:r>
              <w:rPr>
                <w:sz w:val="18"/>
              </w:rPr>
              <w:t>게임</w:t>
            </w:r>
          </w:p>
        </w:tc>
        <w:tc>
          <w:tcPr>
            <w:tcW w:type="dxa" w:w="3055"/>
          </w:tcPr>
          <w:p>
            <w:r/>
            <w:r>
              <w:rPr>
                <w:sz w:val="18"/>
              </w:rPr>
              <w:t>콘솔·모바일·PC·e스포츠</w:t>
            </w:r>
          </w:p>
        </w:tc>
        <w:tc>
          <w:tcPr>
            <w:tcW w:type="dxa" w:w="3055"/>
          </w:tcPr>
          <w:p>
            <w:r/>
            <w:r>
              <w:rPr>
                <w:sz w:val="18"/>
              </w:rPr>
              <w:t>콘텐츠 수출 최대 비중, 독립적 산업통계 존재</w:t>
            </w:r>
          </w:p>
        </w:tc>
      </w:tr>
      <w:tr>
        <w:tc>
          <w:tcPr>
            <w:tcW w:type="dxa" w:w="3055"/>
          </w:tcPr>
          <w:p>
            <w:r/>
            <w:r>
              <w:rPr>
                <w:sz w:val="18"/>
              </w:rPr>
              <w:t>웹툰</w:t>
            </w:r>
          </w:p>
        </w:tc>
        <w:tc>
          <w:tcPr>
            <w:tcW w:type="dxa" w:w="3055"/>
          </w:tcPr>
          <w:p>
            <w:r/>
            <w:r>
              <w:rPr>
                <w:sz w:val="18"/>
              </w:rPr>
              <w:t>웹툰·웹소설</w:t>
            </w:r>
          </w:p>
        </w:tc>
        <w:tc>
          <w:tcPr>
            <w:tcW w:type="dxa" w:w="3055"/>
          </w:tcPr>
          <w:p>
            <w:r/>
            <w:r>
              <w:rPr>
                <w:sz w:val="18"/>
              </w:rPr>
              <w:t>플랫폼 IP, 조회·결제 데이터로 측정 가능</w:t>
            </w:r>
          </w:p>
        </w:tc>
      </w:tr>
      <w:tr>
        <w:tc>
          <w:tcPr>
            <w:tcW w:type="dxa" w:w="3055"/>
          </w:tcPr>
          <w:p>
            <w:r/>
            <w:r>
              <w:rPr>
                <w:sz w:val="18"/>
              </w:rPr>
              <w:t>푸드</w:t>
            </w:r>
          </w:p>
        </w:tc>
        <w:tc>
          <w:tcPr>
            <w:tcW w:type="dxa" w:w="3055"/>
          </w:tcPr>
          <w:p>
            <w:r/>
            <w:r>
              <w:rPr>
                <w:sz w:val="18"/>
              </w:rPr>
              <w:t>한식·가공식품·외식 프랜차이즈</w:t>
            </w:r>
          </w:p>
        </w:tc>
        <w:tc>
          <w:tcPr>
            <w:tcW w:type="dxa" w:w="3055"/>
          </w:tcPr>
          <w:p>
            <w:r/>
            <w:r>
              <w:rPr>
                <w:sz w:val="18"/>
              </w:rPr>
              <w:t>식품 수출·외식 통계가 직접 집계</w:t>
            </w:r>
          </w:p>
        </w:tc>
      </w:tr>
      <w:tr>
        <w:tc>
          <w:tcPr>
            <w:tcW w:type="dxa" w:w="3055"/>
          </w:tcPr>
          <w:p>
            <w:r/>
            <w:r>
              <w:rPr>
                <w:sz w:val="18"/>
              </w:rPr>
              <w:t>패션</w:t>
            </w:r>
          </w:p>
        </w:tc>
        <w:tc>
          <w:tcPr>
            <w:tcW w:type="dxa" w:w="3055"/>
          </w:tcPr>
          <w:p>
            <w:r/>
            <w:r>
              <w:rPr>
                <w:sz w:val="18"/>
              </w:rPr>
              <w:t>의류·스트리트웨어·액세서리</w:t>
            </w:r>
          </w:p>
        </w:tc>
        <w:tc>
          <w:tcPr>
            <w:tcW w:type="dxa" w:w="3055"/>
          </w:tcPr>
          <w:p>
            <w:r/>
            <w:r>
              <w:rPr>
                <w:sz w:val="18"/>
              </w:rPr>
              <w:t>의류 수출·브랜드 지표로 포착</w:t>
            </w:r>
          </w:p>
        </w:tc>
      </w:tr>
      <w:tr>
        <w:tc>
          <w:tcPr>
            <w:tcW w:type="dxa" w:w="3055"/>
          </w:tcPr>
          <w:p>
            <w:r/>
            <w:r>
              <w:rPr>
                <w:sz w:val="18"/>
              </w:rPr>
              <w:t>뷰티</w:t>
            </w:r>
          </w:p>
        </w:tc>
        <w:tc>
          <w:tcPr>
            <w:tcW w:type="dxa" w:w="3055"/>
          </w:tcPr>
          <w:p>
            <w:r/>
            <w:r>
              <w:rPr>
                <w:sz w:val="18"/>
              </w:rPr>
              <w:t>스킨케어·색조·헤어케어</w:t>
            </w:r>
          </w:p>
        </w:tc>
        <w:tc>
          <w:tcPr>
            <w:tcW w:type="dxa" w:w="3055"/>
          </w:tcPr>
          <w:p>
            <w:r/>
            <w:r>
              <w:rPr>
                <w:sz w:val="18"/>
              </w:rPr>
              <w:t>화장품 수출 세계 최상위권, 측정 가장 견고</w:t>
            </w:r>
          </w:p>
        </w:tc>
      </w:tr>
      <w:tr>
        <w:tc>
          <w:tcPr>
            <w:tcW w:type="dxa" w:w="3055"/>
          </w:tcPr>
          <w:p>
            <w:r/>
            <w:r>
              <w:rPr>
                <w:sz w:val="18"/>
              </w:rPr>
              <w:t>관광</w:t>
            </w:r>
          </w:p>
        </w:tc>
        <w:tc>
          <w:tcPr>
            <w:tcW w:type="dxa" w:w="3055"/>
          </w:tcPr>
          <w:p>
            <w:r/>
            <w:r>
              <w:rPr>
                <w:sz w:val="18"/>
              </w:rPr>
              <w:t>일반·의료·미식 관광</w:t>
            </w:r>
          </w:p>
        </w:tc>
        <w:tc>
          <w:tcPr>
            <w:tcW w:type="dxa" w:w="3055"/>
          </w:tcPr>
          <w:p>
            <w:r/>
            <w:r>
              <w:rPr>
                <w:sz w:val="18"/>
              </w:rPr>
              <w:t>방한 통계·관광수입이 국가 단위로 직접 집계</w:t>
            </w:r>
          </w:p>
        </w:tc>
      </w:tr>
    </w:tbl>
    <w:p>
      <w:r>
        <w:t>여덟이라는 수는 자연수가 아니라 위 기준의 결과다. 무엇이 도메인이 되지 못했는가가 이 점을 더 분명히 한다. 한국어 학습은 독립 도메인이 아니다. 그것은 어느 한 분야의 소비가 아니라 여러 도메인의 소비가 누적되어 발생하는 결과, 곧 전환도(T)의 가장 깊은 형태이므로 도메인이 아니라 L1의 전환 지표로 측정한다. 전통문화—도자·서예·국악—역시 독립 도메인으로 두지 않는다. 그것은 K영상의 사극과 K-pop의 국악 샘플링과 관광의 체험 상품 안에 분산되어 수용되기 때문이다. 따라서 여덟 도메인은 한류의 모든 분야가 아니라, 측정 가능하고 정책적으로 유의미한 분야들의 최소 완전 집합이다.</w:t>
      </w:r>
    </w:p>
    <w:p>
      <w:r>
        <w:t>이 분류가 완결적이지 않다는 점도 밝혀 둔다. e스포츠는 게임 도메인에 속하지만 동시에 K영상의 중계 소비와 겹치고, 아이돌이 출연하는 예능은 K-pop과 K영상의 경계에 걸친다. 이런 잔여는 도메인 설계가 현실을 칼로 자르는 작업이 아니라 측정을 위한 잠정적 합의임을 상기시킨다. 경계의 사례들은 후속 설계에서 가중 분배 규칙으로 다루어져야 한다.</w:t>
      </w:r>
    </w:p>
    <w:p>
      <w:pPr>
        <w:pStyle w:val="Heading2"/>
      </w:pPr>
      <w:r>
        <w:t>6. 왜 세 레이어인가: L1·L2·L3의 구성 논리</w:t>
      </w:r>
    </w:p>
    <w:p>
      <w:r>
        <w:t>도메인이 ‘무엇을’ 측정할지를 정하는 가로축이라면, 레이어는 ‘어떤 증거로’ 측정할지를 정하는 세로축이다. 한류는 단 하나의 증거 양식으로 잡히지 않는다. 그것은 세 개의 서로 다른 시간성과 세 개의 서로 다른 자료 생태계에 동시에 흔적을 남긴다. 경제 레이어, 플랫폼 레이어, 정성 아카이브 레이어는 그 세 흔적에 각각 대응한다.</w:t>
      </w:r>
    </w:p>
    <w:p>
      <w:r>
        <w:t>경제지표 레이어(L1)는 한류가 실물 경제에 남기는 자국(自國)이다. 수출 통관 기록, 출입국 통계, 기업 매출. 이 자료는 느리지만 단단하다. 대개 연 단위로 갱신되고, 위조하기 어려우며, 정책의 언어와 곧바로 연결된다. 약점은 시차가 크고 한류의 순효과를 다른 경제 요인에서 분리하기 어렵다는 것이다. 그래서 L1은 지수의 닻(anchor) 역할을 한다. 빠른 지표가 출렁일 때 지수가 표류하지 않도록 붙잡는 무게중심이다.</w:t>
      </w:r>
    </w:p>
    <w:p>
      <w:r>
        <w:t>플랫폼 데이터 레이어(L2)는 한류가 디지털 행동으로 표면화되는 자리다. 검색량, 조회수, 댓글, 공유, 해시태그, 확산국가 수. 이 자료는 빠르고 풍부하지만 휘발적이고 편향적이다. 플랫폼의 알고리즘, 봇, 국가별 점유율 차이가 신호를 왜곡한다. 일·주 단위로 움직이는 이 레이어는 지수의 모멘텀(momentum)을 담당한다. L1이 어디에 도달했는지를 말한다면, L2는 지금 어디로 움직이는지를 말한다.</w:t>
      </w:r>
    </w:p>
    <w:p>
      <w:r>
        <w:t>정성 아카이브 레이어(L3)는 수치로 환원되지 않는 평가가 쌓이는 자리다. 비평, 수상, 전시, 논란, 감성. 이 자료는 해석을 요구하고 코딩 노동을 들이지 않으면 지수가 되지 않는다. 비정형이라는 약점은 동시에 강점이다. L3는 선호도(P)의 질과 위험도(R)의 징후—호감의 깊이, 반감의 불씨—를 담는 유일한 레이어이기 때문이다.</w:t>
      </w:r>
    </w:p>
    <w:p>
      <w:r>
        <w:t>세 레이어가 모두 필요한 이유는 어느 하나도 나머지를 대체하지 못하기 때문이다. L1만 보면 방탄소년단 활동 중단 발표 직후 팬덤이 보인 즉각적 반응 같은 빠른 변동을 놓치고, L2만 보면 알고리즘이 부풀린 거품을 유기적 관심으로 오인하며, L3만 보면 측정의 비교가능성을 잃는다. 세 레이어는 각각 한류의 다른 진실을 보관한다. 실물의 진실, 행동의 진실, 평가의 진실. 이 셋을 0.5/0.3/0.2로 가중합하는 것은 실물에 닻을 두되 행동과 평가로 그 맹점을 서로 메우려는 설계다. 이 비중 역시 고정된 진리가 아니라 민감도 분석으로 검증되어야 할 잠정값이다.</w:t>
      </w:r>
    </w:p>
    <w:p>
      <w:r>
        <w:t>이제 가로축(여덟 도메인)과 세로축(세 레이어)이 정해졌다. 남은 일은 앞서 정의한 일곱 기능 차원을 이 격자 위에 분포시키는 것이다. 다음 절이 그 작업이다.</w:t>
      </w:r>
    </w:p>
    <w:p>
      <w:pPr>
        <w:pStyle w:val="Heading2"/>
      </w:pPr>
      <w:r>
        <w:t>7. 측정 아키텍처: 일곱 차원을 격자 위에 분포시키기</w:t>
      </w:r>
    </w:p>
    <w:p>
      <w:r>
        <w:t>여기까지 한류지수는 일곱 개의 기능적 차원으로 정의되었다. 그러나 차원의 목록이 곧 지수의 설계도는 아니다. 인지도와 참여도는 같은 종류의 자료로 측정되지 않는다. 인지도는 검색창에 남고, 참여도는 댓글과 해시태그에 남으며, 전환도는 세관 통계와 출입국 기록에 남는다. 차원은 ‘무엇을 재는가’의 문제이고, 측정 레이어는 ‘어떤 자료로 재는가’의 문제다. 실제로 구현된 KWCI는 바로 이 두 번째 물음 위에서 조직된다.</w:t>
      </w:r>
    </w:p>
    <w:p>
      <w:r>
        <w:t>KWCI는 일곱 차원을 폐기하지 않고 세 개의 자료 레이어로 재배치한다. 경제지표 레이어(L1)는 한류가 실물 경제로 귀착되는 지점—수출, 매출, 관광수입, 시장 규모—을 담는다. 이것은 전환도(T)의 경제적 착지이자 소비도(C)의 시장 규모 측면이다. 플랫폼 데이터 레이어(L2)는 한류가 실시간으로 움직이는 지점—검색량, 조회수, 댓글, 공유, 해시태그, 확산국가 수—을 담는다. 이것은 인지도(A)·소비도(C)·참여도(E)·확산도(D)가 디지털 행동으로 표면화되는 층이다. 정성 아카이브 레이어(L3)는 수치로 환원되지 않는 평가의 지점—비평, 수상, 전시, 감성, 논란—을 담는다. 이것은 선호도(P)와 위험도(R)가 머무는 층이다. 위험도가 별도의 감산항이자 조기경보지표로 처리되어야 한다는 앞 절의 설계 원리는 여기서 L3 안의 부정 신호로 구현된다.</w:t>
      </w:r>
    </w:p>
    <w:p>
      <w:r>
        <w:t>아래 표는 일곱 기능 차원이 세 자료 레이어로 어떻게 분포하는지를 정리한 것이다. 한 차원이 둘 이상의 레이어에 걸치는 경우—소비도가 L2(행동)와 L1(매출) 양쪽에 나타나는 것처럼—는 그 차원이 본래 행동과 실물의 두 얼굴을 가졌음을 보여준다.</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055"/>
        <w:gridCol w:w="3055"/>
        <w:gridCol w:w="3055"/>
      </w:tblGrid>
      <w:tr>
        <w:tc>
          <w:tcPr>
            <w:tcW w:type="dxa" w:w="3055"/>
          </w:tcPr>
          <w:p>
            <w:r/>
            <w:r>
              <w:rPr>
                <w:b/>
                <w:sz w:val="18"/>
              </w:rPr>
              <w:t>기능 차원(개념)</w:t>
            </w:r>
          </w:p>
        </w:tc>
        <w:tc>
          <w:tcPr>
            <w:tcW w:type="dxa" w:w="3055"/>
          </w:tcPr>
          <w:p>
            <w:r/>
            <w:r>
              <w:rPr>
                <w:b/>
                <w:sz w:val="18"/>
              </w:rPr>
              <w:t>주 측정 레이어</w:t>
            </w:r>
          </w:p>
        </w:tc>
        <w:tc>
          <w:tcPr>
            <w:tcW w:type="dxa" w:w="3055"/>
          </w:tcPr>
          <w:p>
            <w:r/>
            <w:r>
              <w:rPr>
                <w:b/>
                <w:sz w:val="18"/>
              </w:rPr>
              <w:t>대표 자료</w:t>
            </w:r>
          </w:p>
        </w:tc>
      </w:tr>
      <w:tr>
        <w:tc>
          <w:tcPr>
            <w:tcW w:type="dxa" w:w="3055"/>
          </w:tcPr>
          <w:p>
            <w:r/>
            <w:r>
              <w:rPr>
                <w:sz w:val="18"/>
              </w:rPr>
              <w:t>인지도(A)</w:t>
            </w:r>
          </w:p>
        </w:tc>
        <w:tc>
          <w:tcPr>
            <w:tcW w:type="dxa" w:w="3055"/>
          </w:tcPr>
          <w:p>
            <w:r/>
            <w:r>
              <w:rPr>
                <w:sz w:val="18"/>
              </w:rPr>
              <w:t>L2 플랫폼</w:t>
            </w:r>
          </w:p>
        </w:tc>
        <w:tc>
          <w:tcPr>
            <w:tcW w:type="dxa" w:w="3055"/>
          </w:tcPr>
          <w:p>
            <w:r/>
            <w:r>
              <w:rPr>
                <w:sz w:val="18"/>
              </w:rPr>
              <w:t>검색량, 뉴스 노출, 키워드 언급</w:t>
            </w:r>
          </w:p>
        </w:tc>
      </w:tr>
      <w:tr>
        <w:tc>
          <w:tcPr>
            <w:tcW w:type="dxa" w:w="3055"/>
          </w:tcPr>
          <w:p>
            <w:r/>
            <w:r>
              <w:rPr>
                <w:sz w:val="18"/>
              </w:rPr>
              <w:t>소비도(C)</w:t>
            </w:r>
          </w:p>
        </w:tc>
        <w:tc>
          <w:tcPr>
            <w:tcW w:type="dxa" w:w="3055"/>
          </w:tcPr>
          <w:p>
            <w:r/>
            <w:r>
              <w:rPr>
                <w:sz w:val="18"/>
              </w:rPr>
              <w:t>L2 플랫폼 · L1 경제</w:t>
            </w:r>
          </w:p>
        </w:tc>
        <w:tc>
          <w:tcPr>
            <w:tcW w:type="dxa" w:w="3055"/>
          </w:tcPr>
          <w:p>
            <w:r/>
            <w:r>
              <w:rPr>
                <w:sz w:val="18"/>
              </w:rPr>
              <w:t>조회수·시청시간·차트 / 구매액·매출</w:t>
            </w:r>
          </w:p>
        </w:tc>
      </w:tr>
      <w:tr>
        <w:tc>
          <w:tcPr>
            <w:tcW w:type="dxa" w:w="3055"/>
          </w:tcPr>
          <w:p>
            <w:r/>
            <w:r>
              <w:rPr>
                <w:sz w:val="18"/>
              </w:rPr>
              <w:t>선호도(P)</w:t>
            </w:r>
          </w:p>
        </w:tc>
        <w:tc>
          <w:tcPr>
            <w:tcW w:type="dxa" w:w="3055"/>
          </w:tcPr>
          <w:p>
            <w:r/>
            <w:r>
              <w:rPr>
                <w:sz w:val="18"/>
              </w:rPr>
              <w:t>L3 정성</w:t>
            </w:r>
          </w:p>
        </w:tc>
        <w:tc>
          <w:tcPr>
            <w:tcW w:type="dxa" w:w="3055"/>
          </w:tcPr>
          <w:p>
            <w:r/>
            <w:r>
              <w:rPr>
                <w:sz w:val="18"/>
              </w:rPr>
              <w:t>호감·만족, 긍정 감성, 비평</w:t>
            </w:r>
          </w:p>
        </w:tc>
      </w:tr>
      <w:tr>
        <w:tc>
          <w:tcPr>
            <w:tcW w:type="dxa" w:w="3055"/>
          </w:tcPr>
          <w:p>
            <w:r/>
            <w:r>
              <w:rPr>
                <w:sz w:val="18"/>
              </w:rPr>
              <w:t>참여도(E)</w:t>
            </w:r>
          </w:p>
        </w:tc>
        <w:tc>
          <w:tcPr>
            <w:tcW w:type="dxa" w:w="3055"/>
          </w:tcPr>
          <w:p>
            <w:r/>
            <w:r>
              <w:rPr>
                <w:sz w:val="18"/>
              </w:rPr>
              <w:t>L2 플랫폼</w:t>
            </w:r>
          </w:p>
        </w:tc>
        <w:tc>
          <w:tcPr>
            <w:tcW w:type="dxa" w:w="3055"/>
          </w:tcPr>
          <w:p>
            <w:r/>
            <w:r>
              <w:rPr>
                <w:sz w:val="18"/>
              </w:rPr>
              <w:t>댓글·공유·해시태그·팬번역</w:t>
            </w:r>
          </w:p>
        </w:tc>
      </w:tr>
      <w:tr>
        <w:tc>
          <w:tcPr>
            <w:tcW w:type="dxa" w:w="3055"/>
          </w:tcPr>
          <w:p>
            <w:r/>
            <w:r>
              <w:rPr>
                <w:sz w:val="18"/>
              </w:rPr>
              <w:t>확산도(D)</w:t>
            </w:r>
          </w:p>
        </w:tc>
        <w:tc>
          <w:tcPr>
            <w:tcW w:type="dxa" w:w="3055"/>
          </w:tcPr>
          <w:p>
            <w:r/>
            <w:r>
              <w:rPr>
                <w:sz w:val="18"/>
              </w:rPr>
              <w:t>L2 플랫폼</w:t>
            </w:r>
          </w:p>
        </w:tc>
        <w:tc>
          <w:tcPr>
            <w:tcW w:type="dxa" w:w="3055"/>
          </w:tcPr>
          <w:p>
            <w:r/>
            <w:r>
              <w:rPr>
                <w:sz w:val="18"/>
              </w:rPr>
              <w:t>언급 증가율, 랭킹 진입, 확산국가 수</w:t>
            </w:r>
          </w:p>
        </w:tc>
      </w:tr>
      <w:tr>
        <w:tc>
          <w:tcPr>
            <w:tcW w:type="dxa" w:w="3055"/>
          </w:tcPr>
          <w:p>
            <w:r/>
            <w:r>
              <w:rPr>
                <w:sz w:val="18"/>
              </w:rPr>
              <w:t>전환도(T)</w:t>
            </w:r>
          </w:p>
        </w:tc>
        <w:tc>
          <w:tcPr>
            <w:tcW w:type="dxa" w:w="3055"/>
          </w:tcPr>
          <w:p>
            <w:r/>
            <w:r>
              <w:rPr>
                <w:sz w:val="18"/>
              </w:rPr>
              <w:t>L1 경제</w:t>
            </w:r>
          </w:p>
        </w:tc>
        <w:tc>
          <w:tcPr>
            <w:tcW w:type="dxa" w:w="3055"/>
          </w:tcPr>
          <w:p>
            <w:r/>
            <w:r>
              <w:rPr>
                <w:sz w:val="18"/>
              </w:rPr>
              <w:t>소비재 수출, 관광객 수, 언어학습자 수</w:t>
            </w:r>
          </w:p>
        </w:tc>
      </w:tr>
      <w:tr>
        <w:tc>
          <w:tcPr>
            <w:tcW w:type="dxa" w:w="3055"/>
          </w:tcPr>
          <w:p>
            <w:r/>
            <w:r>
              <w:rPr>
                <w:sz w:val="18"/>
              </w:rPr>
              <w:t>위험도(R)</w:t>
            </w:r>
          </w:p>
        </w:tc>
        <w:tc>
          <w:tcPr>
            <w:tcW w:type="dxa" w:w="3055"/>
          </w:tcPr>
          <w:p>
            <w:r/>
            <w:r>
              <w:rPr>
                <w:sz w:val="18"/>
              </w:rPr>
              <w:t>L3 정성(감산·경보)</w:t>
            </w:r>
          </w:p>
        </w:tc>
        <w:tc>
          <w:tcPr>
            <w:tcW w:type="dxa" w:w="3055"/>
          </w:tcPr>
          <w:p>
            <w:r/>
            <w:r>
              <w:rPr>
                <w:sz w:val="18"/>
              </w:rPr>
              <w:t>부정 감성, 불매 키워드, 정치갈등 뉴스</w:t>
            </w:r>
          </w:p>
        </w:tc>
      </w:tr>
    </w:tbl>
    <w:p>
      <w:r>
        <w:t>이 재배치 위에서 도메인별 서브 인덱스(Domain Sub-Index, DSI)는 다음과 같이 산출된다. 세 레이어를 0~100으로 정규화한 뒤 가중합하되, 경제 백본에 가장 큰 비중을 둔다.</w:t>
      </w:r>
    </w:p>
    <w:p>
      <w:pPr>
        <w:jc w:val="center"/>
      </w:pPr>
      <w:r>
        <w:rPr>
          <w:i/>
        </w:rPr>
        <w:t>DSI = 0.5·L1 + 0.3·L2 + 0.2·L3</w:t>
      </w:r>
    </w:p>
    <w:p>
      <w:r>
        <w:t>경제지표에 0.5를 둔 것은 한류지수가 플랫폼 지표의 단기 변동에 휩쓸리지 않도록 실물 경제를 닻으로 삼기 위함이다. 플랫폼 레이어(0.3)는 그 닻 위에서 분기·월간 모멘텀을 포착하고, 정성 레이어(0.2)는 선호와 위험이라는 질적 평가를 더한다. 가중치 0.5/0.3/0.2는 동일가중치·전문가 가중치·통계 기반 가중치라는 앞 절의 세 후보 가운데 정책 해석 가능성을 우선한 기본 설정이며, 민감도 분석을 통해 보정되어야 할 잠정값이다.</w:t>
      </w:r>
    </w:p>
    <w:p>
      <w:r>
        <w:t>한 가지 명시가 필요하다. 앞 절의 산식 KWIᶜ,ᵍ = w₁A + … − w₇R는 일곱 기능 차원을 가로질러 더하는 ‘차원 축’의 집계였고, DSI = 0.5L1 + 0.3L2 + 0.2L3는 세 자료 레이어를 가로질러 더하는 ‘자료 축’의 집계다. 두 산식은 경쟁하지 않는다. 같은 대상(특정 국가에서 특정 도메인의 한류 강도)을 서로 다른 축에서 측정할 뿐이며, 기능 차원의 가중치는 이제 각 레이어를 구성하는 지표를 어떻게 고르고 합치는가 속에 내재화된다.</w:t>
      </w:r>
    </w:p>
    <w:p>
      <w:r>
        <w:t>여덟 도메인의 DSI를 국가별 가중평균하면 종합 한류지수 KWCI가 산출된다. 그러므로 지수 체계는 세 층의 위계를 갖는다. 개념 단계의 한류지수(KWI)는 운영 단계에서 도메인 서브 인덱스(DSI)로 구체화되고, 여덟 DSI의 가중합이 종합지수(KWCI)를 이룬다. 이 위계가 이론과 구현을 잇는 경첩이다.</w:t>
      </w:r>
    </w:p>
    <w:p>
      <w:pPr>
        <w:pStyle w:val="Heading1"/>
        <w:spacing w:after="160" w:before="400"/>
      </w:pPr>
      <w:r>
        <w:rPr>
          <w:rFonts w:ascii="Arial" w:cs="Arial" w:eastAsia="Arial" w:hAnsi="Arial"/>
          <w:b/>
          <w:bCs/>
          <w:color w:val="0C4E54"/>
          <w:sz w:val="36"/>
          <w:szCs w:val="36"/>
        </w:rPr>
        <w:t xml:space="preserve">Ⅳ. 연구방법: 한류지수의 산출 절차</w:t>
      </w:r>
    </w:p>
    <w:p>
      <w:pPr>
        <w:pStyle w:val="Heading2"/>
        <w:spacing w:after="120" w:before="320"/>
      </w:pPr>
      <w:r>
        <w:rPr>
          <w:rFonts w:ascii="Arial" w:cs="Arial" w:eastAsia="Arial" w:hAnsi="Arial"/>
          <w:b/>
          <w:bCs/>
          <w:color w:val="1B474D"/>
          <w:sz w:val="28"/>
          <w:szCs w:val="28"/>
        </w:rPr>
        <w:t xml:space="preserve">1. 자료 구성</w:t>
      </w:r>
    </w:p>
    <w:p>
      <w:pPr>
        <w:spacing w:after="80" w:before="80" w:line="360"/>
        <w:ind/>
        <w:jc w:val="both"/>
      </w:pPr>
      <w:r>
        <w:rPr>
          <w:rFonts w:ascii="Arial" w:cs="Arial" w:eastAsia="Arial" w:hAnsi="Arial"/>
          <w:b w:val="false"/>
          <w:bCs w:val="false"/>
          <w:i w:val="false"/>
          <w:iCs w:val="false"/>
          <w:color w:val="28251D"/>
          <w:sz w:val="22"/>
          <w:szCs w:val="22"/>
        </w:rPr>
        <w:t xml:space="preserve">한류지수는 단일 자료원만으로 산출하기 어렵다. 설문자료는 국가별 인식과 태도를 파악하는 데 유리하지만 실시간성이 약하다. 플랫폼 데이터는 확산속도와 팬덤 활동을 포착하는 데 유리하지만 대표성과 비교가능성 문제가 있다. 산업통계와 관광통계는 경제적 전환을 보여주지만, 한류의 순효과를 분리하기 어렵다. 따라서 본 연구는 세 종류의 자료를 결합하는 방식을 제안한다.</w:t>
      </w:r>
    </w:p>
    <w:p>
      <w:pPr>
        <w:pStyle w:val="ListParagraph"/>
        <w:numPr>
          <w:ilvl w:val="0"/>
          <w:numId w:val="2"/>
        </w:numPr>
        <w:spacing w:after="40" w:before="40" w:line="340"/>
      </w:pPr>
      <w:r>
        <w:rPr>
          <w:rFonts w:ascii="Arial" w:cs="Arial" w:eastAsia="Arial" w:hAnsi="Arial"/>
          <w:color w:val="28251D"/>
          <w:sz w:val="22"/>
          <w:szCs w:val="22"/>
        </w:rPr>
        <w:t xml:space="preserve">설문자료: 해외한류실태조사 등 정기 설문조사 — 인지도, 소비도, 선호도, 전환도, 위험도의 기초 자료</w:t>
      </w:r>
    </w:p>
    <w:p>
      <w:pPr>
        <w:pStyle w:val="ListParagraph"/>
        <w:numPr>
          <w:ilvl w:val="0"/>
          <w:numId w:val="2"/>
        </w:numPr>
        <w:spacing w:after="40" w:before="40" w:line="340"/>
      </w:pPr>
      <w:r>
        <w:rPr>
          <w:rFonts w:ascii="Arial" w:cs="Arial" w:eastAsia="Arial" w:hAnsi="Arial"/>
          <w:color w:val="28251D"/>
          <w:sz w:val="22"/>
          <w:szCs w:val="22"/>
        </w:rPr>
        <w:t xml:space="preserve">플랫폼 빅데이터: 구글 트렌드, 유튜브, 넷플릭스 TOP10, 스포티파이, 빌보드, 틱톡, 인스타그램, X, 위키피디아 페이지뷰 — 참여도·확산도 보완</w:t>
      </w:r>
    </w:p>
    <w:p>
      <w:pPr>
        <w:pStyle w:val="ListParagraph"/>
        <w:numPr>
          <w:ilvl w:val="0"/>
          <w:numId w:val="2"/>
        </w:numPr>
        <w:spacing w:after="40" w:before="40" w:line="340"/>
      </w:pPr>
      <w:r>
        <w:rPr>
          <w:rFonts w:ascii="Arial" w:cs="Arial" w:eastAsia="Arial" w:hAnsi="Arial"/>
          <w:color w:val="28251D"/>
          <w:sz w:val="22"/>
          <w:szCs w:val="22"/>
        </w:rPr>
        <w:t xml:space="preserve">외부 성과자료: 한국 화장품 수출, 식품 수출, 콘텐츠 수출, 방한 관광객 수, 한국어 학습자 수, TOPIK 응시자 수 — 외적 타당도 검증</w:t>
      </w:r>
    </w:p>
    <w:p>
      <w:pPr>
        <w:pStyle w:val="Heading2"/>
        <w:spacing w:after="120" w:before="320"/>
      </w:pPr>
      <w:r>
        <w:rPr>
          <w:rFonts w:ascii="Arial" w:cs="Arial" w:eastAsia="Arial" w:hAnsi="Arial"/>
          <w:b/>
          <w:bCs/>
          <w:color w:val="1B474D"/>
          <w:sz w:val="28"/>
          <w:szCs w:val="28"/>
        </w:rPr>
        <w:t xml:space="preserve">2. 국가별 플랫폼 보정 방안</w:t>
      </w:r>
    </w:p>
    <w:p>
      <w:pPr>
        <w:spacing w:after="80" w:before="80" w:line="360"/>
        <w:ind/>
        <w:jc w:val="both"/>
      </w:pPr>
      <w:r>
        <w:rPr>
          <w:rFonts w:ascii="Arial" w:cs="Arial" w:eastAsia="Arial" w:hAnsi="Arial"/>
          <w:b w:val="false"/>
          <w:bCs w:val="false"/>
          <w:i w:val="false"/>
          <w:iCs w:val="false"/>
          <w:color w:val="28251D"/>
          <w:sz w:val="22"/>
          <w:szCs w:val="22"/>
        </w:rPr>
        <w:t xml:space="preserve">플랫폼 데이터를 실제로 활용하기 위해서는 국가별 플랫폼 생태계 차이에 대한 보정이 필수적이다. Google이 차단되거나 점유율이 낮은 국가에서 Google Trends를 그대로 활용하면 한류를 체계적으로 과소평가하는 편의가 발생한다.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국가(군)</w:t>
            </w:r>
          </w:p>
        </w:tc>
        <w:tc>
          <w:tcPr>
            <w:tcW w:type="dxa" w:w="3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Google 대체·보완 플랫폼</w:t>
            </w:r>
          </w:p>
        </w:tc>
        <w:tc>
          <w:tcPr>
            <w:tcW w:type="dxa" w:w="4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중국</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Baidu Index, Weibo, Douyin</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Google·YouTube·넷플릭스 차단</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러시아</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Yandex Wordstat, VKontakte</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Google 의존도 낮음</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한국</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Naver Datalab</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국내 팬덤 데이터 활용 시</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중동권</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TikTok, Instagram, Snapchat</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YouTube 보완 필요</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동남아</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TikTok, Facebook</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YouTube와 TikTok 병행 강세</w:t>
            </w:r>
          </w:p>
        </w:tc>
      </w:tr>
    </w:tbl>
    <w:p/>
    <w:p>
      <w:pPr>
        <w:pStyle w:val="Heading2"/>
        <w:spacing w:after="120" w:before="320"/>
      </w:pPr>
      <w:r>
        <w:rPr>
          <w:rFonts w:ascii="Arial" w:cs="Arial" w:eastAsia="Arial" w:hAnsi="Arial"/>
          <w:b/>
          <w:bCs/>
          <w:color w:val="1B474D"/>
          <w:sz w:val="28"/>
          <w:szCs w:val="28"/>
        </w:rPr>
        <w:t xml:space="preserve">3. 정규화</w:t>
      </w:r>
    </w:p>
    <w:p>
      <w:pPr>
        <w:spacing w:after="80" w:before="80" w:line="360"/>
        <w:ind/>
        <w:jc w:val="both"/>
      </w:pPr>
      <w:r>
        <w:rPr>
          <w:rFonts w:ascii="Arial" w:cs="Arial" w:eastAsia="Arial" w:hAnsi="Arial"/>
          <w:b w:val="false"/>
          <w:bCs w:val="false"/>
          <w:i w:val="false"/>
          <w:iCs w:val="false"/>
          <w:color w:val="28251D"/>
          <w:sz w:val="22"/>
          <w:szCs w:val="22"/>
        </w:rPr>
        <w:t xml:space="preserve">지표마다 단위가 다르므로 지수 산출을 위해 0~100 범위로 변환해야 한다. 본 연구는 기본적으로 Min-Max 정규화를 제안한다.</w:t>
      </w:r>
    </w:p>
    <w:p>
      <w:pPr>
        <w:spacing w:after="120" w:before="120"/>
        <w:jc w:val="center"/>
      </w:pPr>
      <w:r>
        <w:rPr>
          <w:rFonts w:ascii="Arial" w:cs="Arial" w:eastAsia="Arial" w:hAnsi="Arial"/>
          <w:b/>
          <w:bCs/>
          <w:color w:val="0C4E54"/>
          <w:sz w:val="22"/>
          <w:szCs w:val="22"/>
        </w:rPr>
        <w:t xml:space="preserve">X'ᵢ = [(Xᵢ - Xₘᵢₙ) / (Xₘₐₓ - Xₘᵢₙ)] × 100</w:t>
      </w:r>
    </w:p>
    <w:p>
      <w:pPr>
        <w:spacing w:after="80" w:before="80" w:line="360"/>
        <w:ind/>
        <w:jc w:val="both"/>
      </w:pPr>
      <w:r>
        <w:rPr>
          <w:rFonts w:ascii="Arial" w:cs="Arial" w:eastAsia="Arial" w:hAnsi="Arial"/>
          <w:b w:val="false"/>
          <w:bCs w:val="false"/>
          <w:i w:val="false"/>
          <w:iCs w:val="false"/>
          <w:color w:val="28251D"/>
          <w:sz w:val="22"/>
          <w:szCs w:val="22"/>
        </w:rPr>
        <w:t xml:space="preserve">Min-Max 정규화는 직관적이고 정책지표로 제시하기 쉽다는 장점이 있다. 그러나 극단값에 민감하므로, 보조적으로 백분위 변환 또는 Z-score 변환을 적용하여 민감도 분석을 수행할 필요가 있다. 위험도 지표의 경우 방향을 반대로 처리하여, 위험도가 높을수록 종합 한류지수가 낮아지도록 설계한다.</w:t>
      </w:r>
    </w:p>
    <w:p>
      <w:pPr>
        <w:pStyle w:val="Heading2"/>
        <w:spacing w:after="120" w:before="320"/>
      </w:pPr>
      <w:r>
        <w:rPr>
          <w:rFonts w:ascii="Arial" w:cs="Arial" w:eastAsia="Arial" w:hAnsi="Arial"/>
          <w:b/>
          <w:bCs/>
          <w:color w:val="1B474D"/>
          <w:sz w:val="28"/>
          <w:szCs w:val="28"/>
        </w:rPr>
        <w:t xml:space="preserve">4. 가중치 설정</w:t>
      </w:r>
    </w:p>
    <w:p>
      <w:pPr>
        <w:spacing w:after="80" w:before="80" w:line="360"/>
        <w:ind/>
        <w:jc w:val="both"/>
      </w:pPr>
      <w:r>
        <w:rPr>
          <w:rFonts w:ascii="Arial" w:cs="Arial" w:eastAsia="Arial" w:hAnsi="Arial"/>
          <w:b w:val="false"/>
          <w:bCs w:val="false"/>
          <w:i w:val="false"/>
          <w:iCs w:val="false"/>
          <w:color w:val="28251D"/>
          <w:sz w:val="22"/>
          <w:szCs w:val="22"/>
        </w:rPr>
        <w:t xml:space="preserve">복합지표에서 가중치 설정은 핵심 쟁점이다. 본 연구는 세 가지 가중치 방식을 비교할 것을 제안한다.</w:t>
      </w:r>
    </w:p>
    <w:p>
      <w:pPr>
        <w:pStyle w:val="ListParagraph"/>
        <w:numPr>
          <w:ilvl w:val="0"/>
          <w:numId w:val="2"/>
        </w:numPr>
        <w:spacing w:after="40" w:before="40" w:line="340"/>
      </w:pPr>
      <w:r>
        <w:rPr>
          <w:rFonts w:ascii="Arial" w:cs="Arial" w:eastAsia="Arial" w:hAnsi="Arial"/>
          <w:color w:val="28251D"/>
          <w:sz w:val="22"/>
          <w:szCs w:val="22"/>
        </w:rPr>
        <w:t xml:space="preserve">동일가중치: 7개 하위 차원에 동일 비중. 단순하고 투명하나 차원 간 중요도 차이 미반영</w:t>
      </w:r>
    </w:p>
    <w:p>
      <w:pPr>
        <w:pStyle w:val="ListParagraph"/>
        <w:numPr>
          <w:ilvl w:val="0"/>
          <w:numId w:val="2"/>
        </w:numPr>
        <w:spacing w:after="40" w:before="40" w:line="340"/>
      </w:pPr>
      <w:r>
        <w:rPr>
          <w:rFonts w:ascii="Arial" w:cs="Arial" w:eastAsia="Arial" w:hAnsi="Arial"/>
          <w:color w:val="28251D"/>
          <w:sz w:val="22"/>
          <w:szCs w:val="22"/>
        </w:rPr>
        <w:t xml:space="preserve">전문가 가중치: AHP 또는 델파이 조사. 정책 타당성 높으나 전문가 편향 위험</w:t>
      </w:r>
    </w:p>
    <w:p>
      <w:pPr>
        <w:pStyle w:val="ListParagraph"/>
        <w:numPr>
          <w:ilvl w:val="0"/>
          <w:numId w:val="2"/>
        </w:numPr>
        <w:spacing w:after="40" w:before="40" w:line="340"/>
      </w:pPr>
      <w:r>
        <w:rPr>
          <w:rFonts w:ascii="Arial" w:cs="Arial" w:eastAsia="Arial" w:hAnsi="Arial"/>
          <w:color w:val="28251D"/>
          <w:sz w:val="22"/>
          <w:szCs w:val="22"/>
        </w:rPr>
        <w:t xml:space="preserve">통계 기반 가중치: PCA·요인분석. 경험적 근거 강하나 해석 복잡. IMF Global Soft Power Index(2024)는 개별 분산의 10% 이상을 설명하는 요인만 선택하고 분산 설명 비율을 가중치로 사용하는 방식을 채택</w:t>
      </w:r>
    </w:p>
    <w:p>
      <w:pPr>
        <w:spacing w:after="80" w:before="80" w:line="360"/>
        <w:ind/>
        <w:jc w:val="both"/>
      </w:pPr>
      <w:r>
        <w:rPr>
          <w:rFonts w:ascii="Arial" w:cs="Arial" w:eastAsia="Arial" w:hAnsi="Arial"/>
          <w:b w:val="false"/>
          <w:bCs w:val="false"/>
          <w:i w:val="false"/>
          <w:iCs w:val="false"/>
          <w:color w:val="28251D"/>
          <w:sz w:val="22"/>
          <w:szCs w:val="22"/>
        </w:rPr>
        <w:t xml:space="preserve">동일가중치를 기본 모형으로 사용하고, 전문가·통계 기반 가중치를 보조 분석으로 제시한다. 세 방식에서 산출한 국가별 순위의 Spearman 순위상관계수(ρ)가 0.9 이상이면 지수의 강건성이 높다고 판단한다.</w:t>
      </w:r>
    </w:p>
    <w:p>
      <w:pPr>
        <w:pStyle w:val="Heading2"/>
        <w:spacing w:after="120" w:before="320"/>
      </w:pPr>
      <w:r>
        <w:rPr>
          <w:rFonts w:ascii="Arial" w:cs="Arial" w:eastAsia="Arial" w:hAnsi="Arial"/>
          <w:b/>
          <w:bCs/>
          <w:color w:val="1B474D"/>
          <w:sz w:val="28"/>
          <w:szCs w:val="28"/>
        </w:rPr>
        <w:t xml:space="preserve">5. 집계 방식 및 산식</w:t>
      </w:r>
    </w:p>
    <w:p>
      <w:pPr>
        <w:spacing w:after="80" w:before="80" w:line="360"/>
        <w:ind/>
        <w:jc w:val="both"/>
      </w:pPr>
      <w:r>
        <w:rPr>
          <w:rFonts w:ascii="Arial" w:cs="Arial" w:eastAsia="Arial" w:hAnsi="Arial"/>
          <w:b w:val="false"/>
          <w:bCs w:val="false"/>
          <w:i w:val="false"/>
          <w:iCs w:val="false"/>
          <w:color w:val="28251D"/>
          <w:sz w:val="22"/>
          <w:szCs w:val="22"/>
        </w:rPr>
        <w:t xml:space="preserve">한류지수의 기본 산식(산술평균)은 다음과 같다.</w:t>
      </w:r>
    </w:p>
    <w:p>
      <w:pPr>
        <w:spacing w:after="120" w:before="120"/>
        <w:jc w:val="center"/>
      </w:pPr>
      <w:r>
        <w:rPr>
          <w:rFonts w:ascii="Arial" w:cs="Arial" w:eastAsia="Arial" w:hAnsi="Arial"/>
          <w:b/>
          <w:bCs/>
          <w:color w:val="0C4E54"/>
          <w:sz w:val="22"/>
          <w:szCs w:val="22"/>
        </w:rPr>
        <w:t xml:space="preserve">KWIc,g = w₁A + w₂C + w₃P + w₄E + w₅D + w₆T − w₇R</w:t>
      </w:r>
    </w:p>
    <w:p>
      <w:pPr>
        <w:spacing w:after="80" w:before="80" w:line="360"/>
        <w:ind/>
        <w:jc w:val="both"/>
      </w:pPr>
      <w:r>
        <w:rPr>
          <w:rFonts w:ascii="Arial" w:cs="Arial" w:eastAsia="Arial" w:hAnsi="Arial"/>
          <w:b w:val="false"/>
          <w:bCs w:val="false"/>
          <w:i w:val="false"/>
          <w:iCs w:val="false"/>
          <w:color w:val="28251D"/>
          <w:sz w:val="22"/>
          <w:szCs w:val="22"/>
        </w:rPr>
        <w:t xml:space="preserve">보조적으로 기하평균 방식도 검토한다. 기하평균은 특정 차원의 낮은 점수를 더 엄격하게 반영하여, 지속가능성 중심의 한류지수를 산출할 때 유용하다.</w:t>
      </w:r>
    </w:p>
    <w:p>
      <w:pPr>
        <w:spacing w:after="120" w:before="80"/>
        <w:jc w:val="center"/>
      </w:pPr>
      <w:r>
        <w:rPr>
          <w:rFonts w:ascii="Arial" w:cs="Arial" w:eastAsia="Arial" w:hAnsi="Arial"/>
          <w:b/>
          <w:bCs/>
          <w:color w:val="0C4E54"/>
          <w:sz w:val="22"/>
          <w:szCs w:val="22"/>
        </w:rPr>
        <w:t xml:space="preserve">KWI^geo = ∏ Xᵏ^wk  (k=1,...,n)</w:t>
      </w:r>
    </w:p>
    <w:p>
      <w:pPr>
        <w:pStyle w:val="Heading2"/>
        <w:spacing w:after="120" w:before="320"/>
      </w:pPr>
      <w:r>
        <w:t>6. 국가별·도메인별 매트릭스</w:t>
      </w:r>
    </w:p>
    <w:p>
      <w:pPr>
        <w:spacing w:after="80" w:before="80" w:line="360"/>
        <w:ind/>
        <w:jc w:val="both"/>
      </w:pPr>
      <w:r>
        <w:t>한류지수의 최종 산출물은 국가–도메인 매트릭스 형태로 제시된다. 아래는 여덟 도메인에 대한 예시적 구성이며, ●의 수는 지수 강도를 나타낸다(●●●●● = 최상위).</w:t>
      </w:r>
    </w:p>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917"/>
        <w:gridCol w:w="917"/>
        <w:gridCol w:w="917"/>
        <w:gridCol w:w="917"/>
        <w:gridCol w:w="917"/>
        <w:gridCol w:w="917"/>
        <w:gridCol w:w="917"/>
        <w:gridCol w:w="917"/>
        <w:gridCol w:w="917"/>
        <w:gridCol w:w="917"/>
      </w:tblGrid>
      <w:tr>
        <w:tc>
          <w:tcPr>
            <w:tcW w:type="dxa" w:w="917"/>
          </w:tcPr>
          <w:p>
            <w:r/>
            <w:r>
              <w:rPr>
                <w:b/>
                <w:sz w:val="18"/>
              </w:rPr>
              <w:t>국가</w:t>
            </w:r>
          </w:p>
        </w:tc>
        <w:tc>
          <w:tcPr>
            <w:tcW w:type="dxa" w:w="917"/>
          </w:tcPr>
          <w:p>
            <w:r/>
            <w:r>
              <w:rPr>
                <w:b/>
                <w:sz w:val="18"/>
              </w:rPr>
              <w:t>K-pop</w:t>
            </w:r>
          </w:p>
        </w:tc>
        <w:tc>
          <w:tcPr>
            <w:tcW w:type="dxa" w:w="917"/>
          </w:tcPr>
          <w:p>
            <w:r/>
            <w:r>
              <w:rPr>
                <w:b/>
                <w:sz w:val="18"/>
              </w:rPr>
              <w:t>K영상</w:t>
            </w:r>
          </w:p>
        </w:tc>
        <w:tc>
          <w:tcPr>
            <w:tcW w:type="dxa" w:w="917"/>
          </w:tcPr>
          <w:p>
            <w:r/>
            <w:r>
              <w:rPr>
                <w:b/>
                <w:sz w:val="18"/>
              </w:rPr>
              <w:t>게임</w:t>
            </w:r>
          </w:p>
        </w:tc>
        <w:tc>
          <w:tcPr>
            <w:tcW w:type="dxa" w:w="917"/>
          </w:tcPr>
          <w:p>
            <w:r/>
            <w:r>
              <w:rPr>
                <w:b/>
                <w:sz w:val="18"/>
              </w:rPr>
              <w:t>웹툰</w:t>
            </w:r>
          </w:p>
        </w:tc>
        <w:tc>
          <w:tcPr>
            <w:tcW w:type="dxa" w:w="917"/>
          </w:tcPr>
          <w:p>
            <w:r/>
            <w:r>
              <w:rPr>
                <w:b/>
                <w:sz w:val="18"/>
              </w:rPr>
              <w:t>푸드</w:t>
            </w:r>
          </w:p>
        </w:tc>
        <w:tc>
          <w:tcPr>
            <w:tcW w:type="dxa" w:w="917"/>
          </w:tcPr>
          <w:p>
            <w:r/>
            <w:r>
              <w:rPr>
                <w:b/>
                <w:sz w:val="18"/>
              </w:rPr>
              <w:t>패션</w:t>
            </w:r>
          </w:p>
        </w:tc>
        <w:tc>
          <w:tcPr>
            <w:tcW w:type="dxa" w:w="917"/>
          </w:tcPr>
          <w:p>
            <w:r/>
            <w:r>
              <w:rPr>
                <w:b/>
                <w:sz w:val="18"/>
              </w:rPr>
              <w:t>뷰티</w:t>
            </w:r>
          </w:p>
        </w:tc>
        <w:tc>
          <w:tcPr>
            <w:tcW w:type="dxa" w:w="917"/>
          </w:tcPr>
          <w:p>
            <w:r/>
            <w:r>
              <w:rPr>
                <w:b/>
                <w:sz w:val="18"/>
              </w:rPr>
              <w:t>관광</w:t>
            </w:r>
          </w:p>
        </w:tc>
        <w:tc>
          <w:tcPr>
            <w:tcW w:type="dxa" w:w="917"/>
          </w:tcPr>
          <w:p>
            <w:r/>
            <w:r>
              <w:rPr>
                <w:b/>
                <w:sz w:val="18"/>
              </w:rPr>
              <w:t>종합</w:t>
            </w:r>
          </w:p>
        </w:tc>
      </w:tr>
      <w:tr>
        <w:tc>
          <w:tcPr>
            <w:tcW w:type="dxa" w:w="917"/>
          </w:tcPr>
          <w:p>
            <w:r/>
            <w:r>
              <w:rPr>
                <w:sz w:val="18"/>
              </w:rPr>
              <w:t>일본</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중국</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미국</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프랑스</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인도네시아</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브라질</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r>
        <w:tc>
          <w:tcPr>
            <w:tcW w:type="dxa" w:w="917"/>
          </w:tcPr>
          <w:p>
            <w:r/>
            <w:r>
              <w:rPr>
                <w:sz w:val="18"/>
              </w:rPr>
              <w:t>인도</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c>
          <w:tcPr>
            <w:tcW w:type="dxa" w:w="917"/>
          </w:tcPr>
          <w:p>
            <w:r/>
            <w:r>
              <w:rPr>
                <w:sz w:val="18"/>
              </w:rPr>
              <w:t>●●●●</w:t>
            </w:r>
          </w:p>
        </w:tc>
      </w:tr>
    </w:tbl>
    <w:p/>
    <w:p>
      <w:pPr>
        <w:spacing w:after="80" w:before="80" w:line="360"/>
        <w:ind/>
        <w:jc w:val="both"/>
      </w:pPr>
      <w:r>
        <w:t>이 매트릭스는 단순한 순위표가 아니라 국가별 한류 수용구조를 진단하는 도구다. 예를 들어 어떤 국가는 K-pop 지수가 높고 뷰티 전환도가 낮을 수 있으며, 어떤 국가는 K영상 지수와 관광 전환도가 동시에 높을 수 있다.</w:t>
      </w:r>
    </w:p>
    <w:p>
      <w:pPr>
        <w:pStyle w:val="Heading2"/>
        <w:spacing w:after="120" w:before="320"/>
      </w:pPr>
      <w:r>
        <w:rPr>
          <w:rFonts w:ascii="Arial" w:cs="Arial" w:eastAsia="Arial" w:hAnsi="Arial"/>
          <w:b/>
          <w:bCs/>
          <w:color w:val="1B474D"/>
          <w:sz w:val="28"/>
          <w:szCs w:val="28"/>
        </w:rPr>
        <w:t xml:space="preserve">7. 국가 유형화</w:t>
      </w:r>
    </w:p>
    <w:p>
      <w:pPr>
        <w:spacing w:after="80" w:before="80" w:line="360"/>
        <w:ind/>
        <w:jc w:val="both"/>
      </w:pPr>
      <w:r>
        <w:rPr>
          <w:rFonts w:ascii="Arial" w:cs="Arial" w:eastAsia="Arial" w:hAnsi="Arial"/>
          <w:b w:val="false"/>
          <w:bCs w:val="false"/>
          <w:i w:val="false"/>
          <w:iCs w:val="false"/>
          <w:color w:val="28251D"/>
          <w:sz w:val="22"/>
          <w:szCs w:val="22"/>
        </w:rPr>
        <w:t xml:space="preserve">한류지수 산출 이후 군집분석을 통해 국가별 한류 유형을 분류할 수 있다. 아래 표는 예상되는 6가지 유형과 정책 방향을 정리한 것이다.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유형</w:t>
            </w:r>
          </w:p>
        </w:tc>
        <w:tc>
          <w:tcPr>
            <w:tcW w:type="dxa" w:w="32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특성</w:t>
            </w:r>
          </w:p>
        </w:tc>
        <w:tc>
          <w:tcPr>
            <w:tcW w:type="dxa" w:w="40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주요 정책 방향</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① 팬덤 고관여형</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K-pop 참여도·확산도 높음, SNS·플랫폼 지표 강세</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공연시장, 팬 커뮤니티, 플랫폼 이벤트, 팬덤 기반 문화교류</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② 콘텐츠 소비형</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드라마·영화·예능·OTT 소비 높음</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OTT 유통, 자막·더빙, 현지 플랫폼 제휴, 영상 IP 확장</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③ 생활문화 전환형</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음식·뷰티·패션·관광 전환도 높음</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전자상거래, 유통망, 관광상품, 현지 브랜드 협업</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④ 성장잠재형</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현재 인지·소비 낮으나 검색·확산 상승 중</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초기 시장 개척, 인지도 확대 전략</w:t>
            </w:r>
          </w:p>
        </w:tc>
      </w:tr>
      <w:tr>
        <w:tc>
          <w:tcPr>
            <w:tcW w:type="dxa" w:w="2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⑤ 갈등·위험형</w:t>
            </w:r>
          </w:p>
        </w:tc>
        <w:tc>
          <w:tcPr>
            <w:tcW w:type="dxa" w:w="32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소비 높으나 반감도·정치갈등·부정감성도 높음</w:t>
            </w:r>
          </w:p>
        </w:tc>
        <w:tc>
          <w:tcPr>
            <w:tcW w:type="dxa" w:w="40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문화외교, 상호교류, 현지 감수성 반영, 부정여론 관리</w:t>
            </w:r>
          </w:p>
        </w:tc>
      </w:tr>
      <w:tr>
        <w:tc>
          <w:tcPr>
            <w:tcW w:type="dxa" w:w="2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20"/>
                <w:szCs w:val="20"/>
              </w:rPr>
              <w:t xml:space="preserve">⑥ 저활성형</w:t>
            </w:r>
          </w:p>
        </w:tc>
        <w:tc>
          <w:tcPr>
            <w:tcW w:type="dxa" w:w="32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전반적 지표 낮음</w:t>
            </w:r>
          </w:p>
        </w:tc>
        <w:tc>
          <w:tcPr>
            <w:tcW w:type="dxa" w:w="40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20"/>
                <w:szCs w:val="20"/>
              </w:rPr>
              <w:t xml:space="preserve">장기적 기반 구축 또는 제한적·선택적 투자</w:t>
            </w:r>
          </w:p>
        </w:tc>
      </w:tr>
    </w:tbl>
    <w:p/>
    <w:p>
      <w:pPr>
        <w:pStyle w:val="Heading2"/>
        <w:spacing w:after="120" w:before="320"/>
      </w:pPr>
      <w:r>
        <w:rPr>
          <w:rFonts w:ascii="Arial" w:cs="Arial" w:eastAsia="Arial" w:hAnsi="Arial"/>
          <w:b/>
          <w:bCs/>
          <w:color w:val="1B474D"/>
          <w:sz w:val="28"/>
          <w:szCs w:val="28"/>
        </w:rPr>
        <w:t xml:space="preserve">8. 외적 타당도 검증</w:t>
      </w:r>
    </w:p>
    <w:p>
      <w:pPr>
        <w:spacing w:after="80" w:before="80" w:line="360"/>
        <w:ind/>
        <w:jc w:val="both"/>
      </w:pPr>
      <w:r>
        <w:rPr>
          <w:rFonts w:ascii="Arial" w:cs="Arial" w:eastAsia="Arial" w:hAnsi="Arial"/>
          <w:b w:val="false"/>
          <w:bCs w:val="false"/>
          <w:i w:val="false"/>
          <w:iCs w:val="false"/>
          <w:color w:val="28251D"/>
          <w:sz w:val="22"/>
          <w:szCs w:val="22"/>
        </w:rPr>
        <w:t xml:space="preserve">한류지수가 학술적·정책적 도구로 인정받기 위해서는 외적 타당도 검증이 필요하다. 기본 분석모형은 다음과 같다.</w:t>
      </w:r>
    </w:p>
    <w:p>
      <w:pPr>
        <w:spacing w:after="120" w:before="120"/>
        <w:jc w:val="center"/>
      </w:pPr>
      <w:r>
        <w:rPr>
          <w:rFonts w:ascii="Arial" w:cs="Arial" w:eastAsia="Arial" w:hAnsi="Arial"/>
          <w:b/>
          <w:bCs/>
          <w:color w:val="0C4E54"/>
          <w:sz w:val="22"/>
          <w:szCs w:val="22"/>
        </w:rPr>
        <w:t xml:space="preserve">Outcomec,t = α + β·KWIc,t−1 + γ·Xc,t + εc,t</w:t>
      </w:r>
    </w:p>
    <w:p>
      <w:pPr>
        <w:spacing w:after="80" w:before="80" w:line="360"/>
        <w:ind/>
        <w:jc w:val="both"/>
      </w:pPr>
      <w:r>
        <w:rPr>
          <w:rFonts w:ascii="Arial" w:cs="Arial" w:eastAsia="Arial" w:hAnsi="Arial"/>
          <w:b w:val="false"/>
          <w:bCs w:val="false"/>
          <w:i w:val="false"/>
          <w:iCs w:val="false"/>
          <w:color w:val="28251D"/>
          <w:sz w:val="22"/>
          <w:szCs w:val="22"/>
        </w:rPr>
        <w:t xml:space="preserve">여기서 Outcome은 화장품 수출, 방한 관광객 수, 한국어 학습자 수, 국가이미지 점수 등이다. 통제변수(X)에는 GDP, 인터넷 보급률, 한국과의 교역 규모, 지리적 거리, 교민 규모, 정치관계, 언어권 등을 포함한다. 역인과(reverse causality)를 통제하기 위해 Granger 인과 검정 또는 도구변수 설계 방안을 후속 실증 연구에서 적용해야 한다.</w:t>
      </w:r>
    </w:p>
    <w:p>
      <w:r>
        <w:br w:type="page"/>
      </w:r>
    </w:p>
    <w:p>
      <w:pPr>
        <w:pStyle w:val="Heading2"/>
      </w:pPr>
      <w:r>
        <w:t>9. 운영 산식: DSI에서 KWCI로, 그리고 지수화</w:t>
      </w:r>
    </w:p>
    <w:p>
      <w:r>
        <w:t>앞 장에서 제안한 집계 원리는 KWCI에서 다음의 운영 산식으로 구현된다. 도메인 서브 인덱스를 세 레이어의 가중합으로 산출하고(8-1), 여덟 도메인을 국가별 가중평균하여 종합지수를 얻으며(8-2), 기준연도를 2018로 두어 해석 가능한 지수로 변환한다(8-3).</w:t>
      </w:r>
    </w:p>
    <w:p>
      <w:pPr>
        <w:jc w:val="center"/>
      </w:pPr>
      <w:r>
        <w:rPr>
          <w:i/>
        </w:rPr>
        <w:t>(8-1)  DSIᵢ = 0.5·L1ᵢ + 0.3·L2ᵢ + 0.2·L3ᵢ</w:t>
      </w:r>
    </w:p>
    <w:p>
      <w:pPr>
        <w:jc w:val="center"/>
      </w:pPr>
      <w:r>
        <w:rPr>
          <w:i/>
        </w:rPr>
        <w:t>(8-2)  KWCI = Σᵢ (wᵢ · DSIᵢ)   (i = 8개 도메인)</w:t>
      </w:r>
    </w:p>
    <w:p>
      <w:pPr>
        <w:jc w:val="center"/>
      </w:pPr>
      <w:r>
        <w:rPr>
          <w:i/>
        </w:rPr>
        <w:t>(8-3)  KWCI_index = (KWCI / KWCI₂₀₁₈) × 100</w:t>
      </w:r>
    </w:p>
    <w:p>
      <w:r>
        <w:t>기준연도 2018을 100으로 두는 것은 한류지수를 절대 점수가 아니라 변동의 지표로 읽기 위함이다. 어떤 국가의 KWCI가 132라면, 그것은 ‘132점짜리 한류’가 아니라 2018년 대비 32% 강해진 한류를 뜻한다. 이 지수화는 국가 간 절대 비교의 함정—플랫폼 생태계와 인구 규모가 다른 국가를 같은 자에 올려놓는 오류—을 일부 완화하고, 시계열 진단을 가능하게 한다. 원시 지표는 2018Q1부터 분기 단위로 0~100 정규화된다.</w:t>
      </w:r>
    </w:p>
    <w:p>
      <w:pPr>
        <w:pStyle w:val="Heading2"/>
      </w:pPr>
      <w:r>
        <w:t>10. L2 국가별 실시간 모듈: 플랫폼 보정의 구현</w:t>
      </w:r>
    </w:p>
    <w:p>
      <w:r>
        <w:t>앞 장이 요청한 ‘국가별 플랫폼 보정’은 KWCI에서 L2 레이어의 실시간 모듈로 구체화된다. 이 모듈은 기존 3레이어 프레임을 대체하지 않고 그 안에 들어앉는다. 연 1회 갱신되는 KOFICE 해외한류실태조사를 국가별 기준선으로 삼고, 그 위에서 YouTube와 Reddit이 소비와 소셜 반응의 단기 변동을 보정한다. 국가·장르별 소셜 지수(GSI)와 그 국가 집계는 다음과 같다.</w:t>
      </w:r>
    </w:p>
    <w:p>
      <w:pPr>
        <w:jc w:val="center"/>
      </w:pPr>
      <w:r>
        <w:rPr>
          <w:i/>
        </w:rPr>
        <w:t>GSI(c,g) = 0.40·S_norm + 0.35·Y_norm + 0.25·R_norm</w:t>
      </w:r>
    </w:p>
    <w:p>
      <w:pPr>
        <w:jc w:val="center"/>
      </w:pPr>
      <w:r>
        <w:rPr>
          <w:i/>
        </w:rPr>
        <w:t>KWCI_L2(c) = Σ_g (w_g · GSI(c,g)) + 0.05·K_norm(c)</w:t>
      </w:r>
    </w:p>
    <w:p>
      <w:r>
        <w:t>여기서 S는 KOFICE 설문 기준값, Y는 YouTube Data API의 국가별 트렌딩 K-콘텐츠 조회수, R은 Reddit PRAW로 수집한 장르별 서브레딧 주간 언급량이다. 설문에 0.40을 두어 대표성을 확보하고, YouTube(0.35)와 Reddit(0.25)로 실시간성을 보강한다. 마지막 항 K는 한국국제교류재단(KF) 한류현황 API가 제공하는 조직·팬클럽 인프라 보정값으로, 팬덤의 제도적 두께를 0.05의 비중으로 더한다. 이는 앞 절에서 지적한 ‘팬덤 데이터의 조직적 증폭’ 문제를 부분적으로 통제하는 장치이기도 하다. 장르 가중치는 K-pop 35%, K-드라마 30%, K-무비 10%, K-뷰티 12%, K-푸드 8%, K-컬처 5%로 설정되며, 운영 주기는 일별(YouTube·Reddit 수집과 L2 보정값 산출), 주별(KF API 갱신), 연간(KOFICE 설문 기반 국가·장르 기준선 재설정)으로 분리된다.</w:t>
      </w:r>
    </w:p>
    <w:p>
      <w:pPr>
        <w:pStyle w:val="Heading2"/>
      </w:pPr>
      <w:r>
        <w:t>11. 분석 패널: 대상 국가와 자료원</w:t>
      </w:r>
    </w:p>
    <w:p>
      <w:r>
        <w:t>앞 절이 28개국 이상의 비교를 지향한다고 밝혔다면, KWCI 프로토타입은 우선 열다섯 개국의 분기 패널로 출발한다. 미국, 중국, 일본, 베트남, 태국, 인도네시아, 인도, 말레이시아, 프랑스, 영국, 브라질, 아르헨티나, UAE, 터키, 남아프리카공화국이 그것이다. 이 선정은 동아시아·동남아시아·남아시아·유럽·라틴아메리카·중동·아프리카를 모두 포함함으로써, 문화적 근접성으로 설명되는 권역과 그렇지 않은 권역을 함께 담으려는 설계다. 중국·러시아권의 플랫폼 차단 문제는 앞 절의 대체 플랫폼 표(Baidu·Weibo·Yandex 등)에 따라 보정된다.</w:t>
      </w:r>
    </w:p>
    <w:p>
      <w:r>
        <w:t>자료원은 세 레이어에 따라 다음과 같이 배치된다.</w:t>
      </w:r>
    </w:p>
    <w:tbl>
      <w:tblPr>
        <w:tblW w:type="auto" w:w="0"/>
        <w:tblLook w:firstColumn="1" w:firstRow="1" w:lastColumn="0" w:lastRow="0" w:noHBand="0" w:noVBand="1" w:val="04A0"/>
        <w:tblBorders>
          <w:top w:val="single" w:color="auto" w:sz="4"/>
          <w:left w:val="single" w:color="auto" w:sz="4"/>
          <w:bottom w:val="single" w:color="auto" w:sz="4"/>
          <w:right w:val="single" w:color="auto" w:sz="4"/>
          <w:insideH w:val="single" w:color="auto" w:sz="4"/>
          <w:insideV w:val="single" w:color="auto" w:sz="4"/>
        </w:tblBorders>
      </w:tblPr>
      <w:tblGrid>
        <w:gridCol w:w="3055"/>
        <w:gridCol w:w="3055"/>
        <w:gridCol w:w="3055"/>
      </w:tblGrid>
      <w:tr>
        <w:tc>
          <w:tcPr>
            <w:tcW w:type="dxa" w:w="3055"/>
          </w:tcPr>
          <w:p>
            <w:r/>
            <w:r>
              <w:rPr>
                <w:b/>
                <w:sz w:val="18"/>
              </w:rPr>
              <w:t>레이어</w:t>
            </w:r>
          </w:p>
        </w:tc>
        <w:tc>
          <w:tcPr>
            <w:tcW w:type="dxa" w:w="3055"/>
          </w:tcPr>
          <w:p>
            <w:r/>
            <w:r>
              <w:rPr>
                <w:b/>
                <w:sz w:val="18"/>
              </w:rPr>
              <w:t>자료원</w:t>
            </w:r>
          </w:p>
        </w:tc>
        <w:tc>
          <w:tcPr>
            <w:tcW w:type="dxa" w:w="3055"/>
          </w:tcPr>
          <w:p>
            <w:r/>
            <w:r>
              <w:rPr>
                <w:b/>
                <w:sz w:val="18"/>
              </w:rPr>
              <w:t>역할</w:t>
            </w:r>
          </w:p>
        </w:tc>
      </w:tr>
      <w:tr>
        <w:tc>
          <w:tcPr>
            <w:tcW w:type="dxa" w:w="3055"/>
          </w:tcPr>
          <w:p>
            <w:r/>
            <w:r>
              <w:rPr>
                <w:sz w:val="18"/>
              </w:rPr>
              <w:t>L1 경제</w:t>
            </w:r>
          </w:p>
        </w:tc>
        <w:tc>
          <w:tcPr>
            <w:tcW w:type="dxa" w:w="3055"/>
          </w:tcPr>
          <w:p>
            <w:r/>
            <w:r>
              <w:rPr>
                <w:sz w:val="18"/>
              </w:rPr>
              <w:t>화장품·식품·콘텐츠 수출, 방한 관광객, TOPIK 응시자 등 산업·관광·언어 통계</w:t>
            </w:r>
          </w:p>
        </w:tc>
        <w:tc>
          <w:tcPr>
            <w:tcW w:type="dxa" w:w="3055"/>
          </w:tcPr>
          <w:p>
            <w:r/>
            <w:r>
              <w:rPr>
                <w:sz w:val="18"/>
              </w:rPr>
              <w:t>전환도의 실물 착지, DSI의 경제 백본</w:t>
            </w:r>
          </w:p>
        </w:tc>
      </w:tr>
      <w:tr>
        <w:tc>
          <w:tcPr>
            <w:tcW w:type="dxa" w:w="3055"/>
          </w:tcPr>
          <w:p>
            <w:r/>
            <w:r>
              <w:rPr>
                <w:sz w:val="18"/>
              </w:rPr>
              <w:t>L2 플랫폼</w:t>
            </w:r>
          </w:p>
        </w:tc>
        <w:tc>
          <w:tcPr>
            <w:tcW w:type="dxa" w:w="3055"/>
          </w:tcPr>
          <w:p>
            <w:r/>
            <w:r>
              <w:rPr>
                <w:sz w:val="18"/>
              </w:rPr>
              <w:t>KOFICE 해외한류실태조사(기준선), YouTube Data API, Reddit PRAW, KF 한류현황 API</w:t>
            </w:r>
          </w:p>
        </w:tc>
        <w:tc>
          <w:tcPr>
            <w:tcW w:type="dxa" w:w="3055"/>
          </w:tcPr>
          <w:p>
            <w:r/>
            <w:r>
              <w:rPr>
                <w:sz w:val="18"/>
              </w:rPr>
              <w:t>인지·소비·참여·확산의 실시간 보정</w:t>
            </w:r>
          </w:p>
        </w:tc>
      </w:tr>
      <w:tr>
        <w:tc>
          <w:tcPr>
            <w:tcW w:type="dxa" w:w="3055"/>
          </w:tcPr>
          <w:p>
            <w:r/>
            <w:r>
              <w:rPr>
                <w:sz w:val="18"/>
              </w:rPr>
              <w:t>L3 정성</w:t>
            </w:r>
          </w:p>
        </w:tc>
        <w:tc>
          <w:tcPr>
            <w:tcW w:type="dxa" w:w="3055"/>
          </w:tcPr>
          <w:p>
            <w:r/>
            <w:r>
              <w:rPr>
                <w:sz w:val="18"/>
              </w:rPr>
              <w:t>언론·비평·전시·수상 아카이브, 연구팀 큐레이션 기록</w:t>
            </w:r>
          </w:p>
        </w:tc>
        <w:tc>
          <w:tcPr>
            <w:tcW w:type="dxa" w:w="3055"/>
          </w:tcPr>
          <w:p>
            <w:r/>
            <w:r>
              <w:rPr>
                <w:sz w:val="18"/>
              </w:rPr>
              <w:t>선호도와 위험도의 질적 평가</w:t>
            </w:r>
          </w:p>
        </w:tc>
      </w:tr>
    </w:tbl>
    <w:p>
      <w:r>
        <w:t>최종 산출물은 국가 × 분기 × 도메인의 3차원 패널과 그로부터 집계된 KWCI 보고서다. 이 패널 위에서 앞 절의 외적 타당도 검증식—KWCI를 한 분기 시차로 두고 수출·관광·언어학습·국가이미지를 예측하는 회귀—이 비로소 추정 가능해진다. 이론이 설계도였다면, 이 패널은 그 설계도가 처음으로 데이터를 통과한 자리다.</w:t>
      </w:r>
    </w:p>
    <w:p>
      <w:pPr>
        <w:pStyle w:val="Heading1"/>
        <w:spacing w:after="160" w:before="400"/>
      </w:pPr>
      <w:r>
        <w:rPr>
          <w:rFonts w:ascii="Arial" w:cs="Arial" w:eastAsia="Arial" w:hAnsi="Arial"/>
          <w:b/>
          <w:bCs/>
          <w:color w:val="0C4E54"/>
          <w:sz w:val="36"/>
          <w:szCs w:val="36"/>
        </w:rPr>
        <w:t xml:space="preserve">Ⅴ. 논의: 학술적·정책적 함의</w:t>
      </w:r>
    </w:p>
    <w:p>
      <w:pPr>
        <w:pStyle w:val="Heading2"/>
        <w:spacing w:after="120" w:before="320"/>
      </w:pPr>
      <w:r>
        <w:rPr>
          <w:rFonts w:ascii="Arial" w:cs="Arial" w:eastAsia="Arial" w:hAnsi="Arial"/>
          <w:b/>
          <w:bCs/>
          <w:color w:val="1B474D"/>
          <w:sz w:val="28"/>
          <w:szCs w:val="28"/>
        </w:rPr>
        <w:t xml:space="preserve">1. 한류 연구의 방법론적 전환</w:t>
      </w:r>
    </w:p>
    <w:p>
      <w:pPr>
        <w:spacing w:after="80" w:before="80" w:line="360"/>
        <w:ind/>
        <w:jc w:val="both"/>
      </w:pPr>
      <w:r>
        <w:rPr>
          <w:rFonts w:ascii="Arial" w:cs="Arial" w:eastAsia="Arial" w:hAnsi="Arial"/>
          <w:b w:val="false"/>
          <w:bCs w:val="false"/>
          <w:i w:val="false"/>
          <w:iCs w:val="false"/>
          <w:color w:val="28251D"/>
          <w:sz w:val="22"/>
          <w:szCs w:val="22"/>
        </w:rPr>
        <w:t xml:space="preserve">본 연구가 제안하는 한류지수는 한류 연구를 사례 중심 설명에서 측정 중심 분석으로 확장한다. 한류를 인지도, 소비도, 선호도, 참여도, 확산도, 전환도, 위험도로 분해하면 "한류가 강하다"는 막연한 판단을 구체적 진단으로 바꿀 수 있다.</w:t>
      </w:r>
    </w:p>
    <w:p>
      <w:pPr>
        <w:pStyle w:val="Heading2"/>
        <w:spacing w:after="120" w:before="320"/>
      </w:pPr>
      <w:r>
        <w:rPr>
          <w:rFonts w:ascii="Arial" w:cs="Arial" w:eastAsia="Arial" w:hAnsi="Arial"/>
          <w:b/>
          <w:bCs/>
          <w:color w:val="1B474D"/>
          <w:sz w:val="28"/>
          <w:szCs w:val="28"/>
        </w:rPr>
        <w:t xml:space="preserve">2. 기존 복합지수와의 비교</w:t>
      </w:r>
    </w:p>
    <w:p>
      <w:pPr>
        <w:spacing w:after="80" w:before="80" w:line="360"/>
        <w:ind/>
        <w:jc w:val="both"/>
      </w:pPr>
      <w:r>
        <w:rPr>
          <w:rFonts w:ascii="Arial" w:cs="Arial" w:eastAsia="Arial" w:hAnsi="Arial"/>
          <w:b w:val="false"/>
          <w:bCs w:val="false"/>
          <w:i w:val="false"/>
          <w:iCs w:val="false"/>
          <w:color w:val="28251D"/>
          <w:sz w:val="22"/>
          <w:szCs w:val="22"/>
        </w:rPr>
        <w:t xml:space="preserve">아래 표는 주요 국제 지수들과 KWI의 설계 차이를 비교한 것이다. KWI의 가장 독창적인 기여는 위험도(R)를 감산항으로 설계하고, 장르별 분해 구조를 포함한다는 점이다.</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700"/>
      </w:tblGrid>
      <w:tr>
        <w:tc>
          <w:tcPr>
            <w:tcW w:type="dxa" w:w="24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지수</w:t>
            </w:r>
          </w:p>
        </w:tc>
        <w:tc>
          <w:tcPr>
            <w:tcW w:type="dxa" w:w="31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구성 방식</w:t>
            </w:r>
          </w:p>
        </w:tc>
        <w:tc>
          <w:tcPr>
            <w:tcW w:type="dxa" w:w="3700"/>
            <w:tcBorders>
              <w:top w:val="single" w:color="D4D1CA" w:sz="4"/>
              <w:left w:val="single" w:color="D4D1CA" w:sz="4"/>
              <w:bottom w:val="single" w:color="D4D1CA" w:sz="4"/>
              <w:right w:val="single" w:color="D4D1CA" w:sz="4"/>
            </w:tcBorders>
            <w:shd w:fill="1B4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KWI와의 차이</w:t>
            </w:r>
          </w:p>
        </w:tc>
      </w:tr>
      <w:tr>
        <w:tc>
          <w:tcPr>
            <w:tcW w:type="dxa" w:w="2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Soft Power 30 (Portland)</w:t>
            </w:r>
          </w:p>
        </w:tc>
        <w:tc>
          <w:tcPr>
            <w:tcW w:type="dxa" w:w="3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객관지표 65% + 여론조사 35%, 6개 하위범주</w:t>
            </w:r>
          </w:p>
        </w:tc>
        <w:tc>
          <w:tcPr>
            <w:tcW w:type="dxa" w:w="3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문화 외 정부·외교·교육 포함; 장르별 분해 없음</w:t>
            </w:r>
          </w:p>
        </w:tc>
      </w:tr>
      <w:t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IMF Global Soft Power Index (2024)</w:t>
            </w:r>
          </w:p>
        </w:tc>
        <w:tc>
          <w:tcPr>
            <w:tcW w:type="dxa" w:w="3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PCA 기반, 6개 차원 29개 지표, z-score 정규화</w:t>
            </w:r>
          </w:p>
        </w:tc>
        <w:tc>
          <w:tcPr>
            <w:tcW w:type="dxa" w:w="3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시계열 포함 강점; 단일 문화현상 측정 불가</w:t>
            </w:r>
          </w:p>
        </w:tc>
      </w:tr>
      <w:tr>
        <w:tc>
          <w:tcPr>
            <w:tcW w:type="dxa" w:w="2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Lowy Institute Cultural Influence</w:t>
            </w:r>
          </w:p>
        </w:tc>
        <w:tc>
          <w:tcPr>
            <w:tcW w:type="dxa" w:w="3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3개 하위지수·15개 지표 가중 평균</w:t>
            </w:r>
          </w:p>
        </w:tc>
        <w:tc>
          <w:tcPr>
            <w:tcW w:type="dxa" w:w="3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아시아·태평양 초점; 한류 특화 아님</w:t>
            </w:r>
          </w:p>
        </w:tc>
      </w:tr>
      <w:tr>
        <w:tc>
          <w:tcPr>
            <w:tcW w:type="dxa" w:w="24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KOFICE 한류지수</w:t>
            </w:r>
          </w:p>
        </w:tc>
        <w:tc>
          <w:tcPr>
            <w:tcW w:type="dxa" w:w="31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설문 기반 현황·심리 2축</w:t>
            </w:r>
          </w:p>
        </w:tc>
        <w:tc>
          <w:tcPr>
            <w:tcW w:type="dxa" w:w="3700"/>
            <w:tcBorders>
              <w:top w:val="single" w:color="D4D1CA" w:sz="4"/>
              <w:left w:val="single" w:color="D4D1CA" w:sz="4"/>
              <w:bottom w:val="single" w:color="D4D1CA" w:sz="4"/>
              <w:right w:val="single" w:color="D4D1CA"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장르·전환·위험 차원 없음</w:t>
            </w:r>
          </w:p>
        </w:tc>
      </w:tr>
      <w:tr>
        <w:tc>
          <w:tcPr>
            <w:tcW w:type="dxa" w:w="24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bCs/>
                <w:color w:val="28251D"/>
                <w:sz w:val="19"/>
                <w:szCs w:val="19"/>
              </w:rPr>
              <w:t xml:space="preserve">이 논문의 KWI</w:t>
            </w:r>
          </w:p>
        </w:tc>
        <w:tc>
          <w:tcPr>
            <w:tcW w:type="dxa" w:w="31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7개 하위차원 + 장르별 분해 + 국가 유형화</w:t>
            </w:r>
          </w:p>
        </w:tc>
        <w:tc>
          <w:tcPr>
            <w:tcW w:type="dxa" w:w="3700"/>
            <w:tcBorders>
              <w:top w:val="single" w:color="D4D1CA" w:sz="4"/>
              <w:left w:val="single" w:color="D4D1CA" w:sz="4"/>
              <w:bottom w:val="single" w:color="D4D1CA" w:sz="4"/>
              <w:right w:val="single" w:color="D4D1CA" w:sz="4"/>
            </w:tcBorders>
            <w:shd w:fill="EDF2F7" w:val="clear"/>
            <w:tcMar>
              <w:top w:type="dxa" w:w="80"/>
              <w:left w:type="dxa" w:w="120"/>
              <w:bottom w:type="dxa" w:w="80"/>
              <w:right w:type="dxa" w:w="120"/>
            </w:tcMar>
            <w:vAlign w:val="center"/>
          </w:tcPr>
          <w:p>
            <w:pPr>
              <w:jc w:val="left"/>
            </w:pPr>
            <w:r>
              <w:rPr>
                <w:rFonts w:ascii="Arial" w:cs="Arial" w:eastAsia="Arial" w:hAnsi="Arial"/>
                <w:b w:val="false"/>
                <w:bCs w:val="false"/>
                <w:color w:val="28251D"/>
                <w:sz w:val="19"/>
                <w:szCs w:val="19"/>
              </w:rPr>
              <w:t xml:space="preserve">가장 정밀한 분해 구조; 위험도 포함</w:t>
            </w:r>
          </w:p>
        </w:tc>
      </w:tr>
    </w:tbl>
    <w:p/>
    <w:p>
      <w:pPr>
        <w:pStyle w:val="Heading2"/>
        <w:spacing w:after="120" w:before="320"/>
      </w:pPr>
      <w:r>
        <w:rPr>
          <w:rFonts w:ascii="Arial" w:cs="Arial" w:eastAsia="Arial" w:hAnsi="Arial"/>
          <w:b/>
          <w:bCs/>
          <w:color w:val="1B474D"/>
          <w:sz w:val="28"/>
          <w:szCs w:val="28"/>
        </w:rPr>
        <w:t xml:space="preserve">3. 국가별·장르별 정책 차별화</w:t>
      </w:r>
    </w:p>
    <w:p>
      <w:pPr>
        <w:spacing w:after="80" w:before="80" w:line="360"/>
        <w:ind/>
        <w:jc w:val="both"/>
      </w:pPr>
      <w:r>
        <w:rPr>
          <w:rFonts w:ascii="Arial" w:cs="Arial" w:eastAsia="Arial" w:hAnsi="Arial"/>
          <w:b w:val="false"/>
          <w:bCs w:val="false"/>
          <w:i w:val="false"/>
          <w:iCs w:val="false"/>
          <w:color w:val="28251D"/>
          <w:sz w:val="22"/>
          <w:szCs w:val="22"/>
        </w:rPr>
        <w:t xml:space="preserve">한류지수는 국가별 맞춤형 문화정책 수립에 활용될 수 있다. 팬덤 고관여형 국가에서는 K-pop 공연, 팬 커뮤니티, 플랫폼 이벤트가 효과적이다. 콘텐츠 소비형 국가에서는 OTT 유통, 자막·더빙, 현지 플랫폼 제휴가 중요하다. 생활문화 전환형 국가에서는 음식, 뷰티, 패션, 관광, 전자상거래 연결 전략이 필요하다. 갈등·위험형 국가에서는 단순 홍보보다 문화외교와 리스크 관리가 핵심이다.</w:t>
      </w:r>
    </w:p>
    <w:p>
      <w:pPr>
        <w:pStyle w:val="Heading2"/>
        <w:spacing w:after="120" w:before="320"/>
      </w:pPr>
      <w:r>
        <w:rPr>
          <w:rFonts w:ascii="Arial" w:cs="Arial" w:eastAsia="Arial" w:hAnsi="Arial"/>
          <w:b/>
          <w:bCs/>
          <w:color w:val="1B474D"/>
          <w:sz w:val="28"/>
          <w:szCs w:val="28"/>
        </w:rPr>
        <w:t xml:space="preserve">4. 플랫폼화 시대의 새로운 정책 문제</w:t>
      </w:r>
    </w:p>
    <w:p>
      <w:pPr>
        <w:spacing w:after="80" w:before="80" w:line="360"/>
        <w:ind/>
        <w:jc w:val="both"/>
      </w:pPr>
      <w:r>
        <w:rPr>
          <w:rFonts w:ascii="Arial" w:cs="Arial" w:eastAsia="Arial" w:hAnsi="Arial"/>
          <w:b w:val="false"/>
          <w:bCs w:val="false"/>
          <w:i w:val="false"/>
          <w:iCs w:val="false"/>
          <w:color w:val="28251D"/>
          <w:sz w:val="22"/>
          <w:szCs w:val="22"/>
        </w:rPr>
        <w:t xml:space="preserve">Jin et al.(2023)의 분석은 한류지수에 새로운 정책 차원을 추가한다. 한류지수가 높은 국가에서 K-콘텐츠 소비가 증가할 때, 그 수익이 한국 창작자·기업으로 귀환하는가, 아니면 넷플릭스·유튜브 등 글로벌 플랫폼으로 귀환하는가라는 질문이 정책적으로 핵심이 된다. 이는 '전환도' 차원이 플랫폼 수익 귀환율도 측정 대상으로 확장될 필요가 있음을 시사한다. 즉 한류지수는 한류의 문화적 확산도뿐 아니라 그 경제적 과실이 한국 경제로 귀환하는 정도를 측정하는 '수익 귀환 지수(Return on Hallyu)'로 기능할 수 있다.</w:t>
      </w:r>
    </w:p>
    <w:p>
      <w:pPr>
        <w:pStyle w:val="Heading2"/>
        <w:spacing w:after="120" w:before="320"/>
      </w:pPr>
      <w:r>
        <w:rPr>
          <w:rFonts w:ascii="Arial" w:cs="Arial" w:eastAsia="Arial" w:hAnsi="Arial"/>
          <w:b/>
          <w:bCs/>
          <w:color w:val="1B474D"/>
          <w:sz w:val="28"/>
          <w:szCs w:val="28"/>
        </w:rPr>
        <w:t xml:space="preserve">5. 위험도 지표의 필요성: 금지 효과 논의</w:t>
      </w:r>
    </w:p>
    <w:p>
      <w:pPr>
        <w:spacing w:after="80" w:before="80" w:line="360"/>
        <w:ind/>
        <w:jc w:val="both"/>
      </w:pPr>
      <w:r>
        <w:rPr>
          <w:rFonts w:ascii="Arial" w:cs="Arial" w:eastAsia="Arial" w:hAnsi="Arial"/>
          <w:b w:val="false"/>
          <w:bCs w:val="false"/>
          <w:i w:val="false"/>
          <w:iCs w:val="false"/>
          <w:color w:val="28251D"/>
          <w:sz w:val="22"/>
          <w:szCs w:val="22"/>
        </w:rPr>
        <w:t xml:space="preserve">위험도는 한류의 지속가능성을 약화시킬 수 있는 부정적 요인의 정도를 의미한다. 그러나 한 가지 이론적 긴장이 존재한다. 정치적 갈등이 높은 국가(예: 사드 이후 한중, 역사 갈등기 한일)에서 한류 소비는 오히려 증가한 사례가 있다. 갈등이 오히려 관심을 유발하는 '금지 효과(forbidden fruit effect)'는 위험도가 단순 감산 요인이 아닐 수 있음을 시사한다. 따라서 위험도를 종합지수의 감산항으로만 처리하는 것에 더하여, 별도의 조기경보지표(early warning indicator)로 관리하는 이중 구조를 설계하는 것이 더 정밀하다.</w:t>
      </w:r>
    </w:p>
    <w:p>
      <w:r>
        <w:br w:type="page"/>
      </w:r>
    </w:p>
    <w:p>
      <w:pPr>
        <w:pStyle w:val="Heading1"/>
        <w:spacing w:after="160" w:before="400"/>
      </w:pPr>
      <w:r>
        <w:rPr>
          <w:rFonts w:ascii="Arial" w:cs="Arial" w:eastAsia="Arial" w:hAnsi="Arial"/>
          <w:b/>
          <w:bCs/>
          <w:color w:val="0C4E54"/>
          <w:sz w:val="36"/>
          <w:szCs w:val="36"/>
        </w:rPr>
        <w:t xml:space="preserve">Ⅵ. 결론</w:t>
      </w:r>
    </w:p>
    <w:p>
      <w:pPr>
        <w:spacing w:after="80" w:before="80" w:line="360"/>
        <w:ind/>
        <w:jc w:val="both"/>
      </w:pPr>
      <w:r>
        <w:rPr>
          <w:rFonts w:ascii="Arial" w:cs="Arial" w:eastAsia="Arial" w:hAnsi="Arial"/>
          <w:b w:val="false"/>
          <w:bCs w:val="false"/>
          <w:i w:val="false"/>
          <w:iCs w:val="false"/>
          <w:color w:val="28251D"/>
          <w:sz w:val="22"/>
          <w:szCs w:val="22"/>
        </w:rPr>
        <w:t xml:space="preserve">이 연구는 한류를 국가별·장르별로 측정하기 위한 복합지표인 한류지수의 이론적·방법론적 틀을 제안하였다. 본 연구의 핵심 주장은 한류가 단일한 해외 인기 현상이 아니라, 인지도, 소비도, 선호도, 참여도, 확산도, 전환도, 위험도로 구성된 다차원 문화확산 체계라는 것이다. 따라서 한류를 제대로 측정하기 위해서는 콘텐츠 소비량이나 호감도만으로는 부족하며, 팬덤 참여, 플랫폼 확산, 경제적 전환, 부정적 위험요인을 함께 포함해야 한다.</w:t>
      </w:r>
    </w:p>
    <w:p>
      <w:pPr>
        <w:spacing w:after="80" w:before="80" w:line="360"/>
        <w:ind/>
        <w:jc w:val="both"/>
      </w:pPr>
      <w:r>
        <w:rPr>
          <w:rFonts w:ascii="Arial" w:cs="Arial" w:eastAsia="Arial" w:hAnsi="Arial"/>
          <w:b w:val="false"/>
          <w:bCs w:val="false"/>
          <w:i w:val="false"/>
          <w:iCs w:val="false"/>
          <w:color w:val="28251D"/>
          <w:sz w:val="22"/>
          <w:szCs w:val="22"/>
        </w:rPr>
        <w:t xml:space="preserve">본 연구가 제안한 한류지수는 세 가지 기여를 갖는다. 첫째, 한류 연구를 사례 중심 설명에서 지표 중심 분석으로 확장한다. 둘째, 국가별·장르별 한류 구조를 비교할 수 있는 분석틀을 제공한다. 셋째, 문화정책, 산업정책, 관광정책, 공공외교를 연결하는 실용적 정책도구로 활용될 수 있다.</w:t>
      </w:r>
    </w:p>
    <w:p>
      <w:pPr>
        <w:spacing w:after="80" w:before="80" w:line="360"/>
        <w:ind/>
        <w:jc w:val="both"/>
      </w:pPr>
      <w:r>
        <w:rPr>
          <w:rFonts w:ascii="Arial" w:cs="Arial" w:eastAsia="Arial" w:hAnsi="Arial"/>
          <w:b w:val="false"/>
          <w:bCs w:val="false"/>
          <w:i w:val="false"/>
          <w:iCs w:val="false"/>
          <w:color w:val="28251D"/>
          <w:sz w:val="22"/>
          <w:szCs w:val="22"/>
        </w:rPr>
        <w:t xml:space="preserve">후속 연구는 실제 해외한류실태조사 원자료, 플랫폼 빅데이터, 수출·관광·언어학습 통계를 결합하여 국가별·장르별 한류지수를 산출하고, 그 지수가 실제 소비재 수출, 방한 관광, 한국어 학습, 국가이미지 변화와 어떤 관계를 갖는지 검증해야 한다. 또한 역인과(reverse causality) 통제를 위한 Granger 인과 검정 또는 도구변수 설계, 국가별 플랫폼 생태계 차이에 대한 체계적 보정, 팬덤 데이터의 조직적 증폭 문제에 대한 방법론적 처리가 선행될 필요가 있다.</w:t>
      </w:r>
    </w:p>
    <w:p>
      <w:pPr>
        <w:spacing w:after="80" w:before="80" w:line="360"/>
        <w:ind/>
        <w:jc w:val="both"/>
      </w:pPr>
      <w:r>
        <w:rPr>
          <w:rFonts w:ascii="Arial" w:cs="Arial" w:eastAsia="Arial" w:hAnsi="Arial"/>
          <w:b w:val="false"/>
          <w:bCs w:val="false"/>
          <w:i w:val="false"/>
          <w:iCs w:val="false"/>
          <w:color w:val="28251D"/>
          <w:sz w:val="22"/>
          <w:szCs w:val="22"/>
        </w:rPr>
        <w:t xml:space="preserve">결론적으로 한류지수는 단순한 인기순위가 아니다. 그것은 국가별 한류 생태계의 구조, 확산 단계, 전환 가능성, 위험요인을 동시에 진단하는 학술적·정책적 도구여야 한다.</w:t>
      </w:r>
    </w:p>
    <w:p>
      <w:r>
        <w:br w:type="page"/>
      </w:r>
    </w:p>
    <w:p>
      <w:r>
        <w:t>끝으로 이 보고서의 위치를 다시 밝힌다. 이 글은 한류지수의 이론과 선행연구를 정리한 설계도이자, 그 설계가 KWCI라는 작동하는 지수로 어떻게 번역되는지를 적은 전단계 문서다. 일곱 기능 차원은 세 자료 레이어로, 열거된 장르는 여덟 운영 도메인으로, 막연한 ‘비교’의 야심은 열다섯 국가의 분기 패널로 내려앉았다. 이론에서 구현으로 가는 이 하강은 단순화가 아니라 측정 가능성의 획득이다. 남은 과제는 분명하다. 0.5/0.3/0.2의 레이어 가중치와 장르 가중치를 민감도 분석으로 검증하고, L2 실시간 모듈의 플랫폼 편향을 국가별로 보정하며, 패널이 쌓일 때 KWCI가 실제 수출·관광·언어학습·국가이미지의 변화를 선행하는지를 검정하는 일이다. 그때 한류지수는 인기순위가 아니라, 한류 생태계의 구조와 단계와 위험을 동시에 읽는 진단 도구가 된다.</w:t>
      </w:r>
    </w:p>
    <w:p>
      <w:pPr>
        <w:pStyle w:val="Heading1"/>
        <w:spacing w:after="160" w:before="400"/>
      </w:pPr>
      <w:r>
        <w:rPr>
          <w:rFonts w:ascii="Arial" w:cs="Arial" w:eastAsia="Arial" w:hAnsi="Arial"/>
          <w:b/>
          <w:bCs/>
          <w:color w:val="0C4E54"/>
          <w:sz w:val="36"/>
          <w:szCs w:val="36"/>
        </w:rPr>
        <w:t xml:space="preserve">참고문헌</w:t>
      </w:r>
    </w:p>
    <w:p>
      <w:pPr>
        <w:pStyle w:val="Heading2"/>
        <w:spacing w:after="120" w:before="320"/>
      </w:pPr>
      <w:r>
        <w:rPr>
          <w:rFonts w:ascii="Arial" w:cs="Arial" w:eastAsia="Arial" w:hAnsi="Arial"/>
          <w:b/>
          <w:bCs/>
          <w:color w:val="1B474D"/>
          <w:sz w:val="28"/>
          <w:szCs w:val="28"/>
        </w:rPr>
        <w:t xml:space="preserve">국내 문헌</w:t>
      </w:r>
    </w:p>
    <w:p>
      <w:pPr>
        <w:spacing w:after="80" w:before="80" w:line="360"/>
        <w:ind/>
        <w:jc w:val="both"/>
      </w:pPr>
      <w:r>
        <w:rPr>
          <w:rFonts w:ascii="Arial" w:cs="Arial" w:eastAsia="Arial" w:hAnsi="Arial"/>
          <w:b w:val="false"/>
          <w:bCs w:val="false"/>
          <w:i w:val="false"/>
          <w:iCs w:val="false"/>
          <w:color w:val="28251D"/>
          <w:sz w:val="22"/>
          <w:szCs w:val="22"/>
        </w:rPr>
        <w:t xml:space="preserve">김수정. 2014. 「한류와 문화적 근접성에 관한 연구」. 『언론과 사회』.</w:t>
      </w:r>
    </w:p>
    <w:p>
      <w:pPr>
        <w:spacing w:after="80" w:before="80" w:line="360"/>
        <w:ind/>
        <w:jc w:val="both"/>
      </w:pPr>
      <w:r>
        <w:rPr>
          <w:rFonts w:ascii="Arial" w:cs="Arial" w:eastAsia="Arial" w:hAnsi="Arial"/>
          <w:b w:val="false"/>
          <w:bCs w:val="false"/>
          <w:i w:val="false"/>
          <w:iCs w:val="false"/>
          <w:color w:val="28251D"/>
          <w:sz w:val="22"/>
          <w:szCs w:val="22"/>
        </w:rPr>
        <w:t xml:space="preserve">김현미. 2018. 「한류의 문화정치와 팬덤의 초국가적 실천」. 『문화와 사회』.</w:t>
      </w:r>
    </w:p>
    <w:p>
      <w:pPr>
        <w:spacing w:after="80" w:before="80" w:line="360"/>
        <w:ind/>
        <w:jc w:val="both"/>
      </w:pPr>
      <w:r>
        <w:rPr>
          <w:rFonts w:ascii="Arial" w:cs="Arial" w:eastAsia="Arial" w:hAnsi="Arial"/>
          <w:b w:val="false"/>
          <w:bCs w:val="false"/>
          <w:i w:val="false"/>
          <w:iCs w:val="false"/>
          <w:color w:val="28251D"/>
          <w:sz w:val="22"/>
          <w:szCs w:val="22"/>
        </w:rPr>
        <w:t xml:space="preserve">박소정. 2020. 「K-pop 팬덤의 플랫폼 활동과 참여문화」. 『한국언론정보학보』.</w:t>
      </w:r>
    </w:p>
    <w:p>
      <w:pPr>
        <w:spacing w:after="80" w:before="80" w:line="360"/>
        <w:ind/>
        <w:jc w:val="both"/>
      </w:pPr>
      <w:r>
        <w:rPr>
          <w:rFonts w:ascii="Arial" w:cs="Arial" w:eastAsia="Arial" w:hAnsi="Arial"/>
          <w:b w:val="false"/>
          <w:bCs w:val="false"/>
          <w:i w:val="false"/>
          <w:iCs w:val="false"/>
          <w:color w:val="28251D"/>
          <w:sz w:val="22"/>
          <w:szCs w:val="22"/>
        </w:rPr>
        <w:t xml:space="preserve">한국국제문화교류진흥원. 2025. 『2024 해외한류실태조사』. 서울: 한국국제문화교류진흥원.</w:t>
      </w:r>
    </w:p>
    <w:p>
      <w:pPr>
        <w:spacing w:after="80" w:before="80" w:line="360"/>
        <w:ind/>
        <w:jc w:val="both"/>
      </w:pPr>
      <w:r>
        <w:rPr>
          <w:rFonts w:ascii="Arial" w:cs="Arial" w:eastAsia="Arial" w:hAnsi="Arial"/>
          <w:b w:val="false"/>
          <w:bCs w:val="false"/>
          <w:i w:val="false"/>
          <w:iCs w:val="false"/>
          <w:color w:val="28251D"/>
          <w:sz w:val="22"/>
          <w:szCs w:val="22"/>
        </w:rPr>
        <w:t xml:space="preserve">한국국제문화교류진흥원. 2025. 『한류백서』. 서울: 한국국제문화교류진흥원.</w:t>
      </w:r>
    </w:p>
    <w:p/>
    <w:p>
      <w:pPr>
        <w:pStyle w:val="Heading2"/>
        <w:spacing w:after="120" w:before="320"/>
      </w:pPr>
      <w:r>
        <w:rPr>
          <w:rFonts w:ascii="Arial" w:cs="Arial" w:eastAsia="Arial" w:hAnsi="Arial"/>
          <w:b/>
          <w:bCs/>
          <w:color w:val="1B474D"/>
          <w:sz w:val="28"/>
          <w:szCs w:val="28"/>
        </w:rPr>
        <w:t xml:space="preserve">영문 문헌</w:t>
      </w:r>
    </w:p>
    <w:p>
      <w:pPr>
        <w:spacing w:after="80" w:before="80" w:line="360"/>
        <w:ind/>
        <w:jc w:val="both"/>
      </w:pPr>
      <w:r>
        <w:rPr>
          <w:rFonts w:ascii="Arial" w:cs="Arial" w:eastAsia="Arial" w:hAnsi="Arial"/>
          <w:b w:val="false"/>
          <w:bCs w:val="false"/>
          <w:i w:val="false"/>
          <w:iCs w:val="false"/>
          <w:color w:val="28251D"/>
          <w:sz w:val="22"/>
          <w:szCs w:val="22"/>
        </w:rPr>
        <w:t xml:space="preserve">Abidin, C., &amp; Lee, J. 2023. "K-pop TikTok: TikTok's expansion into South Korea, TikTok Stage, and platformed glocalization." Media International Australia. DOI: 10.1177/1329878X231186445</w:t>
      </w:r>
    </w:p>
    <w:p>
      <w:pPr>
        <w:spacing w:after="80" w:before="80" w:line="360"/>
        <w:ind/>
        <w:jc w:val="both"/>
      </w:pPr>
      <w:r>
        <w:rPr>
          <w:rFonts w:ascii="Arial" w:cs="Arial" w:eastAsia="Arial" w:hAnsi="Arial"/>
          <w:b w:val="false"/>
          <w:bCs w:val="false"/>
          <w:i w:val="false"/>
          <w:iCs w:val="false"/>
          <w:color w:val="28251D"/>
          <w:sz w:val="22"/>
          <w:szCs w:val="22"/>
        </w:rPr>
        <w:t xml:space="preserve">Bae, E., Chang, M., Park, E., &amp; Kim, D. 2017. "The effect of Hallyu on tourism in Korea." Asia Pacific Journal of Tourism Research. DOI: 10.1186/S40852-017-0075-Y</w:t>
      </w:r>
    </w:p>
    <w:p>
      <w:pPr>
        <w:spacing w:after="80" w:before="80" w:line="360"/>
        <w:ind/>
        <w:jc w:val="both"/>
      </w:pPr>
      <w:r>
        <w:rPr>
          <w:rFonts w:ascii="Arial" w:cs="Arial" w:eastAsia="Arial" w:hAnsi="Arial"/>
          <w:b w:val="false"/>
          <w:bCs w:val="false"/>
          <w:i w:val="false"/>
          <w:iCs w:val="false"/>
          <w:color w:val="28251D"/>
          <w:sz w:val="22"/>
          <w:szCs w:val="22"/>
        </w:rPr>
        <w:t xml:space="preserve">Bae, S., &amp; Kang, S. 2026. "Sustainable Development of Hallyu — K-Culture Gradation (KCG) Model." Journal of Arts and Cultural Management.</w:t>
      </w:r>
    </w:p>
    <w:p>
      <w:pPr>
        <w:spacing w:after="80" w:before="80" w:line="360"/>
        <w:ind/>
        <w:jc w:val="both"/>
      </w:pPr>
      <w:r>
        <w:rPr>
          <w:rFonts w:ascii="Arial" w:cs="Arial" w:eastAsia="Arial" w:hAnsi="Arial"/>
          <w:b w:val="false"/>
          <w:bCs w:val="false"/>
          <w:i w:val="false"/>
          <w:iCs w:val="false"/>
          <w:color w:val="28251D"/>
          <w:sz w:val="22"/>
          <w:szCs w:val="22"/>
        </w:rPr>
        <w:t xml:space="preserve">Bunnag, C. 2024. "The influence of the entertainment industry on international tourist arrivals in South Korea." Chula Thesis. DOI: 10.58837/chula.the.2024.452</w:t>
      </w:r>
    </w:p>
    <w:p>
      <w:pPr>
        <w:spacing w:after="80" w:before="80" w:line="360"/>
        <w:ind/>
        <w:jc w:val="both"/>
      </w:pPr>
      <w:r>
        <w:rPr>
          <w:rFonts w:ascii="Arial" w:cs="Arial" w:eastAsia="Arial" w:hAnsi="Arial"/>
          <w:b w:val="false"/>
          <w:bCs w:val="false"/>
          <w:i w:val="false"/>
          <w:iCs w:val="false"/>
          <w:color w:val="28251D"/>
          <w:sz w:val="22"/>
          <w:szCs w:val="22"/>
        </w:rPr>
        <w:t xml:space="preserve">Ding, X., &amp; Wu, Y. 2023. "Determinants of international Korean language promotion: A cross-country analysis." Heliyon. PMC10590977</w:t>
      </w:r>
    </w:p>
    <w:p>
      <w:pPr>
        <w:spacing w:after="80" w:before="80" w:line="360"/>
        <w:ind/>
        <w:jc w:val="both"/>
      </w:pPr>
      <w:r>
        <w:rPr>
          <w:rFonts w:ascii="Arial" w:cs="Arial" w:eastAsia="Arial" w:hAnsi="Arial"/>
          <w:b w:val="false"/>
          <w:bCs w:val="false"/>
          <w:i w:val="false"/>
          <w:iCs w:val="false"/>
          <w:color w:val="28251D"/>
          <w:sz w:val="22"/>
          <w:szCs w:val="22"/>
        </w:rPr>
        <w:t xml:space="preserve">Huh, C., &amp; Wu, J. 2017. "Do Hallyu (Korean Wave) Exports Promote Korea's Consumer Goods Exports?" Emerging Markets Finance and Trade. DOI: 10.1080/1540496X.2017.1313161</w:t>
      </w:r>
    </w:p>
    <w:p>
      <w:pPr>
        <w:spacing w:after="80" w:before="80" w:line="360"/>
        <w:ind/>
        <w:jc w:val="both"/>
      </w:pPr>
      <w:r>
        <w:rPr>
          <w:rFonts w:ascii="Arial" w:cs="Arial" w:eastAsia="Arial" w:hAnsi="Arial"/>
          <w:b w:val="false"/>
          <w:bCs w:val="false"/>
          <w:i w:val="false"/>
          <w:iCs w:val="false"/>
          <w:color w:val="28251D"/>
          <w:sz w:val="22"/>
          <w:szCs w:val="22"/>
        </w:rPr>
        <w:t xml:space="preserve">Iwabuchi, K. 2002. Recentering Globalization: Popular Culture and Japanese Transnationalism. Durham: Duke University Press.</w:t>
      </w:r>
    </w:p>
    <w:p>
      <w:pPr>
        <w:spacing w:after="80" w:before="80" w:line="360"/>
        <w:ind/>
        <w:jc w:val="both"/>
      </w:pPr>
      <w:r>
        <w:rPr>
          <w:rFonts w:ascii="Arial" w:cs="Arial" w:eastAsia="Arial" w:hAnsi="Arial"/>
          <w:b w:val="false"/>
          <w:bCs w:val="false"/>
          <w:i w:val="false"/>
          <w:iCs w:val="false"/>
          <w:color w:val="28251D"/>
          <w:sz w:val="22"/>
          <w:szCs w:val="22"/>
        </w:rPr>
        <w:t xml:space="preserve">Iwabuchi, K. 2013. "Korean Wave and Inter-Asian Referencing." In Y. Kim (ed.), The Korean Wave: Korean Media Go Global, 43–57. London: Routledge.</w:t>
      </w:r>
    </w:p>
    <w:p>
      <w:pPr>
        <w:spacing w:after="80" w:before="80" w:line="360"/>
        <w:ind/>
        <w:jc w:val="both"/>
      </w:pPr>
      <w:r>
        <w:rPr>
          <w:rFonts w:ascii="Arial" w:cs="Arial" w:eastAsia="Arial" w:hAnsi="Arial"/>
          <w:b w:val="false"/>
          <w:bCs w:val="false"/>
          <w:i w:val="false"/>
          <w:iCs w:val="false"/>
          <w:color w:val="28251D"/>
          <w:sz w:val="22"/>
          <w:szCs w:val="22"/>
        </w:rPr>
        <w:t xml:space="preserve">Jenkins, H. 2006. Convergence Culture: Where Old and New Media Collide. New York: NYU Press.</w:t>
      </w:r>
    </w:p>
    <w:p>
      <w:pPr>
        <w:spacing w:after="80" w:before="80" w:line="360"/>
        <w:ind/>
        <w:jc w:val="both"/>
      </w:pPr>
      <w:r>
        <w:rPr>
          <w:rFonts w:ascii="Arial" w:cs="Arial" w:eastAsia="Arial" w:hAnsi="Arial"/>
          <w:b w:val="false"/>
          <w:bCs w:val="false"/>
          <w:i w:val="false"/>
          <w:iCs w:val="false"/>
          <w:color w:val="28251D"/>
          <w:sz w:val="22"/>
          <w:szCs w:val="22"/>
        </w:rPr>
        <w:t xml:space="preserve">Jin, D. 2016. New Korean Wave: Transnational Cultural Power in the Age of Social Media. Urbana: University of Illinois Press.</w:t>
      </w:r>
    </w:p>
    <w:p>
      <w:pPr>
        <w:spacing w:after="80" w:before="80" w:line="360"/>
        <w:ind/>
        <w:jc w:val="both"/>
      </w:pPr>
      <w:r>
        <w:rPr>
          <w:rFonts w:ascii="Arial" w:cs="Arial" w:eastAsia="Arial" w:hAnsi="Arial"/>
          <w:b w:val="false"/>
          <w:bCs w:val="false"/>
          <w:i w:val="false"/>
          <w:iCs w:val="false"/>
          <w:color w:val="28251D"/>
          <w:sz w:val="22"/>
          <w:szCs w:val="22"/>
        </w:rPr>
        <w:t xml:space="preserve">Jin, D., Yoon, K., &amp; Han, B. 2023. "Platformization of the Korean Wave: a critical perspective." Media, Culture &amp; Society. DOI: 10.1080/22041451.2023.2249776</w:t>
      </w:r>
    </w:p>
    <w:p>
      <w:pPr>
        <w:spacing w:after="80" w:before="80" w:line="360"/>
        <w:ind/>
        <w:jc w:val="both"/>
      </w:pPr>
      <w:r>
        <w:rPr>
          <w:rFonts w:ascii="Arial" w:cs="Arial" w:eastAsia="Arial" w:hAnsi="Arial"/>
          <w:b w:val="false"/>
          <w:bCs w:val="false"/>
          <w:i w:val="false"/>
          <w:iCs w:val="false"/>
          <w:color w:val="28251D"/>
          <w:sz w:val="22"/>
          <w:szCs w:val="22"/>
        </w:rPr>
        <w:t xml:space="preserve">Lee, I., &amp; Chang, P. 2019. "Cultural preferences in international trade: Evidence from the globalization of Korean pop culture." KIEP Conference.</w:t>
      </w:r>
    </w:p>
    <w:p>
      <w:pPr>
        <w:spacing w:after="80" w:before="80" w:line="360"/>
        <w:ind/>
        <w:jc w:val="both"/>
      </w:pPr>
      <w:r>
        <w:rPr>
          <w:rFonts w:ascii="Arial" w:cs="Arial" w:eastAsia="Arial" w:hAnsi="Arial"/>
          <w:b w:val="false"/>
          <w:bCs w:val="false"/>
          <w:i w:val="false"/>
          <w:iCs w:val="false"/>
          <w:color w:val="28251D"/>
          <w:sz w:val="22"/>
          <w:szCs w:val="22"/>
        </w:rPr>
        <w:t xml:space="preserve">Nardo, M., Saisana, M., Saltelli, A., Tarantola, S., Hoffman, A., &amp; Giovannini, E. 2008. Handbook on Constructing Composite Indicators: Methodology and User Guide. Paris: OECD Publishing.</w:t>
      </w:r>
    </w:p>
    <w:p>
      <w:pPr>
        <w:spacing w:after="80" w:before="80" w:line="360"/>
        <w:ind/>
        <w:jc w:val="both"/>
      </w:pPr>
      <w:r>
        <w:rPr>
          <w:rFonts w:ascii="Arial" w:cs="Arial" w:eastAsia="Arial" w:hAnsi="Arial"/>
          <w:b w:val="false"/>
          <w:bCs w:val="false"/>
          <w:i w:val="false"/>
          <w:iCs w:val="false"/>
          <w:color w:val="28251D"/>
          <w:sz w:val="22"/>
          <w:szCs w:val="22"/>
        </w:rPr>
        <w:t xml:space="preserve">Negus, K., &amp; Zhang, Q. 2020. "East Asian pop music idol production and the emergence of data fandom in China." Journalism. DOI: 10.1177/1367877920904064</w:t>
      </w:r>
    </w:p>
    <w:p>
      <w:pPr>
        <w:spacing w:after="80" w:before="80" w:line="360"/>
        <w:ind/>
        <w:jc w:val="both"/>
      </w:pPr>
      <w:r>
        <w:rPr>
          <w:rFonts w:ascii="Arial" w:cs="Arial" w:eastAsia="Arial" w:hAnsi="Arial"/>
          <w:b w:val="false"/>
          <w:bCs w:val="false"/>
          <w:i w:val="false"/>
          <w:iCs w:val="false"/>
          <w:color w:val="28251D"/>
          <w:sz w:val="22"/>
          <w:szCs w:val="22"/>
        </w:rPr>
        <w:t xml:space="preserve">Nye, J. 2004. Soft Power: The Means to Success in World Politics. New York: PublicAffairs.</w:t>
      </w:r>
    </w:p>
    <w:p>
      <w:pPr>
        <w:spacing w:after="80" w:before="80" w:line="360"/>
        <w:ind/>
        <w:jc w:val="both"/>
      </w:pPr>
      <w:r>
        <w:rPr>
          <w:rFonts w:ascii="Arial" w:cs="Arial" w:eastAsia="Arial" w:hAnsi="Arial"/>
          <w:b w:val="false"/>
          <w:bCs w:val="false"/>
          <w:i w:val="false"/>
          <w:iCs w:val="false"/>
          <w:color w:val="28251D"/>
          <w:sz w:val="22"/>
          <w:szCs w:val="22"/>
        </w:rPr>
        <w:t xml:space="preserve">Prey, R., &amp; Lee, S. 2024. "A global approach to studying platforms and cultural production." Media, Culture &amp; Society. DOI: 10.1177/13678779241244399</w:t>
      </w:r>
    </w:p>
    <w:p>
      <w:pPr>
        <w:spacing w:after="80" w:before="80" w:line="360"/>
        <w:ind/>
        <w:jc w:val="both"/>
      </w:pPr>
      <w:r>
        <w:rPr>
          <w:rFonts w:ascii="Arial" w:cs="Arial" w:eastAsia="Arial" w:hAnsi="Arial"/>
          <w:b w:val="false"/>
          <w:bCs w:val="false"/>
          <w:i w:val="false"/>
          <w:iCs w:val="false"/>
          <w:color w:val="28251D"/>
          <w:sz w:val="22"/>
          <w:szCs w:val="22"/>
        </w:rPr>
        <w:t xml:space="preserve">Ryoo, W. 2009. "Globalization, or the Logic of Cultural Hybridization: The Case of the Korean Wave." Asian Journal of Communication 19(2): 137–151.</w:t>
      </w:r>
    </w:p>
    <w:p>
      <w:pPr>
        <w:spacing w:after="80" w:before="80" w:line="360"/>
        <w:ind/>
        <w:jc w:val="both"/>
      </w:pPr>
      <w:r>
        <w:rPr>
          <w:rFonts w:ascii="Arial" w:cs="Arial" w:eastAsia="Arial" w:hAnsi="Arial"/>
          <w:b w:val="false"/>
          <w:bCs w:val="false"/>
          <w:i w:val="false"/>
          <w:iCs w:val="false"/>
          <w:color w:val="28251D"/>
          <w:sz w:val="22"/>
          <w:szCs w:val="22"/>
        </w:rPr>
        <w:t xml:space="preserve">Shim, D. 2006. "Hybridity and the Rise of Korean Popular Culture in Asia." Media, Culture &amp; Society 28(1): 25–44.</w:t>
      </w:r>
    </w:p>
    <w:p>
      <w:pPr>
        <w:spacing w:after="80" w:before="80" w:line="360"/>
        <w:ind/>
        <w:jc w:val="both"/>
      </w:pPr>
      <w:r>
        <w:rPr>
          <w:rFonts w:ascii="Arial" w:cs="Arial" w:eastAsia="Arial" w:hAnsi="Arial"/>
          <w:b w:val="false"/>
          <w:bCs w:val="false"/>
          <w:i w:val="false"/>
          <w:iCs w:val="false"/>
          <w:color w:val="28251D"/>
          <w:sz w:val="22"/>
          <w:szCs w:val="22"/>
        </w:rPr>
        <w:t xml:space="preserve">Yang, J. 2012. "The Korean Wave (Hallyu) in East Asia." Development and Society 41(2): 103–147.</w:t>
      </w:r>
    </w:p>
    <w:p>
      <w:pPr>
        <w:spacing w:after="80" w:before="80" w:line="360"/>
        <w:ind/>
        <w:jc w:val="both"/>
      </w:pPr>
      <w:r>
        <w:rPr>
          <w:rFonts w:ascii="Arial" w:cs="Arial" w:eastAsia="Arial" w:hAnsi="Arial"/>
          <w:b w:val="false"/>
          <w:bCs w:val="false"/>
          <w:i w:val="false"/>
          <w:iCs w:val="false"/>
          <w:color w:val="28251D"/>
          <w:sz w:val="22"/>
          <w:szCs w:val="22"/>
        </w:rPr>
        <w:t xml:space="preserve">Yoon, K. 2022. Diasporic Hallyu: The Korean Wave in Korean Canadian Youth Culture. Cham: Palgrave Macmillan.</w:t>
      </w:r>
    </w:p>
    <w:sectPr>
      <w:headerReference w:type="default" r:id="rId7"/>
      <w:footerReference w:type="default" r:id="rId8"/>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1CA" w:sz="4"/>
      </w:pBdr>
      <w:spacing w:before="120"/>
      <w:jc w:val="center"/>
    </w:pPr>
    <w:r>
      <w:rPr>
        <w:rFonts w:ascii="Arial" w:cs="Arial" w:eastAsia="Arial" w:hAnsi="Arial"/>
        <w:color w:val="7A7974"/>
        <w:sz w:val="18"/>
        <w:szCs w:val="18"/>
      </w:rPr>
      <w:t xml:space="preserve">- </w:t>
    </w:r>
    <w:r>
      <w:rPr>
        <w:rFonts w:ascii="Arial" w:cs="Arial" w:eastAsia="Arial" w:hAnsi="Arial"/>
        <w:color w:val="7A7974"/>
        <w:sz w:val="18"/>
        <w:szCs w:val="18"/>
      </w:rPr>
      <w:fldChar w:fldCharType="begin"/>
      <w:instrText xml:space="preserve">PAGE</w:instrText>
      <w:fldChar w:fldCharType="separate"/>
      <w:fldChar w:fldCharType="end"/>
    </w:r>
    <w:r>
      <w:rPr>
        <w:rFonts w:ascii="Arial" w:cs="Arial" w:eastAsia="Arial" w:hAnsi="Arial"/>
        <w:color w:val="7A7974"/>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KOFICE(한국국제문화교류진흥원). 2025. 『2024 해외한류실태조사』. 서울: 한국국제문화교류진흥원.</w:t>
      </w:r>
    </w:p>
  </w:footnote>
  <w:footnote w:id="2">
    <w:p>
      <w:r>
        <w:rPr>
          <w:rStyle w:val="FootnoteReference"/>
        </w:rPr>
        <w:footnoteRef/>
      </w:r>
      <w:r>
        <w:rPr>
          <w:rFonts w:ascii="Arial" w:cs="Arial" w:eastAsia="Arial" w:hAnsi="Arial"/>
          <w:sz w:val="18"/>
          <w:szCs w:val="18"/>
        </w:rPr>
        <w:t xml:space="preserve">Nardo, M., Saisana, M., Saltelli, A., Tarantola, S., Hoffman, A., &amp; Giovannini, E. 2008. Handbook on Constructing Composite Indicators: Methodology and User Guide. Paris: OECD Publishing.</w:t>
      </w:r>
    </w:p>
  </w:footnote>
  <w:footnote w:id="3">
    <w:p>
      <w:r>
        <w:rPr>
          <w:rStyle w:val="FootnoteReference"/>
        </w:rPr>
        <w:footnoteRef/>
      </w:r>
      <w:r>
        <w:rPr>
          <w:rFonts w:ascii="Arial" w:cs="Arial" w:eastAsia="Arial" w:hAnsi="Arial"/>
          <w:sz w:val="18"/>
          <w:szCs w:val="18"/>
        </w:rPr>
        <w:t xml:space="preserve">Shim, D. 2006. "Hybridity and the Rise of Korean Popular Culture in Asia." Media, Culture &amp; Society 28(1): 25–44.</w:t>
      </w:r>
    </w:p>
  </w:footnote>
  <w:footnote w:id="4">
    <w:p>
      <w:r>
        <w:rPr>
          <w:rStyle w:val="FootnoteReference"/>
        </w:rPr>
        <w:footnoteRef/>
      </w:r>
      <w:r>
        <w:rPr>
          <w:rFonts w:ascii="Arial" w:cs="Arial" w:eastAsia="Arial" w:hAnsi="Arial"/>
          <w:sz w:val="18"/>
          <w:szCs w:val="18"/>
        </w:rPr>
        <w:t xml:space="preserve">Iwabuchi, K. 2002. Recentering Globalization: Popular Culture and Japanese Transnationalism. Durham: Duke University Press. / Iwabuchi, K. 2013. "Korean Wave and Inter-Asian Referencing." In Y. Kim (ed.), The Korean Wave, 43–57. London: Routledge.</w:t>
      </w:r>
    </w:p>
  </w:footnote>
  <w:footnote w:id="5">
    <w:p>
      <w:r>
        <w:rPr>
          <w:rStyle w:val="FootnoteReference"/>
        </w:rPr>
        <w:footnoteRef/>
      </w:r>
      <w:r>
        <w:rPr>
          <w:rFonts w:ascii="Arial" w:cs="Arial" w:eastAsia="Arial" w:hAnsi="Arial"/>
          <w:sz w:val="18"/>
          <w:szCs w:val="18"/>
        </w:rPr>
        <w:t xml:space="preserve">Jin, D., Yoon, K., &amp; Han, B. 2023. "Platformization of the Korean Wave: a critical perspective." Media, Culture &amp; Society. DOI: 10.1080/22041451.2023.2249776</w:t>
      </w:r>
    </w:p>
  </w:footnote>
  <w:footnote w:id="6">
    <w:p>
      <w:r>
        <w:rPr>
          <w:rStyle w:val="FootnoteReference"/>
        </w:rPr>
        <w:footnoteRef/>
      </w:r>
      <w:r>
        <w:rPr>
          <w:rFonts w:ascii="Arial" w:cs="Arial" w:eastAsia="Arial" w:hAnsi="Arial"/>
          <w:sz w:val="18"/>
          <w:szCs w:val="18"/>
        </w:rPr>
        <w:t xml:space="preserve">Bae, E., Chang, M., Park, E., &amp; Kim, D. 2017. "The effect of Hallyu on tourism in Korea." Asia Pacific Journal of Tourism Research. DOI: 10.1186/S40852-017-0075-Y</w:t>
      </w:r>
    </w:p>
  </w:footnote>
  <w:footnote w:id="7">
    <w:p>
      <w:r>
        <w:rPr>
          <w:rStyle w:val="FootnoteReference"/>
        </w:rPr>
        <w:footnoteRef/>
      </w:r>
      <w:r>
        <w:rPr>
          <w:rFonts w:ascii="Arial" w:cs="Arial" w:eastAsia="Arial" w:hAnsi="Arial"/>
          <w:sz w:val="18"/>
          <w:szCs w:val="18"/>
        </w:rPr>
        <w:t xml:space="preserve">Lee, I., &amp; Chang, P. 2019. "Cultural preferences in international trade: Evidence from the globalization of Korean pop culture." KIEP Conference Proceedings.</w:t>
      </w:r>
    </w:p>
  </w:footnote>
  <w:footnote w:id="8">
    <w:p>
      <w:r>
        <w:rPr>
          <w:rStyle w:val="FootnoteReference"/>
        </w:rPr>
        <w:footnoteRef/>
      </w:r>
      <w:r>
        <w:rPr>
          <w:rFonts w:ascii="Arial" w:cs="Arial" w:eastAsia="Arial" w:hAnsi="Arial"/>
          <w:sz w:val="18"/>
          <w:szCs w:val="18"/>
        </w:rPr>
        <w:t xml:space="preserve">Abidin, C., &amp; Lee, J. 2023. "K-pop TikTok: TikTok's expansion into South Korea, TikTok Stage, and platformed glocalization." Media International Australia. DOI: 10.1177/1329878X231186445</w:t>
      </w:r>
    </w:p>
  </w:footnote>
  <w:footnote w:id="9">
    <w:p>
      <w:r>
        <w:rPr>
          <w:rStyle w:val="FootnoteReference"/>
        </w:rPr>
        <w:footnoteRef/>
      </w:r>
      <w:r>
        <w:rPr>
          <w:rFonts w:ascii="Arial" w:cs="Arial" w:eastAsia="Arial" w:hAnsi="Arial"/>
          <w:sz w:val="18"/>
          <w:szCs w:val="18"/>
        </w:rPr>
        <w:t xml:space="preserve">Negus, K., &amp; Zhang, Q. 2020. "East Asian pop music idol production and the emergence of data fandom in China." Journalism. DOI: 10.1177/1367877920904064</w:t>
      </w:r>
    </w:p>
  </w:footnote>
  <w:footnote w:id="10">
    <w:p>
      <w:r>
        <w:rPr>
          <w:rStyle w:val="FootnoteReference"/>
        </w:rPr>
        <w:footnoteRef/>
      </w:r>
      <w:r>
        <w:rPr>
          <w:rFonts w:ascii="Arial" w:cs="Arial" w:eastAsia="Arial" w:hAnsi="Arial"/>
          <w:sz w:val="18"/>
          <w:szCs w:val="18"/>
        </w:rPr>
        <w:t xml:space="preserve">Yang, J. 2012. "The Korean Wave (Hallyu) in East Asia." Development and Society 41(2): 103–147.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1CA" w:sz="4"/>
      </w:pBdr>
      <w:spacing w:after="120"/>
      <w:jc w:val="right"/>
    </w:pPr>
    <w:r>
      <w:rPr>
        <w:rFonts w:ascii="Arial" w:cs="Arial" w:eastAsia="Arial" w:hAnsi="Arial"/>
        <w:i/>
        <w:iCs/>
        <w:color w:val="7A7974"/>
        <w:sz w:val="18"/>
        <w:szCs w:val="18"/>
      </w:rPr>
      <w:t xml:space="preserve">한류지수(KWI) 연구 종합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C4E54"/>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B474D"/>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28251D"/>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2026-06-27T11:23:58.758Z</dcterms:created>
  <dcterms:modified xsi:type="dcterms:W3CDTF">2026-06-27T11:23:58.764Z</dcterms:modified>
</cp:coreProperties>
</file>

<file path=docProps/custom.xml><?xml version="1.0" encoding="utf-8"?>
<Properties xmlns="http://schemas.openxmlformats.org/officeDocument/2006/custom-properties" xmlns:vt="http://schemas.openxmlformats.org/officeDocument/2006/docPropsVTypes"/>
</file>