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Yes this is stated in the motivation section. I ahve slightly reworded.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color w:val="CE181E"/>
        </w:rPr>
      </w:pPr>
      <w:r>
        <w:rPr>
          <w:color w:val="CE181E"/>
        </w:rPr>
        <w:t>Is there a justification? I feel like some were a mistake...</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Have update the table and moved most of the caption to the text.</w:t>
      </w:r>
    </w:p>
    <w:p>
      <w:pPr>
        <w:pStyle w:val="PreformattedText"/>
        <w:rPr/>
      </w:pPr>
      <w:r>
        <w:rPr/>
        <w:t xml:space="preserve">I have provided an RV equation in appendix. </w:t>
      </w:r>
    </w:p>
    <w:p>
      <w:pPr>
        <w:pStyle w:val="PreformattedText"/>
        <w:rPr/>
      </w:pPr>
      <w:r>
        <w:rPr/>
      </w:r>
    </w:p>
    <w:p>
      <w:pPr>
        <w:pStyle w:val="PreformattedText"/>
        <w:rPr/>
      </w:pPr>
      <w:r>
        <w:rPr/>
        <w:t>With</w:t>
      </w:r>
      <w:r>
        <w:rPr/>
        <w:t xml:space="preserve"> continuum </w:t>
      </w:r>
      <w:r>
        <w:rPr/>
        <w:t>of detector 2 I get 200-400 which matches with the values throughout text.</w:t>
      </w:r>
    </w:p>
    <w:p>
      <w:pPr>
        <w:pStyle w:val="PreformattedText"/>
        <w:rPr/>
      </w:pPr>
      <w:r>
        <w:rPr/>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It was selected by, because the shape of the spectra was different on each detector.</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t>NO</w:t>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t xml:space="preserve"> </w:t>
      </w:r>
      <w:r>
        <w:rPr/>
        <w:t>14\%  Have added numbers per each obseration</w:t>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t>NO. have added that we are not sure why it is extented.</w:t>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t>Removed glow statement</w:t>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t>Domninated by instrument profile in the NIR.</w:t>
      </w:r>
      <w:r>
        <w:rPr/>
        <w:t xml:space="preserve"> Seifart 2010. </w:t>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t>Changed to “by hand”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t>I mention this speciifcal piskorz who need to use the stellar model at 2 micron where only telluric is fine elsewhere. Need to cite more references that use both models.</w:t>
      </w:r>
    </w:p>
    <w:p>
      <w:pPr>
        <w:pStyle w:val="PreformattedText"/>
        <w:rPr/>
      </w:pPr>
      <w:r>
        <w:rPr/>
      </w:r>
    </w:p>
    <w:p>
      <w:pPr>
        <w:pStyle w:val="PreformattedText"/>
        <w:rPr/>
      </w:pPr>
      <w:r>
        <w:rPr/>
      </w:r>
    </w:p>
    <w:p>
      <w:pPr>
        <w:pStyle w:val="PreformattedText"/>
        <w:rPr/>
      </w:pPr>
      <w:r>
        <w:rPr/>
        <w:t>1</w:t>
      </w:r>
      <w:r>
        <w:rPr>
          <w:b/>
          <w:bCs/>
        </w:rPr>
        <w:t xml:space="preserve">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r>
        <w:rPr/>
        <w:t xml:space="preserv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18.  Table 5 – instead of showing the range of the model grid, show ranges used in the chi2 fits for each system.</w:t>
      </w:r>
    </w:p>
    <w:p>
      <w:pPr>
        <w:pStyle w:val="PreformattedText"/>
        <w:rPr/>
      </w:pPr>
      <w:r>
        <w:rPr/>
      </w:r>
    </w:p>
    <w:p>
      <w:pPr>
        <w:pStyle w:val="PreformattedText"/>
        <w:rPr/>
      </w:pPr>
      <w:r>
        <w:rPr/>
      </w:r>
    </w:p>
    <w:p>
      <w:pPr>
        <w:pStyle w:val="PreformattedText"/>
        <w:rPr/>
      </w:pPr>
      <w:r>
        <w:rPr/>
        <w:t>1</w:t>
      </w:r>
      <w:r>
        <w:rPr>
          <w:b/>
          <w:bCs/>
        </w:rPr>
        <w:t>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r>
    </w:p>
    <w:p>
      <w:pPr>
        <w:pStyle w:val="PreformattedText"/>
        <w:rPr>
          <w:b/>
          <w:b/>
          <w:bCs/>
        </w:rPr>
      </w:pPr>
      <w:r>
        <w:rPr>
          <w:b/>
          <w:bCs/>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r>
    </w:p>
    <w:p>
      <w:pPr>
        <w:pStyle w:val="PreformattedText"/>
        <w:rPr>
          <w:b/>
          <w:b/>
          <w:bCs/>
        </w:rPr>
      </w:pPr>
      <w:r>
        <w:rPr>
          <w:b/>
          <w:bCs/>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r>
    </w:p>
    <w:p>
      <w:pPr>
        <w:pStyle w:val="PreformattedText"/>
        <w:rPr/>
      </w:pPr>
      <w:r>
        <w:rPr/>
        <w:t>2</w:t>
      </w:r>
      <w:r>
        <w:rPr>
          <w:b/>
          <w:bCs/>
        </w:rPr>
        <w:t xml:space="preserve">2.  When introducing the high dimensionality of the binary model, explicitly list all parameters that are included in that model.  In addition, instead of fixing most of the parameters, why not do a 2-step grid search, one coarse, another fine? </w:t>
      </w:r>
      <w:r>
        <w:rPr/>
        <w:t xml:space="preserve"> </w:t>
      </w:r>
    </w:p>
    <w:p>
      <w:pPr>
        <w:pStyle w:val="PreformattedText"/>
        <w:rPr/>
      </w:pPr>
      <w:r>
        <w:rPr/>
      </w:r>
    </w:p>
    <w:p>
      <w:pPr>
        <w:pStyle w:val="PreformattedText"/>
        <w:rPr/>
      </w:pPr>
      <w:r>
        <w:rPr/>
      </w:r>
    </w:p>
    <w:p>
      <w:pPr>
        <w:pStyle w:val="PreformattedText"/>
        <w:rPr/>
      </w:pPr>
      <w:r>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 xml:space="preserve">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  </w:t>
      </w:r>
    </w:p>
    <w:p>
      <w:pPr>
        <w:pStyle w:val="PreformattedText"/>
        <w:rPr/>
      </w:pPr>
      <w:r>
        <w:rPr/>
      </w:r>
    </w:p>
    <w:p>
      <w:pPr>
        <w:pStyle w:val="PreformattedText"/>
        <w:rPr/>
      </w:pPr>
      <w:r>
        <w:rPr/>
        <w:t>27.  Fig. 7 – in the caption, explicitly state that these ± 100 K error bars are from the grid size.</w:t>
      </w:r>
    </w:p>
    <w:p>
      <w:pPr>
        <w:pStyle w:val="PreformattedText"/>
        <w:rPr/>
      </w:pPr>
      <w:r>
        <w:rPr/>
      </w:r>
    </w:p>
    <w:p>
      <w:pPr>
        <w:pStyle w:val="PreformattedText"/>
        <w:rPr/>
      </w:pPr>
      <w:r>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t>29. I disagree with the characterization of this study as “exploratory” – detecting faint companions using high-res NIR spectra is not new, and has been thought about by a number of groups (i.e. Birkby et al 2017, Snellen et al 2010, Piskorz et al 2016).</w:t>
      </w:r>
    </w:p>
    <w:p>
      <w:pPr>
        <w:pStyle w:val="PreformattedText"/>
        <w:rPr/>
      </w:pPr>
      <w:r>
        <w:rPr/>
      </w:r>
    </w:p>
    <w:p>
      <w:pPr>
        <w:pStyle w:val="PreformattedText"/>
        <w:rPr/>
      </w:pPr>
      <w:r>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t>32.  At the start of section 7.1.5, it is unclear if the statement regarding the wavelength range being not the best choice was referring to the original plan to do direct subtraction, or for the chi2 method.  Please clarify.</w:t>
      </w:r>
    </w:p>
    <w:p>
      <w:pPr>
        <w:pStyle w:val="PreformattedText"/>
        <w:rPr/>
      </w:pPr>
      <w:r>
        <w:rPr/>
      </w:r>
    </w:p>
    <w:p>
      <w:pPr>
        <w:pStyle w:val="PreformattedText"/>
        <w:rPr/>
      </w:pPr>
      <w:r>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 the statement that the spectral recovery method is equivalent is incorrect.  The original goal of the study (as motivated in the paper) was to get mass measurements – this is not possible with the chi2 method.  Finally, please cite studies that indicate issues with model mismatches.  I’ll note that the limitation with this study seems to be getting a good fit to the stellar spectrum – other studies have been able to do this (in particular when trying to detect faint companions), so it does not seem like models are entirely to blame here.  There are als!</w:t>
      </w:r>
    </w:p>
    <w:p>
      <w:pPr>
        <w:pStyle w:val="PreformattedText"/>
        <w:rPr/>
      </w:pPr>
      <w:r>
        <w:rPr/>
        <w:t xml:space="preserve"> </w:t>
      </w:r>
      <w:r>
        <w:rPr/>
        <w:t xml:space="preserve">o better </w:t>
      </w:r>
    </w:p>
    <w:p>
      <w:pPr>
        <w:pStyle w:val="PreformattedText"/>
        <w:rPr/>
      </w:pPr>
      <w:r>
        <w:rPr/>
        <w:t xml:space="preserve"> </w:t>
      </w:r>
      <w:r>
        <w:rPr/>
        <w:t>methods for detecting faint companions that have been demonstrated previously (such as the cross-correlation method).</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1230</TotalTime>
  <Application>LibreOffice/6.0.5.2$Linux_X86_64 LibreOffice_project/00$Build-2</Application>
  <Pages>6</Pages>
  <Words>2349</Words>
  <Characters>11396</Characters>
  <CharactersWithSpaces>13826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2018-07-27T17:12:55Z</dcterms:modified>
  <cp:revision>6</cp:revision>
  <dc:subject/>
  <dc:title/>
</cp:coreProperties>
</file>