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6C353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bCs w:val="0"/>
          <w:sz w:val="32"/>
          <w:szCs w:val="32"/>
        </w:rPr>
      </w:pPr>
      <w:r>
        <w:rPr>
          <w:rFonts w:hint="eastAsia" w:ascii="宋体" w:hAnsi="宋体" w:eastAsia="宋体" w:cs="宋体"/>
          <w:b/>
          <w:bCs w:val="0"/>
          <w:sz w:val="32"/>
          <w:szCs w:val="32"/>
        </w:rPr>
        <w:t>数据集消息类型可视化分析</w:t>
      </w:r>
    </w:p>
    <w:p w14:paraId="4E049BA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团队成员：</w:t>
      </w:r>
    </w:p>
    <w:p w14:paraId="22E45FA6">
      <w:pPr>
        <w:spacing w:before="120" w:after="120" w:line="288" w:lineRule="auto"/>
        <w:ind w:left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楼昊，大数据2301，2302100119，统领+整合+优化</w:t>
      </w:r>
    </w:p>
    <w:p w14:paraId="1B66B56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朱文杰，大数据2301，2302100120，问题1和2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马均豪，大数据2301，2302100123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，整合+写报告</w:t>
      </w:r>
    </w:p>
    <w:p w14:paraId="727ECE2F">
      <w:pPr>
        <w:spacing w:before="120" w:after="120" w:line="288" w:lineRule="auto"/>
        <w:ind w:left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黄克轩，大数据2301，2302100135，汇报演讲</w:t>
      </w:r>
    </w:p>
    <w:p w14:paraId="5778C2F8">
      <w:pPr>
        <w:spacing w:before="120" w:after="120" w:line="288" w:lineRule="auto"/>
        <w:ind w:left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潘永川，大数据2301，2302100110，PPT+问题3</w:t>
      </w:r>
      <w:bookmarkStart w:id="3" w:name="_GoBack"/>
      <w:bookmarkEnd w:id="3"/>
    </w:p>
    <w:p w14:paraId="0EFD9AF5">
      <w:pPr>
        <w:spacing w:before="120" w:after="120" w:line="288" w:lineRule="auto"/>
        <w:ind w:left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CC2B2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学生团队：是</w:t>
      </w:r>
    </w:p>
    <w:p w14:paraId="233EB7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使用的工具：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Trae CN,auto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23B9841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大约总共花了多少小时来完成这次提交？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</w:t>
      </w:r>
      <w:r>
        <w:rPr>
          <w:rFonts w:hint="eastAsia" w:ascii="宋体" w:hAnsi="宋体" w:eastAsia="宋体" w:cs="宋体"/>
          <w:sz w:val="24"/>
          <w:szCs w:val="24"/>
        </w:rPr>
        <w:t>小时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bookmarkStart w:id="0" w:name="heading_0"/>
    </w:p>
    <w:p w14:paraId="3153DBC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问题与挑战</w:t>
      </w:r>
      <w:bookmarkEnd w:id="0"/>
    </w:p>
    <w:p w14:paraId="35ECE9F1">
      <w:pPr>
        <w:widowControl w:val="0"/>
        <w:spacing w:before="120" w:after="120" w:line="288" w:lineRule="auto"/>
        <w:ind w:left="0" w:leftChars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您的任务是依托可视化分析，对2014年1月23日阿比拉发生的多起事件开展回顾性研判。您需要整合两类核心数据流：经自动过滤器筛选的微型博客记录、阿比拉与克罗诺斯地方警察和消防部门的紧急调度文字记录，同时可查阅阿比拉地图与背景资料，评估公众面临的风险水平动态变化，并制定对应的行动建议。</w:t>
      </w:r>
    </w:p>
    <w:p w14:paraId="491CF37B">
      <w:pPr>
        <w:keepNext w:val="0"/>
        <w:keepLines w:val="0"/>
        <w:widowControl/>
        <w:suppressLineNumbers w:val="0"/>
        <w:spacing w:before="0" w:beforeAutospacing="0" w:after="0" w:afterAutospacing="0" w:line="180" w:lineRule="atLeast"/>
        <w:ind w:left="0" w:leftChars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分析需借助可视化手段完成以下核心任务：区分数据集中不同类型的信息特征，辨析有效事件报告与普通闲聊、垃圾信息的差异；呈现并评估事件当晚公众风险水平的演变过程，分析潜在后果与受影响人群规模；制定第一响应团队的部署方案，并对比事后复盘与实时响应的处置差异；同时说明在当下年份处理同类事件时，可采用的差异化应对策略。</w:t>
      </w:r>
    </w:p>
    <w:p w14:paraId="68DD7E9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系统概况</w:t>
      </w:r>
      <w:bookmarkEnd w:id="1"/>
    </w:p>
    <w:p w14:paraId="0A2BF4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05DA239F">
      <w:pPr>
        <w:numPr>
          <w:ilvl w:val="0"/>
          <w:numId w:val="0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  <w:bookmarkStart w:id="2" w:name="heading_3"/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MC3.1：</w:t>
      </w:r>
      <w:r>
        <w:rPr>
          <w:rFonts w:hint="eastAsia" w:ascii="宋体" w:hAnsi="宋体" w:eastAsia="宋体" w:cs="宋体"/>
          <w:b/>
          <w:sz w:val="24"/>
          <w:szCs w:val="24"/>
        </w:rPr>
        <w:t>利用可视化分析，描述数据集中不同类型的内容。有意义的事件报告与普通聊天、垃圾信息、垃圾信息有什么区别?请将你的回答限制在8张图片和500字以内。</w:t>
      </w:r>
    </w:p>
    <w:bookmarkEnd w:id="2"/>
    <w:p w14:paraId="10A8C1E2">
      <w:pPr>
        <w:numPr>
          <w:ilvl w:val="0"/>
          <w:numId w:val="0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818640" cy="1800225"/>
            <wp:effectExtent l="0" t="0" r="635" b="0"/>
            <wp:docPr id="2" name="图片 2" descr="task1_fig1_content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ask1_fig1_content_distribut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416175" cy="1440180"/>
            <wp:effectExtent l="0" t="0" r="3175" b="7620"/>
            <wp:docPr id="1" name="图片 1" descr="task1_fig2_msg_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ask1_fig2_msg_lengt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416175" cy="1440180"/>
            <wp:effectExtent l="0" t="0" r="3175" b="7620"/>
            <wp:docPr id="3" name="图片 3" descr="task1_fig6_length_box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ask1_fig6_length_boxpl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417445" cy="1440180"/>
            <wp:effectExtent l="0" t="0" r="1905" b="7620"/>
            <wp:docPr id="4" name="图片 4" descr="task1_fig3_hasht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ask1_fig3_hashtag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1509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1为内容类型分布饼图，数据中垃圾信息占比最高，事件报告与其他类型占比相近，普通闲聊占比最低。结合图2、图6可见，垃圾信息不仅平均文本长度最长，长度离散程度也最大，文本格式杂乱；事件报告平均长度次之，篇幅分布集中稳定；闲聊类消息字符数最少，长度波动极小。图3标签统计结果显示，垃圾信息大量使用话题标签用于引流，其余三类内容标签使用频次普遍偏低。</w:t>
      </w:r>
    </w:p>
    <w:p w14:paraId="0566D73E">
      <w:pPr>
        <w:numPr>
          <w:ilvl w:val="0"/>
          <w:numId w:val="0"/>
        </w:numPr>
        <w:spacing w:before="300" w:after="120" w:line="288" w:lineRule="auto"/>
        <w:ind w:leftChars="0"/>
        <w:jc w:val="center"/>
        <w:outlineLvl w:val="2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907030" cy="1440180"/>
            <wp:effectExtent l="0" t="0" r="7620" b="7620"/>
            <wp:docPr id="5" name="图片 5" descr="task1_fig4_time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ask1_fig4_time_distributi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018155" cy="1800225"/>
            <wp:effectExtent l="0" t="0" r="1270" b="0"/>
            <wp:docPr id="6" name="图片 6" descr="task1_fig5_author_pres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ask1_fig5_author_presen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AC1F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4时序折线图体现出明显差异：事件报告呈脉冲式爆发，集中在特定时段出现峰值，和突发事件高度关联；垃圾信息、闲聊、其他内容全天发布节奏平稳。图5作者存在率柱状图表明，事件报告存在匿名发布现象，作者留存率偏低，另外三类消息基本均标注完整作者信息。</w:t>
      </w:r>
    </w:p>
    <w:p w14:paraId="20E9E7F1">
      <w:pPr>
        <w:numPr>
          <w:ilvl w:val="0"/>
          <w:numId w:val="0"/>
        </w:numPr>
        <w:spacing w:before="300" w:after="120" w:line="288" w:lineRule="auto"/>
        <w:ind w:leftChars="0"/>
        <w:jc w:val="center"/>
        <w:outlineLvl w:val="2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021965" cy="1800225"/>
            <wp:effectExtent l="0" t="0" r="6985" b="0"/>
            <wp:docPr id="8" name="图片 8" descr="task1_fig7_source_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ask1_fig7_source_typ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907405" cy="2520315"/>
            <wp:effectExtent l="0" t="0" r="7620" b="3810"/>
            <wp:docPr id="7" name="图片 7" descr="task1_fig8_word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ask1_fig8_word_comparis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23AE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图7展示数据源与内容的关联：官方调度数据源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ccdata</w:t>
      </w:r>
      <w:r>
        <w:rPr>
          <w:rFonts w:hint="eastAsia" w:ascii="宋体" w:hAnsi="宋体" w:eastAsia="宋体" w:cs="宋体"/>
          <w:sz w:val="24"/>
          <w:szCs w:val="24"/>
        </w:rPr>
        <w:t>仅产生事件报告，是应急信息专属渠道；社交数据源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mbdata</w:t>
      </w:r>
      <w:r>
        <w:rPr>
          <w:rFonts w:hint="eastAsia" w:ascii="宋体" w:hAnsi="宋体" w:eastAsia="宋体" w:cs="宋体"/>
          <w:sz w:val="24"/>
          <w:szCs w:val="24"/>
        </w:rPr>
        <w:t>混杂全部四类消息，信息复杂度高。图8词汇对比图进一步区分语义：事件报告高频词以火情、警务、集会等应急相关词汇为主，偏向事件纪实；垃圾信息则以营销、推广类词汇为主，商业引流属性显著。</w:t>
      </w:r>
    </w:p>
    <w:p w14:paraId="6999AFD3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类消息特征区分度极高。事件报告依托官方渠道、随突发事件集中发布、用词贴合应急场景，存在匿名发布情况；垃圾信息文本冗长、滥用标签、营销语义突出，全天候均匀发布；闲聊内容简短、发布平稳、体量最少；其余内容各项特征介于中间水平。</w:t>
      </w:r>
    </w:p>
    <w:p w14:paraId="7901CDD3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1B346ED8">
      <w:pPr>
        <w:numPr>
          <w:ilvl w:val="0"/>
          <w:numId w:val="0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MC3.</w:t>
      </w:r>
      <w:r>
        <w:rPr>
          <w:rFonts w:hint="eastAsia" w:ascii="宋体" w:hAnsi="宋体" w:cs="宋体"/>
          <w:b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/>
          <w:sz w:val="24"/>
          <w:szCs w:val="24"/>
        </w:rPr>
        <w:t>利用可视化分析来表现和评估公众风险水平在当晚的演变。考虑这种情况可能带来的后果以及可能受影响的人数。请将你的回答限制在10张图片和1000字以内。任务的内容编写</w:t>
      </w:r>
    </w:p>
    <w:p w14:paraId="6E1776B7">
      <w:p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2BF79E0">
      <w:p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312670" cy="1440180"/>
            <wp:effectExtent l="0" t="0" r="1905" b="7620"/>
            <wp:docPr id="11" name="图片 11" descr="图3_消息量与风险关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3_消息量与风险关联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898775" cy="1440180"/>
            <wp:effectExtent l="0" t="0" r="6350" b="7620"/>
            <wp:docPr id="9" name="图片 9" descr="图1_风险水平演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1_风险水平演变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973955" cy="2160270"/>
            <wp:effectExtent l="0" t="0" r="7620" b="1905"/>
            <wp:docPr id="10" name="图片 10" descr="图2_事件类型时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2_事件类型时间线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E75D">
      <w:p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公共风险水平演变：</w:t>
      </w:r>
    </w:p>
    <w:p w14:paraId="3469CC20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①17:00-18:30期间，平均风险维持在0-1区间，最高风险出现数次小幅波动（峰值约4），主要由PK集会和零星火灾事件驱动，处于风险酝酿期。</w:t>
      </w:r>
    </w:p>
    <w:p w14:paraId="44CE068D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②18:30起火灾事件急剧增加（累积曲线斜率显著上升），风险分数从3快速攀升至4.5，标志着"火灾爆发"阶段的开始，进入风险攀升期。</w:t>
      </w:r>
    </w:p>
    <w:p w14:paraId="2AE93E41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③19:30-21:30期间，风险进入红色警戒区域，先后爆发人质危机、特警行动、枪击事件和爆炸事件，最高风险持续维持在4-5.5高位，处于高危集中期。</w:t>
      </w:r>
    </w:p>
    <w:p w14:paraId="466AC41E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事件类型分析：</w:t>
      </w:r>
    </w:p>
    <w:p w14:paraId="3032778C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①火灾事件数量最多，累积超过500起，持续时间最长，风险峰值达4.5。</w:t>
      </w:r>
    </w:p>
    <w:p w14:paraId="13B2D41A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②人质事件风险等级最高（峰值5.0），持续时间超过2小时，与特警行动时段高度重合。</w:t>
      </w:r>
    </w:p>
    <w:p w14:paraId="1B0217B4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③枪击事件和爆炸事件虽持续时间较短，但突发性强，风险峰值分别达到4.5和5.5，表明暴力程度升级。</w:t>
      </w:r>
    </w:p>
    <w:p w14:paraId="268D64C9">
      <w:pPr>
        <w:spacing w:before="120" w:after="120" w:line="288" w:lineRule="auto"/>
        <w:ind w:left="0"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888615" cy="1800225"/>
            <wp:effectExtent l="0" t="0" r="6985" b="0"/>
            <wp:docPr id="12" name="图片 12" descr="图6_事件风险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6_事件风险热力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599815" cy="1786890"/>
            <wp:effectExtent l="0" t="0" r="635" b="3810"/>
            <wp:docPr id="13" name="图片 13" descr="图8_高风险事件累积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8_高风险事件累积曲线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06C0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风险关联性分析：</w:t>
      </w:r>
    </w:p>
    <w:p w14:paraId="49A3F3F3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①消息量与风险水平呈现显著正相关，19:30-20:00消息量达到峰值，对应最高风险攀升至5.0。</w:t>
      </w:r>
    </w:p>
    <w:p w14:paraId="14C5DD02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②各类型高风险事件在时间上存在叠加效应，火灾与人质危机、枪击与爆炸事件先后发生，形成复合型危机态势。</w:t>
      </w:r>
    </w:p>
    <w:p w14:paraId="5DCFD820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后果评估：</w:t>
      </w:r>
    </w:p>
    <w:p w14:paraId="5B0E66AF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①火灾事件累积数量大，可能导致大规模财产损失和人员伤亡。</w:t>
      </w:r>
    </w:p>
    <w:p w14:paraId="2E64D93D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②人质危机持续时间长，涉及警方与劫持者对峙，存在人质生命安全风险。</w:t>
      </w:r>
    </w:p>
    <w:p w14:paraId="298D327A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③枪击和爆炸事件表明暴力升级，可能引发公众恐慌，受影响人群范围广。</w:t>
      </w:r>
    </w:p>
    <w:p w14:paraId="703F272D">
      <w:pPr>
        <w:spacing w:before="120" w:after="120" w:line="288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综合研判事件潜在后果与受影响人群：</w:t>
      </w:r>
    </w:p>
    <w:p w14:paraId="51CF0615">
      <w:pPr>
        <w:spacing w:before="120" w:after="120" w:line="288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本次突发事件具备突发性、传播性强的特点，易引发人身安全隐患、局部秩序紊乱、交通通行受阻、正常生活运转中断等一系列问题。</w:t>
      </w:r>
      <w:r>
        <w:rPr>
          <w:rFonts w:hint="eastAsia" w:ascii="宋体" w:hAnsi="宋体" w:eastAsia="宋体" w:cs="宋体"/>
          <w:sz w:val="24"/>
          <w:szCs w:val="24"/>
        </w:rPr>
        <w:t>当晚19:30-21:00为风险最为严峻的时段，多种高风险事件叠加爆发，形成"火灾+人质+枪击+爆炸"的复合型危机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依托双渠道海量信息传播范围判断，事件影响覆盖阿比拉全域，城区绝大多数居民均受到波及，人流密集区域、事发周边地带受影响程度最深。整体而言，当晚公众风险随应急事件的发展同步起伏，多类可视化数据相互印证，完整还原了风险演变全过程，也直观体现出信息混杂给应急处置带来的额外挑战。</w:t>
      </w:r>
    </w:p>
    <w:p w14:paraId="040DBB3B">
      <w:p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01A35B8">
      <w:pPr>
        <w:spacing w:before="120" w:after="120" w:line="288" w:lineRule="auto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MC3.</w:t>
      </w:r>
      <w:r>
        <w:rPr>
          <w:rFonts w:hint="eastAsia" w:ascii="宋体" w:hAnsi="宋体" w:cs="宋体"/>
          <w:b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/>
          <w:sz w:val="24"/>
          <w:szCs w:val="24"/>
        </w:rPr>
        <w:t>如果你能派一支第一响应者团队去任何一个地方，你会去哪里?请说明你的理由。如果你必须实时回应事件，而不是事后回应，你的反应会有什么不同?请将你的回答限制在8张图片和500字以内。</w:t>
      </w:r>
    </w:p>
    <w:p w14:paraId="7D3379F8">
      <w:pPr>
        <w:spacing w:before="120" w:after="120" w:line="288" w:lineRule="auto"/>
        <w:jc w:val="center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drawing>
          <wp:inline distT="0" distB="0" distL="114300" distR="114300">
            <wp:extent cx="2554605" cy="1440180"/>
            <wp:effectExtent l="0" t="0" r="7620" b="7620"/>
            <wp:docPr id="17" name="图片 17" descr="19点半-21点事件地点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9点半-21点事件地点热力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sz w:val="24"/>
          <w:szCs w:val="24"/>
        </w:rPr>
        <w:drawing>
          <wp:inline distT="0" distB="0" distL="114300" distR="114300">
            <wp:extent cx="2553970" cy="1440180"/>
            <wp:effectExtent l="0" t="0" r="8255" b="7620"/>
            <wp:docPr id="16" name="图片 16" descr="18点-19点半事件地点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8点-19点半事件地点热力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sz w:val="24"/>
          <w:szCs w:val="24"/>
        </w:rPr>
        <w:drawing>
          <wp:inline distT="0" distB="0" distL="114300" distR="114300">
            <wp:extent cx="3192780" cy="1800225"/>
            <wp:effectExtent l="0" t="0" r="7620" b="0"/>
            <wp:docPr id="15" name="图片 15" descr="18点以前事件地点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8点以前事件地点热力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8073">
      <w:pPr>
        <w:spacing w:before="120" w:after="120" w:line="288" w:lineRule="auto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选址决策：优先派往经度24.85-24.86、纬度36.06附近的中西部聚类区域</w:t>
      </w:r>
    </w:p>
    <w:p w14:paraId="001875F2">
      <w:pPr>
        <w:spacing w:before="120" w:after="120" w:line="288" w:lineRule="auto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理由： </w:t>
      </w:r>
    </w:p>
    <w:p w14:paraId="14F52D2A">
      <w:pPr>
        <w:numPr>
          <w:ilvl w:val="0"/>
          <w:numId w:val="0"/>
        </w:numPr>
        <w:spacing w:before="120" w:after="120" w:line="288" w:lineRule="auto"/>
        <w:ind w:left="0" w:leftChars="0" w:firstLine="400" w:firstLineChars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时段风险爆发极强：19:30-21:00该区域事件数45、总风险102.0，是全时段全区域最高风险点；全天汇总图里这里总事件65、平均风险2.2，是全城风险最集中、单事件风险最高的片区。 </w:t>
      </w:r>
    </w:p>
    <w:p w14:paraId="16E9CDB2">
      <w:pPr>
        <w:numPr>
          <w:ilvl w:val="0"/>
          <w:numId w:val="0"/>
        </w:numPr>
        <w:spacing w:before="120" w:after="120" w:line="288" w:lineRule="auto"/>
        <w:ind w:left="0" w:leftChars="0" w:firstLine="4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趋势预判匹配：折线图显示19: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0后总风险值陡拉至峰值，该片区正是本轮风险飙升的核心源头，提前布防能拦截绝大多数高风险事件。 </w:t>
      </w:r>
    </w:p>
    <w:p w14:paraId="7EC717F2">
      <w:pPr>
        <w:numPr>
          <w:ilvl w:val="0"/>
          <w:numId w:val="0"/>
        </w:numPr>
        <w:spacing w:before="120" w:after="120" w:line="288" w:lineRule="auto"/>
        <w:ind w:left="0" w:leftChars="0" w:firstLine="400" w:firstLineChars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③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风险增长幅度最大：18:00前该片区仅14起事件、总风险10.0，后续风险量级暴涨，是风险增量最突出的区域，提前派驻能最大化降低后续整体损失。 </w:t>
      </w:r>
    </w:p>
    <w:p w14:paraId="313FDF7E">
      <w:pPr>
        <w:numPr>
          <w:ilvl w:val="0"/>
          <w:numId w:val="0"/>
        </w:numPr>
        <w:spacing w:before="120" w:after="120" w:line="288" w:lineRule="auto"/>
        <w:ind w:left="0" w:leftChars="0" w:firstLine="400" w:firstLine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1705610"/>
            <wp:effectExtent l="0" t="0" r="8890" b="889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93F08">
      <w:pPr>
        <w:numPr>
          <w:ilvl w:val="0"/>
          <w:numId w:val="0"/>
        </w:numPr>
        <w:spacing w:before="120" w:after="120" w:line="288" w:lineRule="auto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实时响应和事后派驻的差异 </w:t>
      </w:r>
    </w:p>
    <w:p w14:paraId="0E4C3DBD">
      <w:pPr>
        <w:numPr>
          <w:ilvl w:val="0"/>
          <w:numId w:val="0"/>
        </w:numPr>
        <w:spacing w:before="120" w:after="120" w:line="288" w:lineRule="auto"/>
        <w:ind w:left="0" w:leftChars="0" w:firstLine="400" w:firstLineChars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事后派驻：可根据分时段热力图锁定全天最高累计风险区，提前固定驻扎点位，长期覆盖高发时段，压制持续性集群风险。 </w:t>
      </w:r>
    </w:p>
    <w:p w14:paraId="5C2F1007">
      <w:pPr>
        <w:numPr>
          <w:ilvl w:val="0"/>
          <w:numId w:val="0"/>
        </w:numPr>
        <w:spacing w:before="120" w:after="120" w:line="288" w:lineRule="auto"/>
        <w:ind w:left="0" w:leftChars="0" w:firstLine="4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实时响应：要跟着折线的实时波动动态调整： </w:t>
      </w:r>
    </w:p>
    <w:p w14:paraId="698B1692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- 18:00：东西两片风险平稳偏低，可分少量人力兼顾两片常规点位； </w:t>
      </w:r>
    </w:p>
    <w:p w14:paraId="3A564E15">
      <w:pPr>
        <w:numPr>
          <w:ilvl w:val="0"/>
          <w:numId w:val="0"/>
        </w:numPr>
        <w:spacing w:before="120" w:after="120" w:line="288" w:lineRule="auto"/>
        <w:ind w:left="479" w:leftChars="228" w:firstLine="0" w:firstLineChars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- 19:30：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东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部片区风险开始抬升，逐步增派力量向该区域倾斜； -  </w:t>
      </w:r>
    </w:p>
    <w:p w14:paraId="295C0C05">
      <w:pPr>
        <w:numPr>
          <w:ilvl w:val="0"/>
          <w:numId w:val="0"/>
        </w:numPr>
        <w:spacing w:before="120" w:after="120" w:line="288" w:lineRule="auto"/>
        <w:ind w:left="479" w:leftChars="228" w:firstLine="0" w:firstLineChars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- 2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:00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风险出现二次波动，需保留主力在核心区，分小部分人手兼顾东部两个次级热点的零星事件。</w:t>
      </w:r>
    </w:p>
    <w:p w14:paraId="5D46A346">
      <w:pPr>
        <w:numPr>
          <w:ilvl w:val="0"/>
          <w:numId w:val="0"/>
        </w:numPr>
        <w:spacing w:before="120" w:after="120" w:line="288" w:lineRule="auto"/>
        <w:ind w:left="479" w:leftChars="228" w:firstLine="480" w:firstLineChars="20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整体实时响应更侧重随分钟级趋势动态调度兵力，而非固定驻守，要匹配风险起伏灵活分配资源。 </w:t>
      </w:r>
    </w:p>
    <w:p w14:paraId="051B04F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drawing>
          <wp:inline distT="0" distB="0" distL="114300" distR="114300">
            <wp:extent cx="5269230" cy="1440180"/>
            <wp:effectExtent l="0" t="0" r="7620" b="7620"/>
            <wp:docPr id="14" name="图片 14" descr="newplo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newplot (1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A3FD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128B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82235A0"/>
    <w:rsid w:val="096E5D09"/>
    <w:rsid w:val="29D948D8"/>
    <w:rsid w:val="47B80230"/>
    <w:rsid w:val="4D8B2166"/>
    <w:rsid w:val="6E032B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2406</Words>
  <Characters>2632</Characters>
  <TotalTime>347</TotalTime>
  <ScaleCrop>false</ScaleCrop>
  <LinksUpToDate>false</LinksUpToDate>
  <CharactersWithSpaces>2654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2026-06-08T06:05:00Z</dcterms:created>
  <dc:creator>Apache POI</dc:creator>
  <cp:lastModifiedBy>又有填表！</cp:lastModifiedBy>
  <dcterms:modified xsi:type="dcterms:W3CDTF">2026-06-10T15:55:29Z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{"Label":"1","ContentProducer":"001191110102MACQD9K64010000","ProduceID":"7648901715651005644","ReservedCode1":"","ContentPropagator":"","PropagateID":"","ReservedCode2":""}</vt:lpwstr>
  </property>
  <property fmtid="{D5CDD505-2E9C-101B-9397-08002B2CF9AE}" pid="3" name="KSOTemplateDocerSaveRecord">
    <vt:lpwstr>eyJoZGlkIjoiNDFmNGY0N2IwN2Q1ZmY0NjE1OWYwZTA2YjRhYzMxN2EiLCJ1c2VySWQiOiIyNDQ1ODE3MDgifQ==</vt:lpwstr>
  </property>
  <property fmtid="{D5CDD505-2E9C-101B-9397-08002B2CF9AE}" pid="4" name="KSOProductBuildVer">
    <vt:lpwstr>2052-12.1.0.26375</vt:lpwstr>
  </property>
  <property fmtid="{D5CDD505-2E9C-101B-9397-08002B2CF9AE}" pid="5" name="ICV">
    <vt:lpwstr>956C8D383AD14482967F65261D347600_12</vt:lpwstr>
  </property>
</Properties>
</file>