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D897E">
      <w:pPr>
        <w:spacing w:before="480" w:after="480" w:line="288" w:lineRule="auto"/>
        <w:jc w:val="center"/>
        <w:rPr>
          <w:rFonts w:hint="eastAsia" w:ascii="宋体" w:hAnsi="宋体" w:cs="宋体"/>
          <w:b/>
          <w:sz w:val="32"/>
          <w:szCs w:val="32"/>
        </w:rPr>
      </w:pPr>
      <w:r>
        <w:rPr>
          <w:rFonts w:hint="eastAsia" w:ascii="宋体" w:hAnsi="宋体" w:cs="宋体"/>
          <w:b/>
          <w:sz w:val="32"/>
          <w:szCs w:val="32"/>
        </w:rPr>
        <w:t>数据集消息类型可视化分析</w:t>
      </w:r>
    </w:p>
    <w:p w14:paraId="52507260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团队成员：</w:t>
      </w:r>
    </w:p>
    <w:p w14:paraId="7340B147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楼昊，大数据2301，2302100119，统领+整合+优化</w:t>
      </w:r>
    </w:p>
    <w:p w14:paraId="14364885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朱文杰，大数据2301，2302100120，问题1和2</w:t>
      </w:r>
    </w:p>
    <w:p w14:paraId="13DDD9EC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马均豪，大数据2301，2302100123，整合+写报告</w:t>
      </w:r>
    </w:p>
    <w:p w14:paraId="40FDE037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黄克轩，大数据2301，2302100135，汇报演讲</w:t>
      </w:r>
    </w:p>
    <w:p w14:paraId="668F81A2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潘永川，大数据2301，2302100110，PPT+问题3</w:t>
      </w:r>
    </w:p>
    <w:p w14:paraId="2A6D1405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</w:p>
    <w:p w14:paraId="35A5DA6F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学生团队：是</w:t>
      </w:r>
    </w:p>
    <w:p w14:paraId="36B9AD44">
      <w:pPr>
        <w:spacing w:before="120" w:after="120" w:line="276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</w:rPr>
        <w:t>使用的工具：Trae</w:t>
      </w:r>
      <w:r>
        <w:rPr>
          <w:rFonts w:hint="eastAsia" w:ascii="宋体" w:hAnsi="宋体" w:cs="宋体"/>
          <w:sz w:val="24"/>
          <w:szCs w:val="24"/>
          <w:lang w:val="en-US" w:eastAsia="zh-CN"/>
        </w:rPr>
        <w:t>,DeepSeek-V4</w:t>
      </w:r>
    </w:p>
    <w:p w14:paraId="0C38D47C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大约总共花了多少小时来完成这次提交？</w:t>
      </w:r>
      <w:r>
        <w:rPr>
          <w:rFonts w:hint="eastAsia" w:ascii="宋体" w:hAnsi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</w:rPr>
        <w:t>100小时</w:t>
      </w:r>
      <w:bookmarkStart w:id="3" w:name="_GoBack"/>
      <w:bookmarkEnd w:id="3"/>
      <w:r>
        <w:rPr>
          <w:rFonts w:hint="eastAsia" w:ascii="宋体" w:hAnsi="宋体" w:cs="宋体"/>
          <w:sz w:val="24"/>
          <w:szCs w:val="24"/>
        </w:rPr>
        <w:br w:type="textWrapping"/>
      </w:r>
      <w:bookmarkStart w:id="0" w:name="heading_0"/>
    </w:p>
    <w:p w14:paraId="7B3C5729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问题与挑战</w:t>
      </w:r>
      <w:bookmarkEnd w:id="0"/>
    </w:p>
    <w:p w14:paraId="54E8AFFC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bookmarkStart w:id="1" w:name="heading_1"/>
      <w:r>
        <w:rPr>
          <w:rFonts w:hint="eastAsia" w:ascii="宋体" w:hAnsi="宋体" w:cs="宋体"/>
          <w:sz w:val="24"/>
          <w:szCs w:val="24"/>
        </w:rPr>
        <w:t>您的任务是依托可视化分析，对2014年1月23日阿比拉发生的多起事件开展回顾性研判。您需要整合两类核心数据流：经自动过滤器筛选的微型博客记录、阿比拉与克罗诺斯地方警察和消防部门的紧急调度文字记录，同时可查阅阿比拉地图与背景资料，评估公众面临的风险水平动态变化，并制定对应的行动建议。</w:t>
      </w:r>
    </w:p>
    <w:p w14:paraId="7DB44C8E">
      <w:pPr>
        <w:widowControl/>
        <w:spacing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本次分析需借助可视化手段完成以下核心任务：区分数据集中不同类型的信息特征，辨析有效事件报告与普通闲聊、垃圾信息的差异；呈现并评估事件当晚公众风险水平的演变过程，分析潜在后果与受影响人群规模；制定第一响应团队的部署方案，并对比事后复盘与实时响应的处置差异；同时说明在当下年份处理同类事件时，可采用的差异化应对策略。</w:t>
      </w:r>
    </w:p>
    <w:p w14:paraId="08E9E704">
      <w:pPr>
        <w:spacing w:before="320" w:after="120" w:line="276" w:lineRule="auto"/>
        <w:jc w:val="left"/>
        <w:outlineLvl w:val="1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系统概况</w:t>
      </w:r>
      <w:bookmarkEnd w:id="1"/>
    </w:p>
    <w:p w14:paraId="105028A6">
      <w:pPr>
        <w:pBdr>
          <w:bottom w:val="single" w:color="DEE0E3" w:sz="2" w:space="0"/>
          <w:between w:val="single" w:color="DEE0E3" w:sz="2" w:space="0"/>
        </w:pBdr>
        <w:spacing w:before="120" w:after="120" w:line="276" w:lineRule="auto"/>
        <w:rPr>
          <w:rFonts w:hint="eastAsia" w:ascii="宋体" w:hAnsi="宋体" w:cs="宋体"/>
          <w:sz w:val="24"/>
          <w:szCs w:val="24"/>
        </w:rPr>
      </w:pPr>
    </w:p>
    <w:p w14:paraId="6E341183">
      <w:pPr>
        <w:spacing w:before="300" w:after="120" w:line="276" w:lineRule="auto"/>
        <w:jc w:val="left"/>
        <w:outlineLvl w:val="2"/>
        <w:rPr>
          <w:rFonts w:hint="eastAsia" w:ascii="宋体" w:hAnsi="宋体" w:cs="宋体"/>
          <w:b/>
          <w:sz w:val="24"/>
          <w:szCs w:val="24"/>
        </w:rPr>
      </w:pPr>
      <w:bookmarkStart w:id="2" w:name="heading_3"/>
      <w:r>
        <w:rPr>
          <w:rFonts w:hint="eastAsia" w:ascii="宋体" w:hAnsi="宋体" w:cs="宋体"/>
          <w:b/>
          <w:sz w:val="24"/>
          <w:szCs w:val="24"/>
        </w:rPr>
        <w:t>MC3.1：利用可视化分析，描述数据集中不同类型的内容。有意义的事件报告与普通聊天、垃圾信息、垃圾信息有什么区别?请将你的回答限制在8张图片和500字以内。</w:t>
      </w:r>
    </w:p>
    <w:bookmarkEnd w:id="2"/>
    <w:p w14:paraId="5E90CB0B">
      <w:pPr>
        <w:spacing w:before="300" w:after="120" w:line="276" w:lineRule="auto"/>
        <w:jc w:val="left"/>
        <w:outlineLvl w:val="2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</w:t>
      </w: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1818640" cy="1800225"/>
            <wp:effectExtent l="0" t="0" r="635" b="0"/>
            <wp:docPr id="2" name="图片 2" descr="task1_fig1_content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ask1_fig1_content_distribut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t xml:space="preserve">  </w:t>
      </w: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2416175" cy="1440180"/>
            <wp:effectExtent l="0" t="0" r="3175" b="7620"/>
            <wp:docPr id="1" name="图片 1" descr="task1_fig2_msg_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ask1_fig2_msg_lengt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2416175" cy="1440180"/>
            <wp:effectExtent l="0" t="0" r="3175" b="7620"/>
            <wp:docPr id="3" name="图片 3" descr="task1_fig6_length_box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ask1_fig6_length_boxpl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2417445" cy="1440180"/>
            <wp:effectExtent l="0" t="0" r="1905" b="7620"/>
            <wp:docPr id="4" name="图片 4" descr="task1_fig3_hasht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ask1_fig3_hashtag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59F5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图1为内容类型分布饼图，数据中垃圾信息占比最高，事件报告与其他类型占比相近，普通闲聊占比最低。结合图2、图6可见，垃圾信息不仅平均文本长度最长，长度离散程度也最大，文本格式杂乱；事件报告平均长度次之，篇幅分布集中稳定；闲聊类消息字符数最少，长度波动极小。图3标签统计结果显示，垃圾信息大量使用话题标签用于引流，其余三类内容标签使用频次普遍偏低。</w:t>
      </w:r>
    </w:p>
    <w:p w14:paraId="34E9FA99">
      <w:pPr>
        <w:spacing w:before="300" w:after="120" w:line="276" w:lineRule="auto"/>
        <w:jc w:val="center"/>
        <w:outlineLvl w:val="2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2907030" cy="1440180"/>
            <wp:effectExtent l="0" t="0" r="7620" b="7620"/>
            <wp:docPr id="5" name="图片 5" descr="task1_fig4_time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ask1_fig4_time_distributi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3018155" cy="1800225"/>
            <wp:effectExtent l="0" t="0" r="1270" b="0"/>
            <wp:docPr id="6" name="图片 6" descr="task1_fig5_author_pres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ask1_fig5_author_presen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9D52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图4时序折线图体现出明显差异：事件报告呈脉冲式爆发，集中在特定时段出现峰值，和突发事件高度关联；垃圾信息、闲聊、其他内容全天发布节奏平稳。图5作者存在率柱状图表明，事件报告存在匿名发布现象，作者留存率偏低，另外三类消息基本均标注完整作者信息。</w:t>
      </w:r>
    </w:p>
    <w:p w14:paraId="16830F2F">
      <w:pPr>
        <w:spacing w:before="300" w:after="120" w:line="276" w:lineRule="auto"/>
        <w:jc w:val="center"/>
        <w:outlineLvl w:val="2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3021965" cy="1800225"/>
            <wp:effectExtent l="0" t="0" r="6985" b="0"/>
            <wp:docPr id="8" name="图片 8" descr="task1_fig7_source_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ask1_fig7_source_typ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5907405" cy="2520315"/>
            <wp:effectExtent l="0" t="0" r="7620" b="3810"/>
            <wp:docPr id="7" name="图片 7" descr="task1_fig8_word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ask1_fig8_word_compariso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40FC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图7展示数据源与内容的关联：官方调度数据源ccdata仅产生事件报告，是应急信息专属渠道；社交数据源mbdata混杂全部四类消息，信息复杂度高。图8词汇对比图进一步区分语义：事件报告高频词以火情、警务、集会等应急相关词汇为主，偏向事件纪实；垃圾信息则以营销、推广类词汇为主，商业引流属性显著。</w:t>
      </w:r>
    </w:p>
    <w:p w14:paraId="01CBE542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四类消息特征区分度极高。事件报告依托官方渠道、随突发事件集中发布、用词贴合应急场景，存在匿名发布情况；垃圾信息文本冗长、滥用标签、营销语义突出，全天候均匀发布；闲聊内容简短、发布平稳、体量最少；其余内容各项特征介于中间水平。</w:t>
      </w:r>
    </w:p>
    <w:p w14:paraId="0626C310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</w:p>
    <w:p w14:paraId="1815E521">
      <w:pPr>
        <w:spacing w:before="300" w:after="120" w:line="276" w:lineRule="auto"/>
        <w:jc w:val="left"/>
        <w:outlineLvl w:val="2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MC3.2：利用可视化分析来表现和评估公众风险水平在当晚的演变。考虑这种情况可能带来的后果以及可能受影响的人数。请将你的回答限制在10张图片和1000字以内。任务的内容编写</w:t>
      </w:r>
    </w:p>
    <w:p w14:paraId="1B03E2D2">
      <w:pPr>
        <w:spacing w:before="300" w:after="120" w:line="276" w:lineRule="auto"/>
        <w:jc w:val="left"/>
        <w:outlineLvl w:val="2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风险水平赋值：</w:t>
      </w:r>
      <w:r>
        <w:rPr>
          <w:rFonts w:hint="eastAsia" w:ascii="宋体" w:hAnsi="宋体" w:cs="宋体"/>
          <w:b/>
          <w:sz w:val="24"/>
          <w:szCs w:val="24"/>
        </w:rPr>
        <w:br w:type="textWrapping"/>
      </w:r>
      <w:r>
        <w:rPr>
          <w:rFonts w:hint="eastAsia" w:ascii="宋体" w:hAnsi="宋体" w:cs="宋体"/>
          <w:b/>
          <w:sz w:val="24"/>
          <w:szCs w:val="24"/>
        </w:rPr>
        <w:t xml:space="preserve">    Other : 0,</w:t>
      </w:r>
    </w:p>
    <w:p w14:paraId="7F215396">
      <w:pPr>
        <w:spacing w:before="300" w:after="120" w:line="276" w:lineRule="auto"/>
        <w:jc w:val="left"/>
        <w:outlineLvl w:val="2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 xml:space="preserve">    POK Rally : 1,</w:t>
      </w:r>
    </w:p>
    <w:p w14:paraId="3C909A04">
      <w:pPr>
        <w:spacing w:before="300" w:after="120" w:line="276" w:lineRule="auto"/>
        <w:jc w:val="left"/>
        <w:outlineLvl w:val="2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 xml:space="preserve">    Traffic: 1,</w:t>
      </w:r>
    </w:p>
    <w:p w14:paraId="127158B5">
      <w:pPr>
        <w:spacing w:before="300" w:after="120" w:line="276" w:lineRule="auto"/>
        <w:jc w:val="left"/>
        <w:outlineLvl w:val="2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 xml:space="preserve">    Crowd Control : 2,</w:t>
      </w:r>
    </w:p>
    <w:p w14:paraId="2164D5A6">
      <w:pPr>
        <w:spacing w:before="300" w:after="120" w:line="276" w:lineRule="auto"/>
        <w:jc w:val="left"/>
        <w:outlineLvl w:val="2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 xml:space="preserve">    Fire : 3,</w:t>
      </w:r>
    </w:p>
    <w:p w14:paraId="3464F621">
      <w:pPr>
        <w:spacing w:before="300" w:after="120" w:line="276" w:lineRule="auto"/>
        <w:jc w:val="left"/>
        <w:outlineLvl w:val="2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 xml:space="preserve">    Shooting : 4,</w:t>
      </w:r>
    </w:p>
    <w:p w14:paraId="20432C01">
      <w:pPr>
        <w:spacing w:before="300" w:after="120" w:line="276" w:lineRule="auto"/>
        <w:jc w:val="left"/>
        <w:outlineLvl w:val="2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 xml:space="preserve">    Hostage : 4,</w:t>
      </w:r>
    </w:p>
    <w:p w14:paraId="4BFBD7F0">
      <w:pPr>
        <w:spacing w:before="300" w:after="120" w:line="276" w:lineRule="auto"/>
        <w:jc w:val="left"/>
        <w:outlineLvl w:val="2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 xml:space="preserve">    Explosion : 5,</w:t>
      </w:r>
    </w:p>
    <w:p w14:paraId="4B555CF6">
      <w:pPr>
        <w:spacing w:before="300" w:after="120" w:line="276" w:lineRule="auto"/>
        <w:jc w:val="left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 xml:space="preserve">    SWAT : 4</w:t>
      </w:r>
      <w:r>
        <w:rPr>
          <w:rFonts w:ascii="宋体" w:hAnsi="宋体" w:cs="宋体"/>
          <w:b/>
          <w:sz w:val="24"/>
          <w:szCs w:val="24"/>
        </w:rPr>
        <w:br w:type="textWrapping"/>
      </w:r>
      <w:r>
        <w:rPr>
          <w:rFonts w:ascii="宋体" w:hAnsi="宋体" w:cs="宋体"/>
          <w:sz w:val="24"/>
          <w:szCs w:val="24"/>
        </w:rPr>
        <w:t>0 级：Other 其他事件</w:t>
      </w:r>
    </w:p>
    <w:p w14:paraId="24DC1439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综合风险：无实质公共安全威胁</w:t>
      </w:r>
    </w:p>
    <w:p w14:paraId="2A0093CB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适用场景：普通民事求助、物品遗失、邻里口角、噪音投诉、走失人员、普通设备故障等不涉及危险、聚众、灾害、暴力的一般性警情。</w:t>
      </w:r>
    </w:p>
    <w:p w14:paraId="7332985A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分级依据：不存在伤人、起火、冲突、爆炸等安全隐患，单名巡逻警员即可独立处置，几乎不会造成人身伤害与公共秩序混乱，因此划定最低风险 0 级。</w:t>
      </w:r>
    </w:p>
    <w:p w14:paraId="770BAB14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 级：POK 集会、交通管制（Traffic）</w:t>
      </w:r>
    </w:p>
    <w:p w14:paraId="15AF1E2C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综合风险：低风险，可控轻微秩序扰动</w:t>
      </w:r>
    </w:p>
    <w:p w14:paraId="7A2533DB">
      <w:pPr>
        <w:numPr>
          <w:ilvl w:val="0"/>
          <w:numId w:val="1"/>
        </w:num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POK 集会：合规和平集会，参与者无过激诉求、无携带危险器械，仅需少量警力定点值守，极少出现冲突、斗殴；</w:t>
      </w:r>
    </w:p>
    <w:p w14:paraId="00434968">
      <w:pPr>
        <w:numPr>
          <w:ilvl w:val="0"/>
          <w:numId w:val="1"/>
        </w:num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交通管制：道路疏导、临时封路、轻微交通事故疏导，仅影响通行效率，无大规模伤亡、暴力冲突风险。</w:t>
      </w:r>
    </w:p>
    <w:p w14:paraId="3063BD2D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分级依据：仅存在轻度秩序管理需求，无明火、枪械、爆炸物等致命危险源，发生恶性安全事故概率极低，统一划定 1 级低风险。</w:t>
      </w:r>
    </w:p>
    <w:p w14:paraId="7D5D2922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 级：人群管控（Crowd Control）</w:t>
      </w:r>
    </w:p>
    <w:p w14:paraId="79FFF802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综合风险：中等偏低，存在群体性失序隐患</w:t>
      </w:r>
    </w:p>
    <w:p w14:paraId="6BDA4BE7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适用场景：大型活动、密集人流景区 / 商圈、大规模群众聚集，人群密度高，存在拥挤踩踏、小规模口角推搡、局部起哄闹事的可能性。</w:t>
      </w:r>
    </w:p>
    <w:p w14:paraId="309EBB67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分级依据：相比 1 级集会、交通场景，人群高度集中带来踩踏、局部冲突风险，但现场一般无武器、明火、爆炸物，仅需增派常规警力分区疏导，暂不需要消防、特警支援，风险高于单纯集会与交通事件，定为 2 级。</w:t>
      </w:r>
    </w:p>
    <w:p w14:paraId="54883A34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 级：火灾（Fire）</w:t>
      </w:r>
    </w:p>
    <w:p w14:paraId="092DCA4A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综合风险：中等风险，存在明火衍生多重灾害</w:t>
      </w:r>
    </w:p>
    <w:p w14:paraId="3CB633DA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适用场景：建筑起火、车辆火情、户外野火，伴随浓烟、高温灼伤、建筑坍塌、火势蔓延风险，易造成人员烧伤、窒息伤亡，需要消防主力到场处置。</w:t>
      </w:r>
    </w:p>
    <w:p w14:paraId="34F00A2A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分级依据：明火具备持续扩散、扩大灾害范围的能力，会产生伤亡与财产损失；但区别于枪击、人质、爆炸，火灾无主动攻击性暴力行为，不存在人为持枪挟持、蓄意爆破等高致命人为威胁，因此风险低于 4 级暴力危情，划定 3 级。</w:t>
      </w:r>
    </w:p>
    <w:p w14:paraId="77C2AA2C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4 级：枪击事件、人质事件、特警行动（SWAT）</w:t>
      </w:r>
    </w:p>
    <w:p w14:paraId="02074DAE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综合风险：高致命风险，存在主动暴力伤人威胁，需特警攻坚处置</w:t>
      </w:r>
    </w:p>
    <w:p w14:paraId="6D3BAAB4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三类事件统一归为 4 级，共性特征：存在致命武器、人为主动暴力、现场随时发生人员死伤，常规民警无法独立处置，必须出动特警、谈判专家、医疗急救多部门联动：</w:t>
      </w:r>
    </w:p>
    <w:p w14:paraId="2510B8D3">
      <w:pPr>
        <w:numPr>
          <w:ilvl w:val="0"/>
          <w:numId w:val="2"/>
        </w:num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枪击事件：嫌疑人持有枪械，无差别或针对性射击，即时伤亡风险极高；</w:t>
      </w:r>
    </w:p>
    <w:p w14:paraId="0D8F43C2">
      <w:pPr>
        <w:numPr>
          <w:ilvl w:val="0"/>
          <w:numId w:val="2"/>
        </w:num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人质事件：嫌疑人挟持无辜人员作为筹码，随时可能伤害、杀害被挟持者，谈判与攻坚双重压力；</w:t>
      </w:r>
    </w:p>
    <w:p w14:paraId="4C27196E">
      <w:pPr>
        <w:numPr>
          <w:ilvl w:val="0"/>
          <w:numId w:val="2"/>
        </w:num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特警行动：本身就是针对高危暴力嫌犯的专项处置行动，行动目标均携带凶器、枪支，全程伴随对抗、交火风险。</w:t>
      </w:r>
    </w:p>
    <w:p w14:paraId="13077465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分级依据：人为可控致命武器带来即时、主动的生命威胁，处置容错率极低；但对比爆炸事件，枪击、人质现场不具备大范围、无差别毁灭性破坏能力，波及范围有限，因此风险低于 5 级爆炸，统一划为 4 级高危事件。</w:t>
      </w:r>
    </w:p>
    <w:p w14:paraId="2008FB98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5 级：爆炸事件（Explosion）</w:t>
      </w:r>
    </w:p>
    <w:p w14:paraId="13A8B2D7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综合风险：顶级致命风险，全域毁灭性灾害，最高风险等级</w:t>
      </w:r>
    </w:p>
    <w:p w14:paraId="49E1938F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适用场景：人为炸弹引爆、危险品爆炸、燃气剧烈爆炸，单次爆炸瞬间造成大范围冲击、碎片杀伤、建筑坍塌、连环起火，一次性大规模死伤，冲击波可波及周边百米范围，次生火灾、二次爆炸风险极高。</w:t>
      </w:r>
    </w:p>
    <w:p w14:paraId="6DE6AA4A">
      <w:pPr>
        <w:spacing w:before="300" w:after="120" w:line="276" w:lineRule="auto"/>
        <w:jc w:val="left"/>
        <w:outlineLvl w:val="2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分级依据：爆炸具备大范围无差别杀伤特性，一次性伤亡规模远超枪击、人质事件，破坏覆盖人群、建筑、公共设施，处置救援难度、次生灾害连锁反应均为所有事件中最高，因此单独划定最高风险 5 级。</w:t>
      </w:r>
    </w:p>
    <w:p w14:paraId="1797E729">
      <w:pPr>
        <w:spacing w:before="300" w:after="120" w:line="276" w:lineRule="auto"/>
        <w:jc w:val="left"/>
        <w:outlineLvl w:val="2"/>
        <w:rPr>
          <w:rFonts w:hint="eastAsia" w:ascii="宋体" w:hAnsi="宋体" w:cs="宋体"/>
          <w:b/>
          <w:sz w:val="24"/>
          <w:szCs w:val="24"/>
        </w:rPr>
      </w:pPr>
    </w:p>
    <w:p w14:paraId="398BC29F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</w:p>
    <w:p w14:paraId="77F782FC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drawing>
          <wp:inline distT="0" distB="0" distL="0" distR="0">
            <wp:extent cx="2359660" cy="1306195"/>
            <wp:effectExtent l="0" t="0" r="0" b="0"/>
            <wp:docPr id="3101338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33893" name="图片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4236" cy="131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  <w:szCs w:val="24"/>
        </w:rPr>
        <w:drawing>
          <wp:inline distT="0" distB="0" distL="0" distR="0">
            <wp:extent cx="2602865" cy="1294130"/>
            <wp:effectExtent l="0" t="0" r="0" b="0"/>
            <wp:docPr id="13969069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06983" name="图片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4110" cy="131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drawing>
          <wp:inline distT="0" distB="0" distL="0" distR="0">
            <wp:extent cx="4981575" cy="2195830"/>
            <wp:effectExtent l="0" t="0" r="0" b="0"/>
            <wp:docPr id="3898434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43465" name="图片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635" cy="219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6267A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</w:p>
    <w:p w14:paraId="03EEF290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公共风险水平演变：</w:t>
      </w:r>
    </w:p>
    <w:p w14:paraId="00DC226F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①17:00-18:30期间，平均风险维持在0-1区间，最高风险出现数次小幅波动（峰值约4），主要由PK集会和零星火灾事件驱动，处于风险酝酿期。</w:t>
      </w:r>
    </w:p>
    <w:p w14:paraId="18219E92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②18:30起火灾事件急剧增加（累积曲线斜率显著上升），风险分数从3快速攀升至4.5，标志着"火灾爆发"阶段的开始，进入风险攀升期。</w:t>
      </w:r>
    </w:p>
    <w:p w14:paraId="5CCCFAE4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③19:30-21:30期间，风险进入红色警戒区域，先后爆发人质危机、特警行动、枪击事件和爆炸事件，最高风险持续维持在4-5.5高位，处于高危集中期。</w:t>
      </w:r>
    </w:p>
    <w:p w14:paraId="3EC1D67B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事件类型分析：</w:t>
      </w:r>
    </w:p>
    <w:p w14:paraId="2D4E0028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①火灾事件数量最多，累积超过500起，持续时间最长，风险峰值达4.5。</w:t>
      </w:r>
    </w:p>
    <w:p w14:paraId="2468BF59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②人质事件风险等级最高（峰值5.0），持续时间超过2小时，与特警行动时段高度重合。</w:t>
      </w:r>
    </w:p>
    <w:p w14:paraId="61817160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③枪击事件和爆炸事件虽持续时间较短，但突发性强，风险峰值分别达到4.5和5.5，表明暴力程度升级。</w:t>
      </w:r>
    </w:p>
    <w:p w14:paraId="3DE76AFC">
      <w:pPr>
        <w:spacing w:before="120" w:after="120" w:line="276" w:lineRule="auto"/>
        <w:ind w:firstLine="480" w:firstLineChars="200"/>
        <w:jc w:val="center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drawing>
          <wp:inline distT="0" distB="0" distL="0" distR="0">
            <wp:extent cx="3274060" cy="2018665"/>
            <wp:effectExtent l="0" t="0" r="0" b="0"/>
            <wp:docPr id="17539602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60295" name="图片 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702" cy="202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drawing>
          <wp:inline distT="0" distB="0" distL="0" distR="0">
            <wp:extent cx="4055110" cy="2013585"/>
            <wp:effectExtent l="0" t="0" r="0" b="0"/>
            <wp:docPr id="15050322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32200" name="图片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4141" cy="201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09BB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风险关联性分析：</w:t>
      </w:r>
    </w:p>
    <w:p w14:paraId="06823004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①消息量与风险水平呈现显著正相关，19:30-20:00消息量达到峰值，对应最高风险攀升至5.0。</w:t>
      </w:r>
    </w:p>
    <w:p w14:paraId="4B78BE47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②各类型高风险事件在时间上存在叠加效应，火灾与人质危机、枪击与爆炸事件先后发生，形成复合型危机态势。</w:t>
      </w:r>
    </w:p>
    <w:p w14:paraId="722885CD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后果评估：</w:t>
      </w:r>
    </w:p>
    <w:p w14:paraId="17A20BC7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①火灾事件累积数量大，可能导致大规模财产损失和人员伤亡。</w:t>
      </w:r>
    </w:p>
    <w:p w14:paraId="3EAA7FF9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②人质危机持续时间长，涉及警方与劫持者对峙，存在人质生命安全风险。</w:t>
      </w:r>
    </w:p>
    <w:p w14:paraId="2DFC5384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③枪击和爆炸事件表明暴力升级，可能引发公众恐慌，受影响人群范围广。</w:t>
      </w:r>
    </w:p>
    <w:p w14:paraId="441CC38C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综合研判事件潜在后果与受影响人群：</w:t>
      </w:r>
    </w:p>
    <w:p w14:paraId="1E86AE79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本次突发事件具备突发性、传播性强的特点，易引发人身安全隐患、局部秩序紊乱、交通通行受阻、正常生活运转中断等一系列问题。</w:t>
      </w:r>
      <w:r>
        <w:rPr>
          <w:rFonts w:hint="eastAsia" w:ascii="宋体" w:hAnsi="宋体" w:cs="宋体"/>
          <w:sz w:val="24"/>
          <w:szCs w:val="24"/>
        </w:rPr>
        <w:t>当晚19:30-21:00为风险最为严峻的时段，多种高风险事件叠加爆发，形成"火灾+人质+枪击+爆炸"的复合型危机。</w:t>
      </w:r>
      <w:r>
        <w:rPr>
          <w:rFonts w:ascii="宋体" w:hAnsi="宋体" w:cs="宋体"/>
          <w:sz w:val="24"/>
          <w:szCs w:val="24"/>
        </w:rPr>
        <w:t>依托双渠道海量信息传播范围判断，事件影响覆盖阿比拉全域，城区绝大多数居民均受到波及，人流密集区域、事发周边地带受影响程度最深。整体而言，当晚公众风险随应急事件的发展同步起伏，多类可视化数据相互印证，完整还原了风险演变全过程，也直观体现出信息混杂给应急处置带来的额外挑战。</w:t>
      </w:r>
    </w:p>
    <w:p w14:paraId="2FE01EEA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</w:p>
    <w:p w14:paraId="440ED15F">
      <w:pPr>
        <w:spacing w:before="120" w:after="120" w:line="276" w:lineRule="auto"/>
        <w:jc w:val="left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MC3.3：如果你能派一支第一响应者团队去任何一个地方，你会去哪里?请说明你的理由。如果你必须实时回应事件，而不是事后回应，你的反应会有什么不同?请将你的回答限制在8张图片和500字以内。</w:t>
      </w:r>
    </w:p>
    <w:p w14:paraId="0783059A">
      <w:pPr>
        <w:spacing w:before="120" w:after="120" w:line="276" w:lineRule="auto"/>
        <w:jc w:val="center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drawing>
          <wp:inline distT="0" distB="0" distL="114300" distR="114300">
            <wp:extent cx="2554605" cy="1440180"/>
            <wp:effectExtent l="0" t="0" r="7620" b="7620"/>
            <wp:docPr id="17" name="图片 17" descr="19点半-21点事件地点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9点半-21点事件地点热力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/>
          <w:sz w:val="24"/>
          <w:szCs w:val="24"/>
        </w:rPr>
        <w:drawing>
          <wp:inline distT="0" distB="0" distL="114300" distR="114300">
            <wp:extent cx="2553970" cy="1440180"/>
            <wp:effectExtent l="0" t="0" r="8255" b="7620"/>
            <wp:docPr id="16" name="图片 16" descr="18点-19点半事件地点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8点-19点半事件地点热力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/>
          <w:sz w:val="24"/>
          <w:szCs w:val="24"/>
        </w:rPr>
        <w:drawing>
          <wp:inline distT="0" distB="0" distL="114300" distR="114300">
            <wp:extent cx="3192780" cy="1800225"/>
            <wp:effectExtent l="0" t="0" r="7620" b="0"/>
            <wp:docPr id="15" name="图片 15" descr="18点以前事件地点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8点以前事件地点热力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A17D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选址决策：优先派往经度24.85-24.86、纬度36.06附近的中西部聚类区域</w:t>
      </w:r>
    </w:p>
    <w:p w14:paraId="23920943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理由： </w:t>
      </w:r>
    </w:p>
    <w:p w14:paraId="347A0271">
      <w:pPr>
        <w:spacing w:before="120" w:after="120" w:line="276" w:lineRule="auto"/>
        <w:ind w:firstLine="4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①</w:t>
      </w:r>
      <w:r>
        <w:rPr>
          <w:rFonts w:ascii="宋体" w:hAnsi="宋体" w:cs="宋体"/>
          <w:sz w:val="24"/>
          <w:szCs w:val="24"/>
        </w:rPr>
        <w:t xml:space="preserve">时段风险爆发极强：19:30-21:00该区域事件数45、总风险102.0，是全时段全区域最高风险点；全天汇总图里这里总事件65、平均风险2.2，是全城风险最集中、单事件风险最高的片区。 </w:t>
      </w:r>
    </w:p>
    <w:p w14:paraId="47BC7E3E">
      <w:pPr>
        <w:spacing w:before="120" w:after="120" w:line="276" w:lineRule="auto"/>
        <w:ind w:firstLine="4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②</w:t>
      </w:r>
      <w:r>
        <w:rPr>
          <w:rFonts w:ascii="宋体" w:hAnsi="宋体" w:cs="宋体"/>
          <w:sz w:val="24"/>
          <w:szCs w:val="24"/>
        </w:rPr>
        <w:t>趋势预判匹配：折线图显示19:</w:t>
      </w:r>
      <w:r>
        <w:rPr>
          <w:rFonts w:hint="eastAsia" w:ascii="宋体" w:hAnsi="宋体" w:cs="宋体"/>
          <w:sz w:val="24"/>
          <w:szCs w:val="24"/>
        </w:rPr>
        <w:t>3</w:t>
      </w:r>
      <w:r>
        <w:rPr>
          <w:rFonts w:ascii="宋体" w:hAnsi="宋体" w:cs="宋体"/>
          <w:sz w:val="24"/>
          <w:szCs w:val="24"/>
        </w:rPr>
        <w:t xml:space="preserve">0后总风险值陡拉至峰值，该片区正是本轮风险飙升的核心源头，提前布防能拦截绝大多数高风险事件。 </w:t>
      </w:r>
    </w:p>
    <w:p w14:paraId="2543FE85">
      <w:pPr>
        <w:spacing w:before="120" w:after="120" w:line="276" w:lineRule="auto"/>
        <w:ind w:firstLine="4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③</w:t>
      </w:r>
      <w:r>
        <w:rPr>
          <w:rFonts w:ascii="宋体" w:hAnsi="宋体" w:cs="宋体"/>
          <w:sz w:val="24"/>
          <w:szCs w:val="24"/>
        </w:rPr>
        <w:t xml:space="preserve">风险增长幅度最大：18:00前该片区仅14起事件、总风险10.0，后续风险量级暴涨，是风险增量最突出的区域，提前派驻能最大化降低后续整体损失。 </w:t>
      </w:r>
    </w:p>
    <w:p w14:paraId="3C8800AB">
      <w:pPr>
        <w:spacing w:before="120" w:after="120" w:line="276" w:lineRule="auto"/>
        <w:ind w:firstLine="400"/>
        <w:jc w:val="center"/>
        <w:rPr>
          <w:rFonts w:hint="eastAsia" w:ascii="宋体" w:hAnsi="宋体" w:cs="宋体"/>
          <w:sz w:val="24"/>
          <w:szCs w:val="24"/>
        </w:rPr>
      </w:pPr>
      <w:r>
        <w:drawing>
          <wp:inline distT="0" distB="0" distL="114300" distR="114300">
            <wp:extent cx="5267960" cy="1705610"/>
            <wp:effectExtent l="0" t="0" r="8890" b="889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7D7B">
      <w:pPr>
        <w:spacing w:before="120" w:after="120" w:line="276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实时响应和事后派驻的差异 </w:t>
      </w:r>
    </w:p>
    <w:p w14:paraId="1D70BDF7">
      <w:pPr>
        <w:spacing w:before="120" w:after="120" w:line="276" w:lineRule="auto"/>
        <w:ind w:firstLine="4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①</w:t>
      </w:r>
      <w:r>
        <w:rPr>
          <w:rFonts w:ascii="宋体" w:hAnsi="宋体" w:cs="宋体"/>
          <w:sz w:val="24"/>
          <w:szCs w:val="24"/>
        </w:rPr>
        <w:t xml:space="preserve">事后派驻：可根据分时段热力图锁定全天最高累计风险区，提前固定驻扎点位，长期覆盖高发时段，压制持续性集群风险。 </w:t>
      </w:r>
    </w:p>
    <w:p w14:paraId="09345DE3">
      <w:pPr>
        <w:spacing w:before="120" w:after="120" w:line="276" w:lineRule="auto"/>
        <w:ind w:firstLine="4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②</w:t>
      </w:r>
      <w:r>
        <w:rPr>
          <w:rFonts w:ascii="宋体" w:hAnsi="宋体" w:cs="宋体"/>
          <w:sz w:val="24"/>
          <w:szCs w:val="24"/>
        </w:rPr>
        <w:t xml:space="preserve">实时响应：要跟着折线的实时波动动态调整： </w:t>
      </w:r>
    </w:p>
    <w:p w14:paraId="390286F0">
      <w:pPr>
        <w:spacing w:before="120" w:after="120" w:line="276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- 18:00：东西两片风险平稳偏低，可分少量人力兼顾两片常规点位； </w:t>
      </w:r>
    </w:p>
    <w:p w14:paraId="30FF64E1">
      <w:pPr>
        <w:spacing w:before="120" w:after="120" w:line="276" w:lineRule="auto"/>
        <w:ind w:left="479" w:leftChars="228"/>
        <w:jc w:val="left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- 19:30：</w:t>
      </w:r>
      <w:r>
        <w:rPr>
          <w:rFonts w:hint="eastAsia" w:ascii="宋体" w:hAnsi="宋体" w:cs="宋体"/>
          <w:sz w:val="24"/>
          <w:szCs w:val="24"/>
        </w:rPr>
        <w:t>东</w:t>
      </w:r>
      <w:r>
        <w:rPr>
          <w:rFonts w:ascii="宋体" w:hAnsi="宋体" w:cs="宋体"/>
          <w:sz w:val="24"/>
          <w:szCs w:val="24"/>
        </w:rPr>
        <w:t xml:space="preserve">部片区风险开始抬升，逐步增派力量向该区域倾斜； -  </w:t>
      </w:r>
    </w:p>
    <w:p w14:paraId="50CDCE59">
      <w:pPr>
        <w:spacing w:before="120" w:after="120" w:line="276" w:lineRule="auto"/>
        <w:ind w:left="479" w:leftChars="228"/>
        <w:jc w:val="left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- 2</w:t>
      </w:r>
      <w:r>
        <w:rPr>
          <w:rFonts w:hint="eastAsia" w:ascii="宋体" w:hAnsi="宋体" w:cs="宋体"/>
          <w:sz w:val="24"/>
          <w:szCs w:val="24"/>
        </w:rPr>
        <w:t>1</w:t>
      </w:r>
      <w:r>
        <w:rPr>
          <w:rFonts w:ascii="宋体" w:hAnsi="宋体" w:cs="宋体"/>
          <w:sz w:val="24"/>
          <w:szCs w:val="24"/>
        </w:rPr>
        <w:t>:00</w:t>
      </w:r>
      <w:r>
        <w:rPr>
          <w:rFonts w:hint="eastAsia" w:ascii="宋体" w:hAnsi="宋体" w:cs="宋体"/>
          <w:sz w:val="24"/>
          <w:szCs w:val="24"/>
        </w:rPr>
        <w:t>：</w:t>
      </w:r>
      <w:r>
        <w:rPr>
          <w:rFonts w:ascii="宋体" w:hAnsi="宋体" w:cs="宋体"/>
          <w:sz w:val="24"/>
          <w:szCs w:val="24"/>
        </w:rPr>
        <w:t>风险出现二次波动，需保留主力在核心区，分小部分人手兼顾东部两个次级热点的零星事件。</w:t>
      </w:r>
    </w:p>
    <w:p w14:paraId="02721888">
      <w:pPr>
        <w:spacing w:before="120" w:after="120" w:line="276" w:lineRule="auto"/>
        <w:ind w:left="479" w:leftChars="228"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整体实时响应更侧重随分钟级趋势动态调度兵力，而非固定驻守，要匹配风险起伏灵活分配资源。 </w:t>
      </w:r>
    </w:p>
    <w:p w14:paraId="6E23D7F8">
      <w:pPr>
        <w:spacing w:before="120" w:after="120" w:line="288" w:lineRule="auto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drawing>
          <wp:inline distT="0" distB="0" distL="114300" distR="114300">
            <wp:extent cx="5269230" cy="1440180"/>
            <wp:effectExtent l="0" t="0" r="7620" b="7620"/>
            <wp:docPr id="14" name="图片 14" descr="newplo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newplot (1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49AF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F801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E963C5"/>
    <w:multiLevelType w:val="multilevel"/>
    <w:tmpl w:val="0DE963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9477DA3"/>
    <w:multiLevelType w:val="multilevel"/>
    <w:tmpl w:val="19477D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6A9"/>
    <w:rsid w:val="002E2382"/>
    <w:rsid w:val="00520ED0"/>
    <w:rsid w:val="00B83550"/>
    <w:rsid w:val="00DE76A9"/>
    <w:rsid w:val="082235A0"/>
    <w:rsid w:val="096E5D09"/>
    <w:rsid w:val="29D948D8"/>
    <w:rsid w:val="32566A49"/>
    <w:rsid w:val="37B53811"/>
    <w:rsid w:val="47B80230"/>
    <w:rsid w:val="4D8B2166"/>
    <w:rsid w:val="6E032BF5"/>
    <w:rsid w:val="79CE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3746</Words>
  <Characters>4075</Characters>
  <Lines>113</Lines>
  <Paragraphs>89</Paragraphs>
  <TotalTime>362</TotalTime>
  <ScaleCrop>false</ScaleCrop>
  <LinksUpToDate>false</LinksUpToDate>
  <CharactersWithSpaces>4184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2026-06-08T06:05:00Z</dcterms:created>
  <dc:creator>Apache POI</dc:creator>
  <cp:lastModifiedBy>朱文杰</cp:lastModifiedBy>
  <dcterms:modified xsi:type="dcterms:W3CDTF">2026-06-19T12:28:59Z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{"Label":"1","ContentProducer":"001191110102MACQD9K64010000","ProduceID":"7648901715651005644","ReservedCode1":"","ContentPropagator":"","PropagateID":"","ReservedCode2":""}</vt:lpwstr>
  </property>
  <property fmtid="{D5CDD505-2E9C-101B-9397-08002B2CF9AE}" pid="3" name="KSOTemplateDocerSaveRecord">
    <vt:lpwstr>eyJoZGlkIjoiM2M5ZmZmMjFhMjQ4YjNiOWQ5NTZlMWMxNmYwNTg5ZTUiLCJ1c2VySWQiOiIzMDY0NTA4MDAifQ==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BBC25DA8DC504FDD8433BADE2468A3BD_13</vt:lpwstr>
  </property>
</Properties>
</file>