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085" w:rsidRPr="00BA4D78" w:rsidRDefault="00803085" w:rsidP="00803085">
      <w:pPr>
        <w:jc w:val="center"/>
        <w:rPr>
          <w:rFonts w:ascii="標楷體" w:eastAsia="標楷體" w:hAnsi="標楷體"/>
          <w:sz w:val="28"/>
          <w:szCs w:val="28"/>
        </w:rPr>
      </w:pPr>
      <w:r w:rsidRPr="00BA4D78">
        <w:rPr>
          <w:rFonts w:ascii="標楷體" w:eastAsia="標楷體" w:hAnsi="標楷體" w:hint="eastAsia"/>
          <w:sz w:val="28"/>
          <w:szCs w:val="28"/>
        </w:rPr>
        <w:t>會計學補充資料一</w:t>
      </w:r>
    </w:p>
    <w:p w:rsidR="00803085" w:rsidRPr="00BA4D78" w:rsidRDefault="00803085" w:rsidP="00803085">
      <w:pPr>
        <w:jc w:val="center"/>
        <w:rPr>
          <w:rFonts w:ascii="標楷體" w:eastAsia="標楷體" w:hAnsi="標楷體"/>
          <w:sz w:val="28"/>
          <w:szCs w:val="28"/>
        </w:rPr>
      </w:pPr>
      <w:r w:rsidRPr="00BA4D78">
        <w:rPr>
          <w:rFonts w:ascii="標楷體" w:eastAsia="標楷體" w:hAnsi="標楷體" w:hint="eastAsia"/>
          <w:sz w:val="28"/>
          <w:szCs w:val="28"/>
        </w:rPr>
        <w:t>主講人：王寬裕</w:t>
      </w:r>
    </w:p>
    <w:p w:rsidR="00E34BAF" w:rsidRPr="00BA4D78" w:rsidRDefault="00E34BAF" w:rsidP="00803085">
      <w:pPr>
        <w:jc w:val="center"/>
        <w:rPr>
          <w:rFonts w:ascii="標楷體" w:eastAsia="標楷體" w:hAnsi="標楷體"/>
          <w:sz w:val="28"/>
          <w:szCs w:val="28"/>
        </w:rPr>
      </w:pPr>
      <w:r w:rsidRPr="00BA4D78">
        <w:rPr>
          <w:rFonts w:ascii="標楷體" w:eastAsia="標楷體" w:hAnsi="標楷體" w:hint="eastAsia"/>
          <w:sz w:val="28"/>
          <w:szCs w:val="28"/>
        </w:rPr>
        <w:t>10</w:t>
      </w:r>
      <w:r w:rsidR="002039C3" w:rsidRPr="00BA4D78">
        <w:rPr>
          <w:rFonts w:ascii="標楷體" w:eastAsia="標楷體" w:hAnsi="標楷體" w:hint="eastAsia"/>
          <w:sz w:val="28"/>
          <w:szCs w:val="28"/>
        </w:rPr>
        <w:t>7</w:t>
      </w:r>
      <w:r w:rsidRPr="00BA4D78">
        <w:rPr>
          <w:rFonts w:ascii="標楷體" w:eastAsia="標楷體" w:hAnsi="標楷體" w:hint="eastAsia"/>
          <w:sz w:val="28"/>
          <w:szCs w:val="28"/>
        </w:rPr>
        <w:t>.0</w:t>
      </w:r>
      <w:r w:rsidR="002039C3" w:rsidRPr="00BA4D78">
        <w:rPr>
          <w:rFonts w:ascii="標楷體" w:eastAsia="標楷體" w:hAnsi="標楷體" w:hint="eastAsia"/>
          <w:sz w:val="28"/>
          <w:szCs w:val="28"/>
        </w:rPr>
        <w:t>3</w:t>
      </w:r>
      <w:r w:rsidRPr="00BA4D78">
        <w:rPr>
          <w:rFonts w:ascii="標楷體" w:eastAsia="標楷體" w:hAnsi="標楷體" w:hint="eastAsia"/>
          <w:sz w:val="28"/>
          <w:szCs w:val="28"/>
        </w:rPr>
        <w:t>.</w:t>
      </w:r>
      <w:r w:rsidR="002039C3" w:rsidRPr="00BA4D78">
        <w:rPr>
          <w:rFonts w:ascii="標楷體" w:eastAsia="標楷體" w:hAnsi="標楷體" w:hint="eastAsia"/>
          <w:sz w:val="28"/>
          <w:szCs w:val="28"/>
        </w:rPr>
        <w:t>01</w:t>
      </w:r>
    </w:p>
    <w:p w:rsidR="00803085" w:rsidRPr="005A4670" w:rsidRDefault="007017D3" w:rsidP="007017D3">
      <w:pPr>
        <w:pStyle w:val="a3"/>
        <w:ind w:leftChars="0" w:left="113"/>
        <w:jc w:val="both"/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>一、</w:t>
      </w:r>
      <w:r w:rsidR="00803085" w:rsidRPr="005A4670">
        <w:rPr>
          <w:rFonts w:ascii="標楷體" w:eastAsia="標楷體" w:hAnsi="標楷體" w:hint="eastAsia"/>
          <w:szCs w:val="24"/>
        </w:rPr>
        <w:t>教科書</w:t>
      </w:r>
    </w:p>
    <w:p w:rsidR="002039C3" w:rsidRPr="005A4670" w:rsidRDefault="002039C3" w:rsidP="00BA4D78">
      <w:pPr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/>
          <w:szCs w:val="24"/>
        </w:rPr>
        <w:t>Weygandt J. J.,P. D. Kimmel,and D. E. Kieso,Financial Accounting IFRS 3rd Edition, Wiley Custom Edition, John Wiley &amp; Sons, INC, 2018</w:t>
      </w:r>
      <w:r w:rsidR="00682CFF">
        <w:rPr>
          <w:rFonts w:ascii="標楷體" w:eastAsia="標楷體" w:hAnsi="標楷體" w:hint="eastAsia"/>
          <w:szCs w:val="24"/>
        </w:rPr>
        <w:t>.</w:t>
      </w:r>
    </w:p>
    <w:p w:rsidR="00803085" w:rsidRPr="005A4670" w:rsidRDefault="001174F9" w:rsidP="00BA4D78">
      <w:pPr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>ISBN-13：</w:t>
      </w:r>
      <w:r w:rsidR="004B210D" w:rsidRPr="005A4670">
        <w:rPr>
          <w:rFonts w:ascii="標楷體" w:eastAsia="標楷體" w:hAnsi="標楷體" w:hint="eastAsia"/>
          <w:szCs w:val="24"/>
        </w:rPr>
        <w:t>9781119923367</w:t>
      </w:r>
      <w:r w:rsidR="00A430DD" w:rsidRPr="005A4670">
        <w:rPr>
          <w:rFonts w:ascii="標楷體" w:eastAsia="標楷體" w:hAnsi="標楷體" w:hint="eastAsia"/>
          <w:szCs w:val="24"/>
        </w:rPr>
        <w:t>（滄海</w:t>
      </w:r>
      <w:r w:rsidR="00EE01E4">
        <w:rPr>
          <w:rFonts w:ascii="標楷體" w:eastAsia="標楷體" w:hAnsi="標楷體" w:hint="eastAsia"/>
          <w:szCs w:val="24"/>
        </w:rPr>
        <w:t>圖</w:t>
      </w:r>
      <w:r w:rsidR="00A430DD" w:rsidRPr="005A4670">
        <w:rPr>
          <w:rFonts w:ascii="標楷體" w:eastAsia="標楷體" w:hAnsi="標楷體" w:hint="eastAsia"/>
          <w:szCs w:val="24"/>
        </w:rPr>
        <w:t>書經銷）</w:t>
      </w:r>
    </w:p>
    <w:p w:rsidR="00803085" w:rsidRPr="005A4670" w:rsidRDefault="007017D3" w:rsidP="007017D3">
      <w:pPr>
        <w:pStyle w:val="a3"/>
        <w:ind w:leftChars="0" w:left="0"/>
        <w:jc w:val="both"/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>二、</w:t>
      </w:r>
      <w:r w:rsidR="00803085" w:rsidRPr="005A4670">
        <w:rPr>
          <w:rFonts w:ascii="標楷體" w:eastAsia="標楷體" w:hAnsi="標楷體" w:hint="eastAsia"/>
          <w:szCs w:val="24"/>
        </w:rPr>
        <w:t>參考書</w:t>
      </w:r>
    </w:p>
    <w:p w:rsidR="007547B9" w:rsidRDefault="00A50A0C" w:rsidP="007547B9">
      <w:pPr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/>
          <w:szCs w:val="24"/>
        </w:rPr>
        <w:t>（</w:t>
      </w:r>
      <w:r w:rsidRPr="005A4670">
        <w:rPr>
          <w:rFonts w:ascii="標楷體" w:eastAsia="標楷體" w:hAnsi="標楷體" w:hint="eastAsia"/>
          <w:szCs w:val="24"/>
        </w:rPr>
        <w:t>一</w:t>
      </w:r>
      <w:r w:rsidRPr="005A4670">
        <w:rPr>
          <w:rFonts w:ascii="標楷體" w:eastAsia="標楷體" w:hAnsi="標楷體"/>
          <w:szCs w:val="24"/>
        </w:rPr>
        <w:t>）</w:t>
      </w:r>
      <w:r w:rsidR="002039C3" w:rsidRPr="005A4670">
        <w:rPr>
          <w:rFonts w:ascii="標楷體" w:eastAsia="標楷體" w:hAnsi="標楷體"/>
          <w:szCs w:val="24"/>
        </w:rPr>
        <w:t>Wild John J.,Winston Kwon, Ken W. Shaw, and Barbara</w:t>
      </w:r>
    </w:p>
    <w:p w:rsidR="007547B9" w:rsidRDefault="007547B9" w:rsidP="007547B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c</w:t>
      </w:r>
      <w:r w:rsidRPr="005A4670">
        <w:rPr>
          <w:rFonts w:ascii="標楷體" w:eastAsia="標楷體" w:hAnsi="標楷體"/>
          <w:szCs w:val="24"/>
        </w:rPr>
        <w:t>hiappett</w:t>
      </w:r>
      <w:r w:rsidRPr="005A4670">
        <w:rPr>
          <w:rFonts w:ascii="標楷體" w:eastAsia="標楷體" w:hAnsi="標楷體" w:hint="eastAsia"/>
          <w:szCs w:val="24"/>
        </w:rPr>
        <w:t>a</w:t>
      </w:r>
      <w:r w:rsidRPr="005A4670">
        <w:rPr>
          <w:rFonts w:ascii="標楷體" w:eastAsia="標楷體" w:hAnsi="標楷體"/>
          <w:szCs w:val="24"/>
        </w:rPr>
        <w:t>,</w:t>
      </w:r>
      <w:r w:rsidR="002039C3" w:rsidRPr="005A4670">
        <w:rPr>
          <w:rFonts w:ascii="標楷體" w:eastAsia="標楷體" w:hAnsi="標楷體"/>
          <w:szCs w:val="24"/>
        </w:rPr>
        <w:t>Financial Accounting, 3e, McGraw-Hill, 2017,華泰文化</w:t>
      </w:r>
    </w:p>
    <w:p w:rsidR="00A50A0C" w:rsidRPr="005A4670" w:rsidRDefault="007547B9" w:rsidP="007547B9">
      <w:pPr>
        <w:ind w:firstLineChars="300" w:firstLine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經銷。</w:t>
      </w:r>
    </w:p>
    <w:p w:rsidR="007547B9" w:rsidRDefault="00A50A0C" w:rsidP="007547B9">
      <w:pPr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>（二）</w:t>
      </w:r>
      <w:r w:rsidR="002039C3" w:rsidRPr="005A4670">
        <w:rPr>
          <w:rFonts w:ascii="標楷體" w:eastAsia="標楷體" w:hAnsi="標楷體"/>
          <w:szCs w:val="24"/>
        </w:rPr>
        <w:t>李宗黎、林蕙真著，會計學理論與應用第9版，証業出版公司，2016，華</w:t>
      </w:r>
    </w:p>
    <w:p w:rsidR="002039C3" w:rsidRPr="005A4670" w:rsidRDefault="002039C3" w:rsidP="007547B9">
      <w:pPr>
        <w:ind w:firstLineChars="300" w:firstLine="720"/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/>
          <w:szCs w:val="24"/>
        </w:rPr>
        <w:t>泰文化</w:t>
      </w:r>
      <w:r w:rsidR="00BA4D78">
        <w:rPr>
          <w:rFonts w:ascii="標楷體" w:eastAsia="標楷體" w:hAnsi="標楷體" w:hint="eastAsia"/>
          <w:szCs w:val="24"/>
        </w:rPr>
        <w:t>經銷。</w:t>
      </w:r>
      <w:r w:rsidRPr="005A4670">
        <w:rPr>
          <w:rFonts w:ascii="標楷體" w:eastAsia="標楷體" w:hAnsi="標楷體"/>
          <w:szCs w:val="24"/>
        </w:rPr>
        <w:br/>
      </w:r>
      <w:r w:rsidR="00A50A0C" w:rsidRPr="005A4670">
        <w:rPr>
          <w:rFonts w:ascii="標楷體" w:eastAsia="標楷體" w:hAnsi="標楷體"/>
          <w:szCs w:val="24"/>
        </w:rPr>
        <w:t>（</w:t>
      </w:r>
      <w:r w:rsidR="00A50A0C" w:rsidRPr="005A4670">
        <w:rPr>
          <w:rFonts w:ascii="標楷體" w:eastAsia="標楷體" w:hAnsi="標楷體" w:hint="eastAsia"/>
          <w:szCs w:val="24"/>
        </w:rPr>
        <w:t>三</w:t>
      </w:r>
      <w:r w:rsidR="00A50A0C" w:rsidRPr="005A4670">
        <w:rPr>
          <w:rFonts w:ascii="標楷體" w:eastAsia="標楷體" w:hAnsi="標楷體"/>
          <w:szCs w:val="24"/>
        </w:rPr>
        <w:t>）</w:t>
      </w:r>
      <w:r w:rsidRPr="005A4670">
        <w:rPr>
          <w:rFonts w:ascii="標楷體" w:eastAsia="標楷體" w:hAnsi="標楷體"/>
          <w:szCs w:val="24"/>
        </w:rPr>
        <w:t>Kieso, D. E. 等著，王韶濱譯，中級會計學，滄海</w:t>
      </w:r>
      <w:r w:rsidR="00EE01E4">
        <w:rPr>
          <w:rFonts w:ascii="標楷體" w:eastAsia="標楷體" w:hAnsi="標楷體" w:hint="eastAsia"/>
          <w:szCs w:val="24"/>
        </w:rPr>
        <w:t>圖</w:t>
      </w:r>
      <w:r w:rsidRPr="005A4670">
        <w:rPr>
          <w:rFonts w:ascii="標楷體" w:eastAsia="標楷體" w:hAnsi="標楷體"/>
          <w:szCs w:val="24"/>
        </w:rPr>
        <w:t>書，2015。</w:t>
      </w:r>
    </w:p>
    <w:p w:rsidR="00394764" w:rsidRPr="005A4670" w:rsidRDefault="00B42F8F" w:rsidP="00B42F8F">
      <w:pPr>
        <w:pStyle w:val="a3"/>
        <w:ind w:leftChars="0" w:left="0"/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>三、</w:t>
      </w:r>
      <w:r w:rsidR="00803085" w:rsidRPr="005A4670">
        <w:rPr>
          <w:rFonts w:ascii="標楷體" w:eastAsia="標楷體" w:hAnsi="標楷體" w:hint="eastAsia"/>
          <w:szCs w:val="24"/>
        </w:rPr>
        <w:t>教學目標</w:t>
      </w:r>
    </w:p>
    <w:p w:rsidR="007E6AE9" w:rsidRDefault="00CE408A" w:rsidP="007547B9">
      <w:pPr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>（一）讓同學有紮實的財務會計理論基礎，並熟悉國際會計準則、國際財務報導</w:t>
      </w:r>
    </w:p>
    <w:p w:rsidR="00CE408A" w:rsidRPr="005A4670" w:rsidRDefault="007E6AE9" w:rsidP="007547B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</w:t>
      </w:r>
      <w:r w:rsidR="00CE408A" w:rsidRPr="005A4670">
        <w:rPr>
          <w:rFonts w:ascii="標楷體" w:eastAsia="標楷體" w:hAnsi="標楷體" w:hint="eastAsia"/>
          <w:szCs w:val="24"/>
        </w:rPr>
        <w:t>準則之相關規範。</w:t>
      </w:r>
    </w:p>
    <w:p w:rsidR="007E6AE9" w:rsidRDefault="00CE408A" w:rsidP="007547B9">
      <w:pPr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>（二）使同學很清楚地瞭解會計實務之程序及帳務處理技巧，建立其會計專業技</w:t>
      </w:r>
    </w:p>
    <w:p w:rsidR="00CE408A" w:rsidRPr="005A4670" w:rsidRDefault="007E6AE9" w:rsidP="007547B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</w:t>
      </w:r>
      <w:r w:rsidR="00CE408A" w:rsidRPr="005A4670">
        <w:rPr>
          <w:rFonts w:ascii="標楷體" w:eastAsia="標楷體" w:hAnsi="標楷體" w:hint="eastAsia"/>
          <w:szCs w:val="24"/>
        </w:rPr>
        <w:t>能。</w:t>
      </w:r>
    </w:p>
    <w:p w:rsidR="00CE408A" w:rsidRPr="005A4670" w:rsidRDefault="00CE408A" w:rsidP="007547B9">
      <w:pPr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>（三）與金融市場連結，讓同學了解財務會計資訊於證券投資分析之運用。</w:t>
      </w:r>
    </w:p>
    <w:p w:rsidR="007547B9" w:rsidRDefault="00CE408A" w:rsidP="007547B9">
      <w:pPr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>（四）透過個案分析與研討，培養同學</w:t>
      </w:r>
      <w:r w:rsidRPr="005A4670">
        <w:rPr>
          <w:rFonts w:ascii="標楷體" w:eastAsia="標楷體" w:hAnsi="標楷體"/>
          <w:szCs w:val="24"/>
        </w:rPr>
        <w:t>運用</w:t>
      </w:r>
      <w:r w:rsidRPr="005A4670">
        <w:rPr>
          <w:rFonts w:ascii="標楷體" w:eastAsia="標楷體" w:hAnsi="標楷體" w:hint="eastAsia"/>
          <w:szCs w:val="24"/>
        </w:rPr>
        <w:t>財務</w:t>
      </w:r>
      <w:r w:rsidRPr="005A4670">
        <w:rPr>
          <w:rFonts w:ascii="標楷體" w:eastAsia="標楷體" w:hAnsi="標楷體"/>
          <w:szCs w:val="24"/>
        </w:rPr>
        <w:t>會計資訊解決經營管理問題</w:t>
      </w:r>
      <w:r w:rsidRPr="005A4670">
        <w:rPr>
          <w:rFonts w:ascii="標楷體" w:eastAsia="標楷體" w:hAnsi="標楷體" w:hint="eastAsia"/>
          <w:szCs w:val="24"/>
        </w:rPr>
        <w:t>之能</w:t>
      </w:r>
    </w:p>
    <w:p w:rsidR="00CE408A" w:rsidRPr="005A4670" w:rsidRDefault="007E6AE9" w:rsidP="007547B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</w:t>
      </w:r>
      <w:r w:rsidR="007547B9">
        <w:rPr>
          <w:rFonts w:ascii="標楷體" w:eastAsia="標楷體" w:hAnsi="標楷體" w:hint="eastAsia"/>
          <w:szCs w:val="24"/>
        </w:rPr>
        <w:t>力</w:t>
      </w:r>
      <w:r>
        <w:rPr>
          <w:rFonts w:ascii="標楷體" w:eastAsia="標楷體" w:hAnsi="標楷體" w:hint="eastAsia"/>
          <w:szCs w:val="24"/>
        </w:rPr>
        <w:t>。</w:t>
      </w:r>
    </w:p>
    <w:p w:rsidR="00394764" w:rsidRPr="005A4670" w:rsidRDefault="00B46297" w:rsidP="005A4670">
      <w:pPr>
        <w:ind w:left="770" w:hangingChars="321" w:hanging="770"/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>四</w:t>
      </w:r>
      <w:r w:rsidR="007017D3" w:rsidRPr="005A4670">
        <w:rPr>
          <w:rFonts w:ascii="標楷體" w:eastAsia="標楷體" w:hAnsi="標楷體" w:hint="eastAsia"/>
          <w:szCs w:val="24"/>
        </w:rPr>
        <w:t>、</w:t>
      </w:r>
      <w:r w:rsidR="00394764" w:rsidRPr="005A4670">
        <w:rPr>
          <w:rFonts w:ascii="標楷體" w:eastAsia="標楷體" w:hAnsi="標楷體" w:hint="eastAsia"/>
          <w:szCs w:val="24"/>
        </w:rPr>
        <w:t>教學方法</w:t>
      </w:r>
    </w:p>
    <w:p w:rsidR="00F7497B" w:rsidRPr="005A4670" w:rsidRDefault="00FA176B" w:rsidP="00BA2922">
      <w:pPr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/>
          <w:szCs w:val="24"/>
        </w:rPr>
        <w:t>（</w:t>
      </w:r>
      <w:r w:rsidRPr="005A4670">
        <w:rPr>
          <w:rFonts w:ascii="標楷體" w:eastAsia="標楷體" w:hAnsi="標楷體" w:hint="eastAsia"/>
          <w:szCs w:val="24"/>
        </w:rPr>
        <w:t>一</w:t>
      </w:r>
      <w:r w:rsidRPr="005A4670">
        <w:rPr>
          <w:rFonts w:ascii="標楷體" w:eastAsia="標楷體" w:hAnsi="標楷體"/>
          <w:szCs w:val="24"/>
        </w:rPr>
        <w:t>）</w:t>
      </w:r>
      <w:r w:rsidR="00F7497B" w:rsidRPr="005A4670">
        <w:rPr>
          <w:rFonts w:ascii="標楷體" w:eastAsia="標楷體" w:hAnsi="標楷體"/>
          <w:szCs w:val="24"/>
        </w:rPr>
        <w:t>課堂講授</w:t>
      </w:r>
    </w:p>
    <w:p w:rsidR="001E71F7" w:rsidRPr="005A4670" w:rsidRDefault="00BA2922" w:rsidP="00BA292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（</w:t>
      </w:r>
      <w:r w:rsidR="00FA176B" w:rsidRPr="005A4670">
        <w:rPr>
          <w:rFonts w:ascii="標楷體" w:eastAsia="標楷體" w:hAnsi="標楷體" w:hint="eastAsia"/>
          <w:szCs w:val="24"/>
        </w:rPr>
        <w:t>二</w:t>
      </w:r>
      <w:r w:rsidR="00FA176B" w:rsidRPr="005A4670">
        <w:rPr>
          <w:rFonts w:ascii="標楷體" w:eastAsia="標楷體" w:hAnsi="標楷體"/>
          <w:szCs w:val="24"/>
        </w:rPr>
        <w:t>）</w:t>
      </w:r>
      <w:r w:rsidR="00F7497B" w:rsidRPr="005A4670">
        <w:rPr>
          <w:rFonts w:ascii="標楷體" w:eastAsia="標楷體" w:hAnsi="標楷體"/>
          <w:szCs w:val="24"/>
        </w:rPr>
        <w:t>個案討</w:t>
      </w:r>
      <w:r w:rsidR="00956A98" w:rsidRPr="005A4670">
        <w:rPr>
          <w:rFonts w:ascii="標楷體" w:eastAsia="標楷體" w:hAnsi="標楷體" w:hint="eastAsia"/>
          <w:szCs w:val="24"/>
        </w:rPr>
        <w:t>論</w:t>
      </w:r>
    </w:p>
    <w:p w:rsidR="00394764" w:rsidRPr="005A4670" w:rsidRDefault="00B46297" w:rsidP="00B46297">
      <w:pPr>
        <w:pStyle w:val="a3"/>
        <w:ind w:leftChars="0" w:left="0"/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>五</w:t>
      </w:r>
      <w:r w:rsidR="00B42F8F" w:rsidRPr="005A4670">
        <w:rPr>
          <w:rFonts w:ascii="標楷體" w:eastAsia="標楷體" w:hAnsi="標楷體" w:hint="eastAsia"/>
          <w:szCs w:val="24"/>
        </w:rPr>
        <w:t>、</w:t>
      </w:r>
      <w:r w:rsidR="001E71F7" w:rsidRPr="005A4670">
        <w:rPr>
          <w:rFonts w:ascii="標楷體" w:eastAsia="標楷體" w:hAnsi="標楷體" w:hint="eastAsia"/>
          <w:szCs w:val="24"/>
        </w:rPr>
        <w:t>中文</w:t>
      </w:r>
      <w:r w:rsidR="00394764" w:rsidRPr="005A4670">
        <w:rPr>
          <w:rFonts w:ascii="標楷體" w:eastAsia="標楷體" w:hAnsi="標楷體" w:hint="eastAsia"/>
          <w:szCs w:val="24"/>
        </w:rPr>
        <w:t>課程簡介</w:t>
      </w:r>
    </w:p>
    <w:p w:rsidR="002E23EE" w:rsidRPr="005A4670" w:rsidRDefault="005A4670" w:rsidP="006846DA">
      <w:pPr>
        <w:pStyle w:val="a3"/>
        <w:ind w:leftChars="0" w:left="28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</w:t>
      </w:r>
      <w:r w:rsidR="002E23EE" w:rsidRPr="005A4670">
        <w:rPr>
          <w:rFonts w:ascii="標楷體" w:eastAsia="標楷體" w:hAnsi="標楷體" w:hint="eastAsia"/>
          <w:szCs w:val="24"/>
        </w:rPr>
        <w:t>本課程內容包括：</w:t>
      </w:r>
    </w:p>
    <w:p w:rsidR="002E23EE" w:rsidRPr="005A4670" w:rsidRDefault="002E23EE" w:rsidP="006846DA">
      <w:pPr>
        <w:pStyle w:val="a3"/>
        <w:ind w:leftChars="0" w:left="567"/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>會計借貸原則、會計方程式、分析與記錄交易、調整分錄、會計循環、買賣業會計、內部控制、現金及約當現金、存貨分類、存貨成本、應收款項會計處理、編製財務報表（資產負債表、綜合損益表、權益變動表、現金流量表）等。</w:t>
      </w:r>
    </w:p>
    <w:p w:rsidR="001E71F7" w:rsidRPr="005A4670" w:rsidRDefault="00B46297" w:rsidP="00B46297">
      <w:pPr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>六</w:t>
      </w:r>
      <w:r w:rsidR="006846DA" w:rsidRPr="005A4670">
        <w:rPr>
          <w:rFonts w:ascii="標楷體" w:eastAsia="標楷體" w:hAnsi="標楷體" w:hint="eastAsia"/>
          <w:szCs w:val="24"/>
        </w:rPr>
        <w:t>、</w:t>
      </w:r>
      <w:r w:rsidR="00821F32" w:rsidRPr="005A4670">
        <w:rPr>
          <w:rFonts w:ascii="標楷體" w:eastAsia="標楷體" w:hAnsi="標楷體" w:hint="eastAsia"/>
          <w:szCs w:val="24"/>
        </w:rPr>
        <w:t>英</w:t>
      </w:r>
      <w:r w:rsidR="001E71F7" w:rsidRPr="005A4670">
        <w:rPr>
          <w:rFonts w:ascii="標楷體" w:eastAsia="標楷體" w:hAnsi="標楷體" w:hint="eastAsia"/>
          <w:szCs w:val="24"/>
        </w:rPr>
        <w:t>文課程簡介</w:t>
      </w:r>
    </w:p>
    <w:p w:rsidR="002E23EE" w:rsidRPr="005A4670" w:rsidRDefault="00F7497B" w:rsidP="002E23EE">
      <w:pPr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/>
          <w:szCs w:val="24"/>
        </w:rPr>
        <w:t>This course covers the following major parts：</w:t>
      </w:r>
      <w:r w:rsidR="002E23EE" w:rsidRPr="005A4670">
        <w:rPr>
          <w:rFonts w:ascii="標楷體" w:eastAsia="標楷體" w:hAnsi="標楷體" w:hint="eastAsia"/>
          <w:szCs w:val="24"/>
        </w:rPr>
        <w:t>debit/credit principle、accounting equation、analyzing and recording transactions 、adjusting accounts、accounting cycle、accounting for merchandising operations、</w:t>
      </w:r>
      <w:r w:rsidR="002E23EE" w:rsidRPr="005A4670">
        <w:rPr>
          <w:rFonts w:ascii="標楷體" w:eastAsia="標楷體" w:hAnsi="標楷體"/>
          <w:szCs w:val="24"/>
        </w:rPr>
        <w:lastRenderedPageBreak/>
        <w:t>internal control</w:t>
      </w:r>
      <w:r w:rsidR="002E23EE" w:rsidRPr="005A4670">
        <w:rPr>
          <w:rFonts w:ascii="標楷體" w:eastAsia="標楷體" w:hAnsi="標楷體" w:hint="eastAsia"/>
          <w:szCs w:val="24"/>
        </w:rPr>
        <w:t>、cash and</w:t>
      </w:r>
      <w:r w:rsidR="004A4B48" w:rsidRPr="005A4670">
        <w:rPr>
          <w:rFonts w:ascii="標楷體" w:eastAsia="標楷體" w:hAnsi="標楷體" w:hint="eastAsia"/>
          <w:szCs w:val="24"/>
        </w:rPr>
        <w:t xml:space="preserve"> cash</w:t>
      </w:r>
      <w:r w:rsidR="002E23EE" w:rsidRPr="005A4670">
        <w:rPr>
          <w:rFonts w:ascii="標楷體" w:eastAsia="標楷體" w:hAnsi="標楷體" w:hint="eastAsia"/>
          <w:szCs w:val="24"/>
        </w:rPr>
        <w:t xml:space="preserve"> equivalents 、classifying </w:t>
      </w:r>
      <w:r w:rsidR="002E23EE" w:rsidRPr="005A4670">
        <w:rPr>
          <w:rFonts w:ascii="標楷體" w:eastAsia="標楷體" w:hAnsi="標楷體"/>
          <w:szCs w:val="24"/>
        </w:rPr>
        <w:t>inventory</w:t>
      </w:r>
      <w:r w:rsidR="002E23EE" w:rsidRPr="005A4670">
        <w:rPr>
          <w:rFonts w:ascii="標楷體" w:eastAsia="標楷體" w:hAnsi="標楷體" w:hint="eastAsia"/>
          <w:szCs w:val="24"/>
        </w:rPr>
        <w:t xml:space="preserve"> 、</w:t>
      </w:r>
      <w:r w:rsidR="002E23EE" w:rsidRPr="005A4670">
        <w:rPr>
          <w:rFonts w:ascii="標楷體" w:eastAsia="標楷體" w:hAnsi="標楷體"/>
          <w:szCs w:val="24"/>
        </w:rPr>
        <w:t>inventory</w:t>
      </w:r>
      <w:r w:rsidR="002E23EE" w:rsidRPr="005A4670">
        <w:rPr>
          <w:rFonts w:ascii="標楷體" w:eastAsia="標楷體" w:hAnsi="標楷體" w:hint="eastAsia"/>
          <w:szCs w:val="24"/>
        </w:rPr>
        <w:t xml:space="preserve"> costing 、accounting for receivables 、preparing financial statements（</w:t>
      </w:r>
      <w:r w:rsidR="002E23EE" w:rsidRPr="005A4670">
        <w:rPr>
          <w:rFonts w:ascii="標楷體" w:eastAsia="標楷體" w:hAnsi="標楷體"/>
          <w:szCs w:val="24"/>
        </w:rPr>
        <w:t>B</w:t>
      </w:r>
      <w:r w:rsidR="002E23EE" w:rsidRPr="005A4670">
        <w:rPr>
          <w:rFonts w:ascii="標楷體" w:eastAsia="標楷體" w:hAnsi="標楷體" w:hint="eastAsia"/>
          <w:szCs w:val="24"/>
        </w:rPr>
        <w:t>alance sheet、comprehensive income statement、statement of changes in equity、statement of cash flows）</w:t>
      </w:r>
      <w:r w:rsidR="002E23EE" w:rsidRPr="005A4670">
        <w:rPr>
          <w:rFonts w:ascii="標楷體" w:eastAsia="標楷體" w:hAnsi="標楷體"/>
          <w:szCs w:val="24"/>
        </w:rPr>
        <w:t>,etc.</w:t>
      </w:r>
    </w:p>
    <w:p w:rsidR="003943BD" w:rsidRDefault="00D64EE6" w:rsidP="003943BD">
      <w:pPr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>七、成績考核</w:t>
      </w:r>
      <w:r w:rsidR="003943BD">
        <w:rPr>
          <w:rFonts w:ascii="標楷體" w:eastAsia="標楷體" w:hAnsi="標楷體" w:hint="eastAsia"/>
          <w:szCs w:val="24"/>
        </w:rPr>
        <w:t>：</w:t>
      </w:r>
    </w:p>
    <w:p w:rsidR="00D64EE6" w:rsidRDefault="003943BD" w:rsidP="003943B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（一）</w:t>
      </w:r>
      <w:r w:rsidR="00D64EE6" w:rsidRPr="005A4670">
        <w:rPr>
          <w:rFonts w:ascii="標楷體" w:eastAsia="標楷體" w:hAnsi="標楷體" w:hint="eastAsia"/>
          <w:szCs w:val="24"/>
        </w:rPr>
        <w:t>出席及課堂參與  15％</w:t>
      </w:r>
    </w:p>
    <w:p w:rsidR="00D64EE6" w:rsidRPr="005A4670" w:rsidRDefault="003943BD" w:rsidP="003943B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（二）</w:t>
      </w:r>
      <w:r w:rsidR="00D64EE6" w:rsidRPr="005A4670">
        <w:rPr>
          <w:rFonts w:ascii="標楷體" w:eastAsia="標楷體" w:hAnsi="標楷體" w:hint="eastAsia"/>
          <w:szCs w:val="24"/>
        </w:rPr>
        <w:t>個案討論</w:t>
      </w:r>
      <w:r w:rsidR="00AF68B2" w:rsidRPr="005A4670">
        <w:rPr>
          <w:rFonts w:ascii="標楷體" w:eastAsia="標楷體" w:hAnsi="標楷體" w:hint="eastAsia"/>
          <w:szCs w:val="24"/>
        </w:rPr>
        <w:t xml:space="preserve">  </w:t>
      </w:r>
      <w:r w:rsidR="00D64EE6" w:rsidRPr="005A4670">
        <w:rPr>
          <w:rFonts w:ascii="標楷體" w:eastAsia="標楷體" w:hAnsi="標楷體" w:hint="eastAsia"/>
          <w:szCs w:val="24"/>
        </w:rPr>
        <w:t>25％</w:t>
      </w:r>
    </w:p>
    <w:p w:rsidR="00D64EE6" w:rsidRDefault="003943BD" w:rsidP="003943B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（三）</w:t>
      </w:r>
      <w:r w:rsidR="00D64EE6" w:rsidRPr="005A4670">
        <w:rPr>
          <w:rFonts w:ascii="標楷體" w:eastAsia="標楷體" w:hAnsi="標楷體" w:hint="eastAsia"/>
          <w:szCs w:val="24"/>
        </w:rPr>
        <w:t xml:space="preserve">平時考一 </w:t>
      </w:r>
      <w:r w:rsidR="000C04EC" w:rsidRPr="005A4670">
        <w:rPr>
          <w:rFonts w:ascii="標楷體" w:eastAsia="標楷體" w:hAnsi="標楷體" w:hint="eastAsia"/>
          <w:szCs w:val="24"/>
        </w:rPr>
        <w:t xml:space="preserve"> </w:t>
      </w:r>
      <w:r w:rsidR="00D64EE6" w:rsidRPr="005A4670">
        <w:rPr>
          <w:rFonts w:ascii="標楷體" w:eastAsia="標楷體" w:hAnsi="標楷體" w:hint="eastAsia"/>
          <w:szCs w:val="24"/>
        </w:rPr>
        <w:t>20％</w:t>
      </w:r>
    </w:p>
    <w:p w:rsidR="00D64EE6" w:rsidRDefault="003943BD" w:rsidP="003943B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（四）</w:t>
      </w:r>
      <w:r w:rsidR="00D64EE6" w:rsidRPr="005A4670">
        <w:rPr>
          <w:rFonts w:ascii="標楷體" w:eastAsia="標楷體" w:hAnsi="標楷體" w:hint="eastAsia"/>
          <w:szCs w:val="24"/>
        </w:rPr>
        <w:t xml:space="preserve">平時考二 </w:t>
      </w:r>
      <w:r w:rsidR="000C04EC" w:rsidRPr="005A4670">
        <w:rPr>
          <w:rFonts w:ascii="標楷體" w:eastAsia="標楷體" w:hAnsi="標楷體" w:hint="eastAsia"/>
          <w:szCs w:val="24"/>
        </w:rPr>
        <w:t xml:space="preserve"> </w:t>
      </w:r>
      <w:r w:rsidR="00D64EE6" w:rsidRPr="005A4670">
        <w:rPr>
          <w:rFonts w:ascii="標楷體" w:eastAsia="標楷體" w:hAnsi="標楷體" w:hint="eastAsia"/>
          <w:szCs w:val="24"/>
        </w:rPr>
        <w:t>20％</w:t>
      </w:r>
    </w:p>
    <w:p w:rsidR="00D64EE6" w:rsidRPr="003943BD" w:rsidRDefault="003943BD" w:rsidP="003943B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（五）</w:t>
      </w:r>
      <w:r w:rsidR="00D64EE6" w:rsidRPr="003943BD">
        <w:rPr>
          <w:rFonts w:ascii="標楷體" w:eastAsia="標楷體" w:hAnsi="標楷體" w:hint="eastAsia"/>
          <w:szCs w:val="24"/>
        </w:rPr>
        <w:t xml:space="preserve">平時考三 </w:t>
      </w:r>
      <w:r w:rsidR="00AF68B2" w:rsidRPr="003943BD">
        <w:rPr>
          <w:rFonts w:ascii="標楷體" w:eastAsia="標楷體" w:hAnsi="標楷體" w:hint="eastAsia"/>
          <w:szCs w:val="24"/>
        </w:rPr>
        <w:t xml:space="preserve"> </w:t>
      </w:r>
      <w:r w:rsidR="00D64EE6" w:rsidRPr="003943BD">
        <w:rPr>
          <w:rFonts w:ascii="標楷體" w:eastAsia="標楷體" w:hAnsi="標楷體" w:hint="eastAsia"/>
          <w:szCs w:val="24"/>
        </w:rPr>
        <w:t>20％</w:t>
      </w:r>
    </w:p>
    <w:p w:rsidR="008B28C2" w:rsidRPr="005A4670" w:rsidRDefault="00D64EE6" w:rsidP="009134AE">
      <w:pPr>
        <w:pStyle w:val="a3"/>
        <w:ind w:leftChars="0" w:left="0"/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>八</w:t>
      </w:r>
      <w:r w:rsidR="008B28C2" w:rsidRPr="005A4670">
        <w:rPr>
          <w:rFonts w:ascii="標楷體" w:eastAsia="標楷體" w:hAnsi="標楷體" w:hint="eastAsia"/>
          <w:szCs w:val="24"/>
        </w:rPr>
        <w:t xml:space="preserve"> 、會計基本理念</w:t>
      </w:r>
    </w:p>
    <w:p w:rsidR="008B28C2" w:rsidRPr="005A4670" w:rsidRDefault="00A96700" w:rsidP="00A96700">
      <w:pPr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>（一）</w:t>
      </w:r>
      <w:r w:rsidR="008B28C2" w:rsidRPr="005A4670">
        <w:rPr>
          <w:rFonts w:ascii="標楷體" w:eastAsia="標楷體" w:hAnsi="標楷體" w:hint="eastAsia"/>
          <w:szCs w:val="24"/>
        </w:rPr>
        <w:t>Accounting equation</w:t>
      </w:r>
    </w:p>
    <w:p w:rsidR="00590EF6" w:rsidRPr="005A4670" w:rsidRDefault="00A96700" w:rsidP="00A96700">
      <w:pPr>
        <w:ind w:leftChars="100" w:left="240" w:rightChars="-350" w:right="-840"/>
        <w:jc w:val="both"/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 xml:space="preserve">    </w:t>
      </w:r>
      <w:r w:rsidR="00590EF6" w:rsidRPr="005A4670">
        <w:rPr>
          <w:rFonts w:ascii="標楷體" w:eastAsia="標楷體" w:hAnsi="標楷體"/>
          <w:szCs w:val="24"/>
        </w:rPr>
        <w:t>Assets</w:t>
      </w:r>
      <w:r w:rsidR="00590EF6" w:rsidRPr="005A4670">
        <w:rPr>
          <w:rFonts w:ascii="標楷體" w:eastAsia="標楷體" w:hAnsi="標楷體" w:hint="eastAsia"/>
          <w:szCs w:val="24"/>
        </w:rPr>
        <w:t xml:space="preserve">＝Liabilities＋Equity </w:t>
      </w:r>
    </w:p>
    <w:p w:rsidR="008B28C2" w:rsidRPr="005A4670" w:rsidRDefault="00A96700" w:rsidP="00A96700">
      <w:pPr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>（二）</w:t>
      </w:r>
      <w:r w:rsidR="008B28C2" w:rsidRPr="005A4670">
        <w:rPr>
          <w:rFonts w:ascii="標楷體" w:eastAsia="標楷體" w:hAnsi="標楷體" w:hint="eastAsia"/>
          <w:szCs w:val="24"/>
        </w:rPr>
        <w:t>Debit/credit principle</w:t>
      </w:r>
    </w:p>
    <w:p w:rsidR="001803BD" w:rsidRPr="005A4670" w:rsidRDefault="00A96700" w:rsidP="00A96700">
      <w:pPr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>（三）</w:t>
      </w:r>
      <w:r w:rsidR="001803BD" w:rsidRPr="005A4670">
        <w:rPr>
          <w:rFonts w:ascii="標楷體" w:eastAsia="標楷體" w:hAnsi="標楷體" w:hint="eastAsia"/>
          <w:szCs w:val="24"/>
        </w:rPr>
        <w:t xml:space="preserve">Journal </w:t>
      </w:r>
      <w:r w:rsidR="000C04EC" w:rsidRPr="005A4670">
        <w:rPr>
          <w:rFonts w:ascii="標楷體" w:eastAsia="標楷體" w:hAnsi="標楷體" w:hint="eastAsia"/>
          <w:szCs w:val="24"/>
        </w:rPr>
        <w:t xml:space="preserve"> </w:t>
      </w:r>
      <w:r w:rsidR="001803BD" w:rsidRPr="005A4670">
        <w:rPr>
          <w:rFonts w:ascii="標楷體" w:eastAsia="標楷體" w:hAnsi="標楷體" w:hint="eastAsia"/>
          <w:szCs w:val="24"/>
        </w:rPr>
        <w:t xml:space="preserve">＆ </w:t>
      </w:r>
      <w:r w:rsidR="000C04EC" w:rsidRPr="005A4670">
        <w:rPr>
          <w:rFonts w:ascii="標楷體" w:eastAsia="標楷體" w:hAnsi="標楷體" w:hint="eastAsia"/>
          <w:szCs w:val="24"/>
        </w:rPr>
        <w:t xml:space="preserve"> </w:t>
      </w:r>
      <w:r w:rsidR="001803BD" w:rsidRPr="005A4670">
        <w:rPr>
          <w:rFonts w:ascii="標楷體" w:eastAsia="標楷體" w:hAnsi="標楷體" w:hint="eastAsia"/>
          <w:szCs w:val="24"/>
        </w:rPr>
        <w:t>Ledger</w:t>
      </w:r>
    </w:p>
    <w:p w:rsidR="000D52E2" w:rsidRPr="005A4670" w:rsidRDefault="00D64EE6" w:rsidP="002E23EE">
      <w:pPr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>九</w:t>
      </w:r>
      <w:r w:rsidR="000D52E2" w:rsidRPr="005A4670">
        <w:rPr>
          <w:rFonts w:ascii="標楷體" w:eastAsia="標楷體" w:hAnsi="標楷體" w:hint="eastAsia"/>
          <w:szCs w:val="24"/>
        </w:rPr>
        <w:t>、衡量原則</w:t>
      </w:r>
    </w:p>
    <w:p w:rsidR="000D52E2" w:rsidRPr="005A4670" w:rsidRDefault="000D52E2" w:rsidP="002E23EE">
      <w:pPr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>（一）歷史成本原則（historical cost principle）</w:t>
      </w:r>
    </w:p>
    <w:p w:rsidR="000D52E2" w:rsidRPr="005A4670" w:rsidRDefault="000D52E2" w:rsidP="002E23EE">
      <w:pPr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>（二）</w:t>
      </w:r>
      <w:r w:rsidR="001A4E6F" w:rsidRPr="005A4670">
        <w:rPr>
          <w:rFonts w:ascii="標楷體" w:eastAsia="標楷體" w:hAnsi="標楷體" w:hint="eastAsia"/>
          <w:szCs w:val="24"/>
        </w:rPr>
        <w:t>公允價值原則</w:t>
      </w:r>
      <w:r w:rsidRPr="005A4670">
        <w:rPr>
          <w:rFonts w:ascii="標楷體" w:eastAsia="標楷體" w:hAnsi="標楷體" w:hint="eastAsia"/>
          <w:szCs w:val="24"/>
        </w:rPr>
        <w:t>（fair value principle）</w:t>
      </w:r>
    </w:p>
    <w:p w:rsidR="006B4B95" w:rsidRPr="005A4670" w:rsidRDefault="00D64EE6" w:rsidP="002E23EE">
      <w:pPr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>十</w:t>
      </w:r>
      <w:r w:rsidR="006B4B95" w:rsidRPr="005A4670">
        <w:rPr>
          <w:rFonts w:ascii="標楷體" w:eastAsia="標楷體" w:hAnsi="標楷體" w:hint="eastAsia"/>
          <w:szCs w:val="24"/>
        </w:rPr>
        <w:t>、會計資訊使用者</w:t>
      </w:r>
    </w:p>
    <w:p w:rsidR="006B4B95" w:rsidRPr="005A4670" w:rsidRDefault="006B4B95" w:rsidP="002E23EE">
      <w:pPr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>（一）內部使用者；企業管理階層、員工等。</w:t>
      </w:r>
    </w:p>
    <w:p w:rsidR="006B4B95" w:rsidRPr="005A4670" w:rsidRDefault="006B4B95" w:rsidP="002E23EE">
      <w:pPr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>（二）外部使用者：投資人、債權人、主管機關等。</w:t>
      </w:r>
    </w:p>
    <w:p w:rsidR="007547B9" w:rsidRDefault="00FE47D2" w:rsidP="007547B9">
      <w:pPr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>十</w:t>
      </w:r>
      <w:r w:rsidR="00D64EE6" w:rsidRPr="005A4670">
        <w:rPr>
          <w:rFonts w:ascii="標楷體" w:eastAsia="標楷體" w:hAnsi="標楷體" w:hint="eastAsia"/>
          <w:szCs w:val="24"/>
        </w:rPr>
        <w:t>一</w:t>
      </w:r>
      <w:r w:rsidRPr="005A4670">
        <w:rPr>
          <w:rFonts w:ascii="標楷體" w:eastAsia="標楷體" w:hAnsi="標楷體" w:hint="eastAsia"/>
          <w:szCs w:val="24"/>
        </w:rPr>
        <w:t>、會計準則</w:t>
      </w:r>
      <w:r w:rsidR="00F0528A" w:rsidRPr="005A4670">
        <w:rPr>
          <w:rFonts w:ascii="標楷體" w:eastAsia="標楷體" w:hAnsi="標楷體" w:hint="eastAsia"/>
          <w:szCs w:val="24"/>
        </w:rPr>
        <w:t xml:space="preserve"> （一般公認會計原則－generally accepted</w:t>
      </w:r>
      <w:r w:rsidR="007547B9">
        <w:rPr>
          <w:rFonts w:ascii="標楷體" w:eastAsia="標楷體" w:hAnsi="標楷體" w:hint="eastAsia"/>
          <w:szCs w:val="24"/>
        </w:rPr>
        <w:t xml:space="preserve"> </w:t>
      </w:r>
      <w:r w:rsidR="007547B9" w:rsidRPr="005A4670">
        <w:rPr>
          <w:rFonts w:ascii="標楷體" w:eastAsia="標楷體" w:hAnsi="標楷體" w:hint="eastAsia"/>
          <w:szCs w:val="24"/>
        </w:rPr>
        <w:t>accounting</w:t>
      </w:r>
    </w:p>
    <w:p w:rsidR="007547B9" w:rsidRPr="005A4670" w:rsidRDefault="007547B9" w:rsidP="007547B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</w:t>
      </w:r>
      <w:r w:rsidRPr="005A4670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 xml:space="preserve"> </w:t>
      </w:r>
      <w:r w:rsidRPr="005A4670">
        <w:rPr>
          <w:rFonts w:ascii="標楷體" w:eastAsia="標楷體" w:hAnsi="標楷體" w:hint="eastAsia"/>
          <w:szCs w:val="24"/>
        </w:rPr>
        <w:t>principle, GAAP ）</w:t>
      </w:r>
    </w:p>
    <w:p w:rsidR="00FE47D2" w:rsidRPr="005A4670" w:rsidRDefault="00FE47D2" w:rsidP="002E23EE">
      <w:pPr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>（一）國際會計準則理事會</w:t>
      </w:r>
      <w:r w:rsidR="008B747D" w:rsidRPr="005A4670">
        <w:rPr>
          <w:rFonts w:ascii="標楷體" w:eastAsia="標楷體" w:hAnsi="標楷體" w:hint="eastAsia"/>
          <w:szCs w:val="24"/>
        </w:rPr>
        <w:t xml:space="preserve"> </w:t>
      </w:r>
      <w:r w:rsidRPr="005A4670">
        <w:rPr>
          <w:rFonts w:ascii="標楷體" w:eastAsia="標楷體" w:hAnsi="標楷體" w:hint="eastAsia"/>
          <w:szCs w:val="24"/>
        </w:rPr>
        <w:t>（International Accounting Standards</w:t>
      </w:r>
    </w:p>
    <w:p w:rsidR="00FE47D2" w:rsidRPr="005A4670" w:rsidRDefault="00FE47D2" w:rsidP="005A4670">
      <w:pPr>
        <w:ind w:firstLineChars="250" w:firstLine="600"/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 xml:space="preserve"> Board, IASB）</w:t>
      </w:r>
      <w:r w:rsidR="00F0528A" w:rsidRPr="005A4670">
        <w:rPr>
          <w:rFonts w:ascii="標楷體" w:eastAsia="標楷體" w:hAnsi="標楷體" w:hint="eastAsia"/>
          <w:szCs w:val="24"/>
        </w:rPr>
        <w:t xml:space="preserve"> </w:t>
      </w:r>
      <w:r w:rsidRPr="005A4670">
        <w:rPr>
          <w:rFonts w:ascii="標楷體" w:eastAsia="標楷體" w:hAnsi="標楷體" w:hint="eastAsia"/>
          <w:szCs w:val="24"/>
        </w:rPr>
        <w:t>發布之國際財務報導準則</w:t>
      </w:r>
      <w:r w:rsidR="008B747D" w:rsidRPr="005A4670">
        <w:rPr>
          <w:rFonts w:ascii="標楷體" w:eastAsia="標楷體" w:hAnsi="標楷體" w:hint="eastAsia"/>
          <w:szCs w:val="24"/>
        </w:rPr>
        <w:t xml:space="preserve"> </w:t>
      </w:r>
      <w:r w:rsidRPr="005A4670">
        <w:rPr>
          <w:rFonts w:ascii="標楷體" w:eastAsia="標楷體" w:hAnsi="標楷體" w:hint="eastAsia"/>
          <w:szCs w:val="24"/>
        </w:rPr>
        <w:t>（International</w:t>
      </w:r>
    </w:p>
    <w:p w:rsidR="00FE47D2" w:rsidRPr="005A4670" w:rsidRDefault="00FE47D2" w:rsidP="005A4670">
      <w:pPr>
        <w:ind w:firstLineChars="250" w:firstLine="600"/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 xml:space="preserve"> Financial Reporting Standards, IFRS）。</w:t>
      </w:r>
    </w:p>
    <w:p w:rsidR="00FE47D2" w:rsidRPr="005A4670" w:rsidRDefault="00FE47D2" w:rsidP="005A4670">
      <w:pPr>
        <w:ind w:leftChars="-350" w:left="-840" w:firstLineChars="250" w:firstLine="600"/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 xml:space="preserve"> </w:t>
      </w:r>
      <w:r w:rsidR="007547B9">
        <w:rPr>
          <w:rFonts w:ascii="標楷體" w:eastAsia="標楷體" w:hAnsi="標楷體" w:hint="eastAsia"/>
          <w:szCs w:val="24"/>
        </w:rPr>
        <w:t xml:space="preserve"> </w:t>
      </w:r>
      <w:r w:rsidRPr="005A4670">
        <w:rPr>
          <w:rFonts w:ascii="標楷體" w:eastAsia="標楷體" w:hAnsi="標楷體" w:hint="eastAsia"/>
          <w:szCs w:val="24"/>
        </w:rPr>
        <w:t>（二）中華民國會計研究發展基金會發布之企業會計準則。</w:t>
      </w:r>
    </w:p>
    <w:p w:rsidR="002E23EE" w:rsidRPr="005A4670" w:rsidRDefault="00A56F0C" w:rsidP="002E23EE">
      <w:pPr>
        <w:rPr>
          <w:rFonts w:ascii="標楷體" w:eastAsia="標楷體" w:hAnsi="標楷體"/>
          <w:szCs w:val="24"/>
        </w:rPr>
      </w:pPr>
      <w:r w:rsidRPr="005A4670">
        <w:rPr>
          <w:rFonts w:ascii="標楷體" w:eastAsia="標楷體" w:hAnsi="標楷體" w:hint="eastAsia"/>
          <w:szCs w:val="24"/>
        </w:rPr>
        <w:t>十</w:t>
      </w:r>
      <w:r w:rsidR="00D64EE6" w:rsidRPr="005A4670">
        <w:rPr>
          <w:rFonts w:ascii="標楷體" w:eastAsia="標楷體" w:hAnsi="標楷體" w:hint="eastAsia"/>
          <w:szCs w:val="24"/>
        </w:rPr>
        <w:t>二</w:t>
      </w:r>
      <w:r w:rsidR="00B46297" w:rsidRPr="005A4670">
        <w:rPr>
          <w:rFonts w:ascii="標楷體" w:eastAsia="標楷體" w:hAnsi="標楷體" w:hint="eastAsia"/>
          <w:szCs w:val="24"/>
        </w:rPr>
        <w:t>、</w:t>
      </w:r>
      <w:r w:rsidR="006A5E38" w:rsidRPr="005A4670">
        <w:rPr>
          <w:rFonts w:ascii="標楷體" w:eastAsia="標楷體" w:hAnsi="標楷體" w:hint="eastAsia"/>
          <w:szCs w:val="24"/>
        </w:rPr>
        <w:t>財務報表名稱之變革</w:t>
      </w:r>
    </w:p>
    <w:p w:rsidR="007547B9" w:rsidRDefault="007547B9" w:rsidP="005A4670">
      <w:pPr>
        <w:ind w:leftChars="-50" w:left="-1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 w:rsidR="00142629" w:rsidRPr="005A4670">
        <w:rPr>
          <w:rFonts w:ascii="標楷體" w:eastAsia="標楷體" w:hAnsi="標楷體"/>
          <w:szCs w:val="24"/>
        </w:rPr>
        <w:t>（</w:t>
      </w:r>
      <w:r w:rsidR="00142629" w:rsidRPr="005A4670">
        <w:rPr>
          <w:rFonts w:ascii="標楷體" w:eastAsia="標楷體" w:hAnsi="標楷體" w:hint="eastAsia"/>
          <w:szCs w:val="24"/>
        </w:rPr>
        <w:t>一</w:t>
      </w:r>
      <w:r w:rsidR="00142629" w:rsidRPr="005A4670">
        <w:rPr>
          <w:rFonts w:ascii="標楷體" w:eastAsia="標楷體" w:hAnsi="標楷體"/>
          <w:szCs w:val="24"/>
        </w:rPr>
        <w:t>）B</w:t>
      </w:r>
      <w:r w:rsidR="00142629" w:rsidRPr="005A4670">
        <w:rPr>
          <w:rFonts w:ascii="標楷體" w:eastAsia="標楷體" w:hAnsi="標楷體" w:hint="eastAsia"/>
          <w:szCs w:val="24"/>
        </w:rPr>
        <w:t xml:space="preserve">alance sheet （資產負債表） vs. </w:t>
      </w:r>
    </w:p>
    <w:p w:rsidR="00142629" w:rsidRPr="005A4670" w:rsidRDefault="007547B9" w:rsidP="005A4670">
      <w:pPr>
        <w:ind w:leftChars="-50" w:left="-1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</w:t>
      </w:r>
      <w:r w:rsidR="002D1393" w:rsidRPr="005A4670">
        <w:rPr>
          <w:rFonts w:ascii="標楷體" w:eastAsia="標楷體" w:hAnsi="標楷體" w:hint="eastAsia"/>
          <w:szCs w:val="24"/>
        </w:rPr>
        <w:t>S</w:t>
      </w:r>
      <w:r w:rsidR="00142629" w:rsidRPr="005A4670">
        <w:rPr>
          <w:rFonts w:ascii="標楷體" w:eastAsia="標楷體" w:hAnsi="標楷體" w:hint="eastAsia"/>
          <w:szCs w:val="24"/>
        </w:rPr>
        <w:t>tatement of financial</w:t>
      </w:r>
      <w:r w:rsidR="00593575">
        <w:rPr>
          <w:rFonts w:ascii="標楷體" w:eastAsia="標楷體" w:hAnsi="標楷體" w:hint="eastAsia"/>
          <w:szCs w:val="24"/>
        </w:rPr>
        <w:t xml:space="preserve"> </w:t>
      </w:r>
      <w:r w:rsidR="00142629" w:rsidRPr="005A4670">
        <w:rPr>
          <w:rFonts w:ascii="標楷體" w:eastAsia="標楷體" w:hAnsi="標楷體" w:hint="eastAsia"/>
          <w:szCs w:val="24"/>
        </w:rPr>
        <w:t>position（財務狀況表）</w:t>
      </w:r>
    </w:p>
    <w:p w:rsidR="007547B9" w:rsidRDefault="007547B9" w:rsidP="003F799A">
      <w:pPr>
        <w:ind w:leftChars="-50" w:left="-1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 w:rsidR="002D1393" w:rsidRPr="005A4670">
        <w:rPr>
          <w:rFonts w:ascii="標楷體" w:eastAsia="標楷體" w:hAnsi="標楷體" w:hint="eastAsia"/>
          <w:szCs w:val="24"/>
        </w:rPr>
        <w:t>（二）Co</w:t>
      </w:r>
      <w:r w:rsidR="00142629" w:rsidRPr="005A4670">
        <w:rPr>
          <w:rFonts w:ascii="標楷體" w:eastAsia="標楷體" w:hAnsi="標楷體" w:hint="eastAsia"/>
          <w:szCs w:val="24"/>
        </w:rPr>
        <w:t>mprehensive income</w:t>
      </w:r>
      <w:r w:rsidR="003F799A" w:rsidRPr="005A4670">
        <w:rPr>
          <w:rFonts w:ascii="標楷體" w:eastAsia="標楷體" w:hAnsi="標楷體" w:hint="eastAsia"/>
          <w:szCs w:val="24"/>
        </w:rPr>
        <w:t xml:space="preserve"> </w:t>
      </w:r>
      <w:r w:rsidR="00142629" w:rsidRPr="005A4670">
        <w:rPr>
          <w:rFonts w:ascii="標楷體" w:eastAsia="標楷體" w:hAnsi="標楷體" w:hint="eastAsia"/>
          <w:szCs w:val="24"/>
        </w:rPr>
        <w:t>statement（綜合損益表） vs.</w:t>
      </w:r>
    </w:p>
    <w:p w:rsidR="00142629" w:rsidRPr="005A4670" w:rsidRDefault="007547B9" w:rsidP="005A4670">
      <w:pPr>
        <w:ind w:leftChars="-50" w:left="-1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</w:t>
      </w:r>
      <w:r w:rsidR="00142629" w:rsidRPr="005A4670">
        <w:rPr>
          <w:rFonts w:ascii="標楷體" w:eastAsia="標楷體" w:hAnsi="標楷體" w:hint="eastAsia"/>
          <w:szCs w:val="24"/>
        </w:rPr>
        <w:t xml:space="preserve"> </w:t>
      </w:r>
      <w:r w:rsidR="002D1393" w:rsidRPr="005A4670">
        <w:rPr>
          <w:rFonts w:ascii="標楷體" w:eastAsia="標楷體" w:hAnsi="標楷體" w:hint="eastAsia"/>
          <w:szCs w:val="24"/>
        </w:rPr>
        <w:t>I</w:t>
      </w:r>
      <w:r w:rsidR="00142629" w:rsidRPr="005A4670">
        <w:rPr>
          <w:rFonts w:ascii="標楷體" w:eastAsia="標楷體" w:hAnsi="標楷體" w:hint="eastAsia"/>
          <w:szCs w:val="24"/>
        </w:rPr>
        <w:t>ncome</w:t>
      </w:r>
      <w:r>
        <w:rPr>
          <w:rFonts w:ascii="標楷體" w:eastAsia="標楷體" w:hAnsi="標楷體" w:hint="eastAsia"/>
          <w:szCs w:val="24"/>
        </w:rPr>
        <w:t xml:space="preserve"> </w:t>
      </w:r>
      <w:r w:rsidR="00142629" w:rsidRPr="005A4670">
        <w:rPr>
          <w:rFonts w:ascii="標楷體" w:eastAsia="標楷體" w:hAnsi="標楷體" w:hint="eastAsia"/>
          <w:szCs w:val="24"/>
        </w:rPr>
        <w:t>statement（損益表）</w:t>
      </w:r>
    </w:p>
    <w:p w:rsidR="007547B9" w:rsidRDefault="007547B9" w:rsidP="003F799A">
      <w:pPr>
        <w:ind w:leftChars="-50" w:left="-1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 w:rsidR="00A84FA0" w:rsidRPr="005A4670">
        <w:rPr>
          <w:rFonts w:ascii="標楷體" w:eastAsia="標楷體" w:hAnsi="標楷體" w:hint="eastAsia"/>
          <w:szCs w:val="24"/>
        </w:rPr>
        <w:t>（</w:t>
      </w:r>
      <w:r w:rsidR="002D1393" w:rsidRPr="005A4670">
        <w:rPr>
          <w:rFonts w:ascii="標楷體" w:eastAsia="標楷體" w:hAnsi="標楷體" w:hint="eastAsia"/>
          <w:szCs w:val="24"/>
        </w:rPr>
        <w:t>三）Statement of changes in equity （權益變動表）vs.</w:t>
      </w:r>
    </w:p>
    <w:p w:rsidR="003F799A" w:rsidRPr="005A4670" w:rsidRDefault="007547B9" w:rsidP="003F799A">
      <w:pPr>
        <w:ind w:leftChars="-50" w:left="-1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</w:t>
      </w:r>
      <w:r w:rsidR="003F799A" w:rsidRPr="005A4670">
        <w:rPr>
          <w:rFonts w:ascii="標楷體" w:eastAsia="標楷體" w:hAnsi="標楷體" w:hint="eastAsia"/>
          <w:szCs w:val="24"/>
        </w:rPr>
        <w:t xml:space="preserve"> </w:t>
      </w:r>
      <w:r w:rsidR="003F799A" w:rsidRPr="005A4670">
        <w:rPr>
          <w:rFonts w:ascii="標楷體" w:eastAsia="標楷體" w:hAnsi="標楷體"/>
          <w:szCs w:val="24"/>
        </w:rPr>
        <w:t>Statement of change in Stockholders'</w:t>
      </w:r>
      <w:r w:rsidR="003F799A" w:rsidRPr="005A4670">
        <w:rPr>
          <w:rFonts w:ascii="標楷體" w:eastAsia="標楷體" w:hAnsi="標楷體" w:hint="eastAsia"/>
          <w:szCs w:val="24"/>
        </w:rPr>
        <w:t xml:space="preserve"> </w:t>
      </w:r>
      <w:r w:rsidR="003F799A" w:rsidRPr="005A4670">
        <w:rPr>
          <w:rFonts w:ascii="標楷體" w:eastAsia="標楷體" w:hAnsi="標楷體"/>
          <w:szCs w:val="24"/>
        </w:rPr>
        <w:t>Equity</w:t>
      </w:r>
      <w:r w:rsidR="003F799A" w:rsidRPr="005A4670">
        <w:rPr>
          <w:rFonts w:ascii="標楷體" w:eastAsia="標楷體" w:hAnsi="標楷體" w:hint="eastAsia"/>
          <w:szCs w:val="24"/>
        </w:rPr>
        <w:t>（</w:t>
      </w:r>
      <w:r w:rsidR="003F799A" w:rsidRPr="005A4670">
        <w:rPr>
          <w:rFonts w:ascii="標楷體" w:eastAsia="標楷體" w:hAnsi="標楷體"/>
          <w:szCs w:val="24"/>
        </w:rPr>
        <w:t>股東權益變動</w:t>
      </w:r>
      <w:r w:rsidR="003F799A" w:rsidRPr="005A4670">
        <w:rPr>
          <w:rFonts w:ascii="標楷體" w:eastAsia="標楷體" w:hAnsi="標楷體" w:hint="eastAsia"/>
          <w:szCs w:val="24"/>
        </w:rPr>
        <w:t>表）</w:t>
      </w:r>
    </w:p>
    <w:p w:rsidR="007547B9" w:rsidRDefault="007547B9" w:rsidP="003F799A">
      <w:pPr>
        <w:ind w:leftChars="-50" w:left="-120" w:rightChars="-50" w:right="-1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 w:rsidR="00A84FA0" w:rsidRPr="005A4670">
        <w:rPr>
          <w:rFonts w:ascii="標楷體" w:eastAsia="標楷體" w:hAnsi="標楷體" w:hint="eastAsia"/>
          <w:szCs w:val="24"/>
        </w:rPr>
        <w:t xml:space="preserve">（四）Statement of Cash Flows （現金流量表）vs. </w:t>
      </w:r>
    </w:p>
    <w:p w:rsidR="000D52E2" w:rsidRPr="005A4670" w:rsidRDefault="007547B9" w:rsidP="007547B9">
      <w:pPr>
        <w:ind w:leftChars="-50" w:left="-120" w:rightChars="-50" w:right="-1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</w:t>
      </w:r>
      <w:r w:rsidR="00A84FA0" w:rsidRPr="005A4670">
        <w:rPr>
          <w:rFonts w:ascii="標楷體" w:eastAsia="標楷體" w:hAnsi="標楷體" w:hint="eastAsia"/>
          <w:szCs w:val="24"/>
        </w:rPr>
        <w:t xml:space="preserve">Statement of Changes in Financial Position（財務狀況變動表） </w:t>
      </w:r>
    </w:p>
    <w:sectPr w:rsidR="000D52E2" w:rsidRPr="005A4670" w:rsidSect="00C64AB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7E6" w:rsidRDefault="00C307E6" w:rsidP="00C307E6">
      <w:r>
        <w:separator/>
      </w:r>
    </w:p>
  </w:endnote>
  <w:endnote w:type="continuationSeparator" w:id="0">
    <w:p w:rsidR="00C307E6" w:rsidRDefault="00C307E6" w:rsidP="00C307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50578"/>
      <w:docPartObj>
        <w:docPartGallery w:val="Page Numbers (Bottom of Page)"/>
        <w:docPartUnique/>
      </w:docPartObj>
    </w:sdtPr>
    <w:sdtContent>
      <w:p w:rsidR="00254BFB" w:rsidRDefault="004006A3">
        <w:pPr>
          <w:pStyle w:val="a6"/>
          <w:jc w:val="center"/>
        </w:pPr>
        <w:fldSimple w:instr=" PAGE   \* MERGEFORMAT ">
          <w:r w:rsidR="009C42B1" w:rsidRPr="009C42B1">
            <w:rPr>
              <w:noProof/>
              <w:lang w:val="zh-TW"/>
            </w:rPr>
            <w:t>1</w:t>
          </w:r>
        </w:fldSimple>
      </w:p>
    </w:sdtContent>
  </w:sdt>
  <w:p w:rsidR="00254BFB" w:rsidRDefault="00254BF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7E6" w:rsidRDefault="00C307E6" w:rsidP="00C307E6">
      <w:r>
        <w:separator/>
      </w:r>
    </w:p>
  </w:footnote>
  <w:footnote w:type="continuationSeparator" w:id="0">
    <w:p w:rsidR="00C307E6" w:rsidRDefault="00C307E6" w:rsidP="00C307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5F85"/>
    <w:multiLevelType w:val="hybridMultilevel"/>
    <w:tmpl w:val="D5DC092E"/>
    <w:lvl w:ilvl="0" w:tplc="FACC2FD2">
      <w:start w:val="1"/>
      <w:numFmt w:val="taiwaneseCountingThousand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AB6D6F"/>
    <w:multiLevelType w:val="hybridMultilevel"/>
    <w:tmpl w:val="1A2EB4EE"/>
    <w:lvl w:ilvl="0" w:tplc="3042B87C">
      <w:start w:val="1"/>
      <w:numFmt w:val="taiwaneseCountingThousand"/>
      <w:lvlText w:val="（%1）"/>
      <w:lvlJc w:val="left"/>
      <w:pPr>
        <w:ind w:left="1706" w:hanging="85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">
    <w:nsid w:val="360E7199"/>
    <w:multiLevelType w:val="hybridMultilevel"/>
    <w:tmpl w:val="DAFEEB3E"/>
    <w:lvl w:ilvl="0" w:tplc="4256401A">
      <w:start w:val="1"/>
      <w:numFmt w:val="taiwaneseCountingThousand"/>
      <w:lvlText w:val="（%1）"/>
      <w:lvlJc w:val="left"/>
      <w:pPr>
        <w:ind w:left="2445" w:hanging="88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3">
    <w:nsid w:val="38ED14A9"/>
    <w:multiLevelType w:val="hybridMultilevel"/>
    <w:tmpl w:val="5274C482"/>
    <w:lvl w:ilvl="0" w:tplc="2BF0D9D4">
      <w:start w:val="1"/>
      <w:numFmt w:val="taiwaneseCountingThousand"/>
      <w:lvlText w:val="（%1）"/>
      <w:lvlJc w:val="left"/>
      <w:pPr>
        <w:ind w:left="2445" w:hanging="885"/>
      </w:pPr>
      <w:rPr>
        <w:rFonts w:ascii="標楷體" w:eastAsia="標楷體" w:hAnsi="標楷體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>
    <w:nsid w:val="44A82072"/>
    <w:multiLevelType w:val="hybridMultilevel"/>
    <w:tmpl w:val="35CC3A58"/>
    <w:lvl w:ilvl="0" w:tplc="BB7E6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7BF706FF"/>
    <w:multiLevelType w:val="hybridMultilevel"/>
    <w:tmpl w:val="C426A2E6"/>
    <w:lvl w:ilvl="0" w:tplc="6242D1A8">
      <w:start w:val="1"/>
      <w:numFmt w:val="taiwaneseCountingThousand"/>
      <w:lvlText w:val="（%1）"/>
      <w:lvlJc w:val="left"/>
      <w:pPr>
        <w:ind w:left="2444" w:hanging="885"/>
      </w:pPr>
      <w:rPr>
        <w:rFonts w:ascii="標楷體" w:eastAsia="標楷體" w:hAnsi="標楷體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963" w:hanging="480"/>
      </w:pPr>
    </w:lvl>
    <w:lvl w:ilvl="2" w:tplc="0409001B" w:tentative="1">
      <w:start w:val="1"/>
      <w:numFmt w:val="lowerRoman"/>
      <w:lvlText w:val="%3."/>
      <w:lvlJc w:val="right"/>
      <w:pPr>
        <w:ind w:left="2443" w:hanging="480"/>
      </w:pPr>
    </w:lvl>
    <w:lvl w:ilvl="3" w:tplc="0409000F" w:tentative="1">
      <w:start w:val="1"/>
      <w:numFmt w:val="decimal"/>
      <w:lvlText w:val="%4."/>
      <w:lvlJc w:val="left"/>
      <w:pPr>
        <w:ind w:left="29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03" w:hanging="480"/>
      </w:pPr>
    </w:lvl>
    <w:lvl w:ilvl="5" w:tplc="0409001B" w:tentative="1">
      <w:start w:val="1"/>
      <w:numFmt w:val="lowerRoman"/>
      <w:lvlText w:val="%6."/>
      <w:lvlJc w:val="right"/>
      <w:pPr>
        <w:ind w:left="3883" w:hanging="480"/>
      </w:pPr>
    </w:lvl>
    <w:lvl w:ilvl="6" w:tplc="0409000F" w:tentative="1">
      <w:start w:val="1"/>
      <w:numFmt w:val="decimal"/>
      <w:lvlText w:val="%7."/>
      <w:lvlJc w:val="left"/>
      <w:pPr>
        <w:ind w:left="43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43" w:hanging="480"/>
      </w:pPr>
    </w:lvl>
    <w:lvl w:ilvl="8" w:tplc="0409001B" w:tentative="1">
      <w:start w:val="1"/>
      <w:numFmt w:val="lowerRoman"/>
      <w:lvlText w:val="%9."/>
      <w:lvlJc w:val="right"/>
      <w:pPr>
        <w:ind w:left="5323" w:hanging="4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3085"/>
    <w:rsid w:val="000244E5"/>
    <w:rsid w:val="00064CA9"/>
    <w:rsid w:val="00074E60"/>
    <w:rsid w:val="000853F1"/>
    <w:rsid w:val="000B1DF2"/>
    <w:rsid w:val="000C04EC"/>
    <w:rsid w:val="000D52E2"/>
    <w:rsid w:val="001174F9"/>
    <w:rsid w:val="00120295"/>
    <w:rsid w:val="00135378"/>
    <w:rsid w:val="0013658C"/>
    <w:rsid w:val="00142629"/>
    <w:rsid w:val="00145139"/>
    <w:rsid w:val="00173BAD"/>
    <w:rsid w:val="001803BD"/>
    <w:rsid w:val="001911F4"/>
    <w:rsid w:val="001A4E6F"/>
    <w:rsid w:val="001B17ED"/>
    <w:rsid w:val="001B723F"/>
    <w:rsid w:val="001B73FB"/>
    <w:rsid w:val="001D1A91"/>
    <w:rsid w:val="001E2A2E"/>
    <w:rsid w:val="001E71F7"/>
    <w:rsid w:val="001F09D1"/>
    <w:rsid w:val="002039C3"/>
    <w:rsid w:val="00245A73"/>
    <w:rsid w:val="002520AF"/>
    <w:rsid w:val="00254BFB"/>
    <w:rsid w:val="002603B9"/>
    <w:rsid w:val="00287AD1"/>
    <w:rsid w:val="00297409"/>
    <w:rsid w:val="002B11F6"/>
    <w:rsid w:val="002D1393"/>
    <w:rsid w:val="002E23EE"/>
    <w:rsid w:val="0032611F"/>
    <w:rsid w:val="00340CD9"/>
    <w:rsid w:val="003447C8"/>
    <w:rsid w:val="00353039"/>
    <w:rsid w:val="00354412"/>
    <w:rsid w:val="00370FDC"/>
    <w:rsid w:val="0038044D"/>
    <w:rsid w:val="00384B6A"/>
    <w:rsid w:val="003943BD"/>
    <w:rsid w:val="00394764"/>
    <w:rsid w:val="003B2CA3"/>
    <w:rsid w:val="003B5F3E"/>
    <w:rsid w:val="003C43BE"/>
    <w:rsid w:val="003F799A"/>
    <w:rsid w:val="004006A3"/>
    <w:rsid w:val="004670DB"/>
    <w:rsid w:val="004A4B48"/>
    <w:rsid w:val="004B210D"/>
    <w:rsid w:val="004F1B09"/>
    <w:rsid w:val="00535F6C"/>
    <w:rsid w:val="00550401"/>
    <w:rsid w:val="00555326"/>
    <w:rsid w:val="00576641"/>
    <w:rsid w:val="00577278"/>
    <w:rsid w:val="00590EF6"/>
    <w:rsid w:val="005924AF"/>
    <w:rsid w:val="00592AE7"/>
    <w:rsid w:val="00593575"/>
    <w:rsid w:val="005A4670"/>
    <w:rsid w:val="00655F7A"/>
    <w:rsid w:val="00682CFF"/>
    <w:rsid w:val="006846DA"/>
    <w:rsid w:val="0069014D"/>
    <w:rsid w:val="00691FD7"/>
    <w:rsid w:val="006A5E38"/>
    <w:rsid w:val="006B4B95"/>
    <w:rsid w:val="006C0F07"/>
    <w:rsid w:val="006C157F"/>
    <w:rsid w:val="006F1751"/>
    <w:rsid w:val="007017D3"/>
    <w:rsid w:val="00747056"/>
    <w:rsid w:val="007547B9"/>
    <w:rsid w:val="00760D3A"/>
    <w:rsid w:val="0076517D"/>
    <w:rsid w:val="007B028C"/>
    <w:rsid w:val="007E368D"/>
    <w:rsid w:val="007E6AE9"/>
    <w:rsid w:val="00803085"/>
    <w:rsid w:val="00821F32"/>
    <w:rsid w:val="00826183"/>
    <w:rsid w:val="008366D4"/>
    <w:rsid w:val="00843CA5"/>
    <w:rsid w:val="00846D2C"/>
    <w:rsid w:val="00852D03"/>
    <w:rsid w:val="0085646C"/>
    <w:rsid w:val="00897493"/>
    <w:rsid w:val="008B28C2"/>
    <w:rsid w:val="008B52DC"/>
    <w:rsid w:val="008B747D"/>
    <w:rsid w:val="008C51BC"/>
    <w:rsid w:val="008D1033"/>
    <w:rsid w:val="008D18AD"/>
    <w:rsid w:val="008E13CB"/>
    <w:rsid w:val="009079F3"/>
    <w:rsid w:val="009134AE"/>
    <w:rsid w:val="00924754"/>
    <w:rsid w:val="009258E2"/>
    <w:rsid w:val="00956A98"/>
    <w:rsid w:val="009760D8"/>
    <w:rsid w:val="009C42B1"/>
    <w:rsid w:val="009D363A"/>
    <w:rsid w:val="009E741A"/>
    <w:rsid w:val="00A11E50"/>
    <w:rsid w:val="00A34252"/>
    <w:rsid w:val="00A4291B"/>
    <w:rsid w:val="00A430DD"/>
    <w:rsid w:val="00A50A0C"/>
    <w:rsid w:val="00A56F0C"/>
    <w:rsid w:val="00A84215"/>
    <w:rsid w:val="00A84FA0"/>
    <w:rsid w:val="00A96700"/>
    <w:rsid w:val="00AA0AD5"/>
    <w:rsid w:val="00AA5094"/>
    <w:rsid w:val="00AE2357"/>
    <w:rsid w:val="00AF68B2"/>
    <w:rsid w:val="00B02D97"/>
    <w:rsid w:val="00B30081"/>
    <w:rsid w:val="00B321AC"/>
    <w:rsid w:val="00B42F8F"/>
    <w:rsid w:val="00B46297"/>
    <w:rsid w:val="00B51489"/>
    <w:rsid w:val="00B55B93"/>
    <w:rsid w:val="00B74290"/>
    <w:rsid w:val="00B85581"/>
    <w:rsid w:val="00BA2922"/>
    <w:rsid w:val="00BA4D78"/>
    <w:rsid w:val="00BB1E69"/>
    <w:rsid w:val="00BC7EA1"/>
    <w:rsid w:val="00C15003"/>
    <w:rsid w:val="00C307E6"/>
    <w:rsid w:val="00C41052"/>
    <w:rsid w:val="00C622D6"/>
    <w:rsid w:val="00C62434"/>
    <w:rsid w:val="00C6351D"/>
    <w:rsid w:val="00C64ABE"/>
    <w:rsid w:val="00CB249C"/>
    <w:rsid w:val="00CE408A"/>
    <w:rsid w:val="00CF227E"/>
    <w:rsid w:val="00D04423"/>
    <w:rsid w:val="00D45D65"/>
    <w:rsid w:val="00D569BB"/>
    <w:rsid w:val="00D64EE6"/>
    <w:rsid w:val="00DC2EE4"/>
    <w:rsid w:val="00DE58E4"/>
    <w:rsid w:val="00DF45CC"/>
    <w:rsid w:val="00E03AC7"/>
    <w:rsid w:val="00E23F3D"/>
    <w:rsid w:val="00E34BAF"/>
    <w:rsid w:val="00E75B81"/>
    <w:rsid w:val="00E954C0"/>
    <w:rsid w:val="00E97876"/>
    <w:rsid w:val="00EA0C57"/>
    <w:rsid w:val="00EA250F"/>
    <w:rsid w:val="00EE01E4"/>
    <w:rsid w:val="00EE2540"/>
    <w:rsid w:val="00EE2B24"/>
    <w:rsid w:val="00EE3348"/>
    <w:rsid w:val="00F0528A"/>
    <w:rsid w:val="00F20869"/>
    <w:rsid w:val="00F30AA7"/>
    <w:rsid w:val="00F53A44"/>
    <w:rsid w:val="00F7497B"/>
    <w:rsid w:val="00FA176B"/>
    <w:rsid w:val="00FA24A3"/>
    <w:rsid w:val="00FE2CE7"/>
    <w:rsid w:val="00FE47D2"/>
    <w:rsid w:val="00FE5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A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085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C307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C307E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307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307E6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84FA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1E092D-A873-4A5C-84A1-9A644FD45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cp:lastPrinted>2018-02-25T10:48:00Z</cp:lastPrinted>
  <dcterms:created xsi:type="dcterms:W3CDTF">2018-02-16T10:50:00Z</dcterms:created>
  <dcterms:modified xsi:type="dcterms:W3CDTF">2018-02-26T10:25:00Z</dcterms:modified>
</cp:coreProperties>
</file>