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napToGrid w:val="0"/>
        <w:spacing w:after="0" w:before="0"/>
      </w:pPr>
      <w:r>
        <w:t xml:space="preserve">第四作业区“党建+项目化”攻关实施方案</w:t>
      </w:r>
    </w:p>
    <w:p>
      <w:r>
        <w:t xml:space="preserve"/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为贯彻落实厂“党建深度融合深化年”活动要求，切实破解制约稳产上产、效益提升、安全生产等方面的瓶颈问题，充分发挥基层党组织战斗堡垒作用和党员先锋模范作用，特制定本实施方案。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一、指导思想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坚持以习近平新时代中国特色社会主义思想为指导，全面贯彻新时代党的建设总要求，坚持“围绕中心抓党建，抓好党建促发展”工作理念，聚焦效益开发中的难点、堵点问题，以“党建+项目化”攻关为抓手，组织党员骨干开展领衔攻关，集中攻克一批难题、提升产量效益，推动各项工作高质量发展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二、工作原则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“党建+项目化”攻关坚持以下三个原则：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（一）坚持问题导向。紧盯制约效益提升和安全生产的痛点、难点，把解决实际问题作为攻关的出发点和落脚点。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（二）坚持双向融合。将党性锤炼融入项目攻关全过程，做到“项目难点在哪里，党员作用就发挥在哪里”。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（三）坚持机制创新。建立“选题—攻关—督导—验收—激励”的全链条闭环管理机制，确保项目取得实效。</w:t>
      </w:r>
    </w:p>
    <w:p>
      <w:r>
        <w:t xml:space="preserve"/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列1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列2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列3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列4</w:t>
            </w:r>
          </w:p>
        </w:tc>
      </w:tr>
      <w:tr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11"/>
          </w:tcPr>
          <w:p>
            <w:pPr>
              <w:snapToGrid w:val="0"/>
              <w:spacing w:after="0" w:before="0" w:line="280" w:lineRule="exact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</w:tbl>
    <w:p>
      <w:pPr>
        <w:snapToGrid w:val="0"/>
        <w:spacing w:after="0" w:before="0" w:line="240" w:lineRule="auto"/>
        <w:ind w:firstLine="0"/>
        <w:jc w:val="center"/>
      </w:pPr>
      <w:r>
        <w:rPr>
          <w:rFonts w:ascii="方正仿宋简体" w:cs="方正仿宋简体" w:eastAsia="方正仿宋简体" w:hAnsi="方正仿宋简体"/>
          <w:i/>
          <w:iCs/>
          <w:color w:val="999999"/>
          <w:sz w:val="32"/>
          <w:szCs w:val="32"/>
        </w:rPr>
        <w:t xml:space="preserve">[图片: software_architecture_full.png]</w:t>
      </w:r>
    </w:p>
    <w:p>
      <w:pPr>
        <w:snapToGrid w:val="0"/>
        <w:spacing w:after="0" w:before="0" w:line="240" w:lineRule="auto"/>
        <w:ind w:firstLine="0"/>
        <w:jc w:val="center"/>
      </w:pPr>
      <w:r>
        <w:rPr>
          <w:rFonts w:ascii="方正仿宋简体" w:cs="方正仿宋简体" w:eastAsia="方正仿宋简体" w:hAnsi="方正仿宋简体"/>
          <w:i/>
          <w:iCs/>
          <w:color w:val="999999"/>
          <w:sz w:val="32"/>
          <w:szCs w:val="32"/>
        </w:rPr>
        <w:t xml:space="preserve">[图片: software_architecture_full.png]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三、工作目标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通过实施“党建+项目化”攻关，实现“四个提升”：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（一）破解一批难题。聚焦效益开发、安全生产等领域的实际问题，形成一批可量化、可验证的攻关成果。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（二）锻炼一支队伍。在项目实践中培养一批懂党务、精业务、敢担当的复合型党员骨干。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（三）探索一套机制。形成“选题—攻关—督导—验收—激励”的闭环管理机制，推动党建工作由“无形”向“有形”转变。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（四）促进深度融合。有效解决党建与业务“两张皮”问题，实现党建工作与生产经营同频共振、同向发力。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四、组织机构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楷体简体" w:cs="方正楷体简体" w:eastAsia="方正楷体简体" w:hAnsi="方正楷体简体"/>
          <w:b/>
          <w:bCs/>
          <w:sz w:val="32"/>
          <w:szCs w:val="32"/>
        </w:rPr>
        <w:t xml:space="preserve">（一）领导小组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成立“党建+项目化”攻关工作领导小组，统筹推进整体工作，研究解决工作中的重大问题，审定项目方案、督导进度、验收成果、落实奖励。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组  长：宋永宁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副组长：陈庆军  陈  刚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成  员：吴  琪  李凤超  魏传龙  刘禹彤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楷体简体" w:cs="方正楷体简体" w:eastAsia="方正楷体简体" w:hAnsi="方正楷体简体"/>
          <w:b/>
          <w:bCs/>
          <w:sz w:val="32"/>
          <w:szCs w:val="32"/>
        </w:rPr>
        <w:t xml:space="preserve">（二）工作小组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领导小组下设工作小组，负责日常工作推进，具体承担项目征集、审核备案、中期督导、年度检查、成果汇总、奖励落实等工作，确保各项工作有序开展。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组  长：陈  刚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副组长：魏传龙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成  员：吴  琪  李凤超  魏传龙  刘禹彤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张庆志  邱志辉  王涛齐  孙  烁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楷体简体" w:cs="方正楷体简体" w:eastAsia="方正楷体简体" w:hAnsi="方正楷体简体"/>
          <w:b/>
          <w:bCs/>
          <w:sz w:val="32"/>
          <w:szCs w:val="32"/>
        </w:rPr>
        <w:t xml:space="preserve">（三）项目实施小组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各中心结合认领题目，成立由党员骨干牵头的项目实施小组，明确组长、成员及分工，负责项目方案制定、具体实施、过程管控，确保项目按时完成、取得实效。实施小组中党员占比不低于80%，充分发挥党员先锋模范作用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五、项目选题与认领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采取“作业区定题+基层自拟题”相结合的方式，聚焦效益开发中的难点、堵点，以及制约效益、安全等方面的突出问题，明确选题方向和认领要求。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（一）选题范围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效益开发类：围绕生产运行、提质增效、成本管控、资源优化、协作联动等方面，破解制约效益提升的关键问题，如流程优化、技术创新、模式改进等。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安全保障类：围绕安全生产、风险防控、隐患排查等方面，破解影响安全稳定的突出问题，如制度完善、流程规范、应急处置、技术防控等。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其他类：围绕党建与业务融合、队伍建设、服务提升等方面，结合各中心实际，自拟具有针对性、可操作性的攻关题目。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（二）选题方式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作业区定题：领导小组结合整体工作部署和突出问题，结合基层专项调研情况，梳理形成1-2项重点攻关题目，组织跨中心联合攻关。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基层自拟题：各中心结合自身工作实际，深挖本中心亟待解决的效益开发、安全管理等领域的难点堵点问题，自行拟定攻关题目，报工作小组审核备案。自拟题目需紧扣工作实际，具有针对性、可操作性和实效性，避免空泛化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（三）认领要求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每个中心至少认领1个攻关题目，可根据自身能力和工作需要，额外认领多个题目。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各中心需在规定时间内完成题目认领，上级定题和自拟题均需填写《“党建+项目化”攻关项目认领表》，明确项目名称、攻关目标、实施步骤、完成时限、责任分工、预期成果等内容，报工作小组审核备案。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工作小组对各中心认领的项目进行审核，重点审核选题的针对性、可行性和实效性，对不符合要求的项目，指导中心进行调整完善。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六、实施步骤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项目实施周期原则上为1年，分为启动部署、推进实施、年度验收三个阶段，实行全过程闭环管理。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（一）启动部署阶段（2026年4月底前）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部署启动。召开“党建+项目化”攻关工作启动会，传达实施方案要求，解读选题方向，部署工作任务。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申报项目。各中心完成题目认领，提交《项目认领表》，工作小组完成审核备案，明确各项目实施要求。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审核立项。工作小组对申报项目进行评审，重点考察项目的必要性、可行性、创新性和预期效益。按照“小切口、可操作、能示范”的原则，择优立项，确定攻关项目清单，并予以公示。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（二）组织实施阶段（2026年5月—11月）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组建团队。每个立项项目需成立一支以党员骨干为核心的攻坚团队，明确项目负责人（原则上由支部书记或中心负责人担任）、团队成员及具体分工。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开展攻关。各项目实施小组按照实施计划，有序推进项目攻关，利用支委会、攻关小组碰头会等形式，研究解决实施过程中遇到的问题，及时调整优化实施策略。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跟踪督导。工作小组采取实地检查、查阅资料、座谈交流等方式，对各项目实施情况进行中期督导，重点检查项目进度、存在问题和下一步措施，对进展缓慢的项目进行“黄牌”提醒，协调解决实际困难。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（三）年度验收阶段（2026年12月）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成果申报。各项目实施小组完成项目攻关后，提交《“党建+项目化”攻关项目成果验收申请表》，附项目实施总结、成果证明材料等，向工作小组申请验收。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审核验收。工作小组组织验收小组，采取实地核查、成果评审、群众评价等方式，对项目成果进行全面验收，重点考核是否解决实际问题、是否产生经济效益或安全效益、党员作用是否发挥突出、成果是否具有推广价值等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表彰激励。根据项目难度、成果效益、推广价值等，视情况评选一定比例的优秀成果奖，并给予一定奖励，主要贡献人在“两优一先”评选中予以重点考虑。汇编优秀攻关案例，通过经验交流会、大美葡萄花微信公众号等形式进行宣传推广，推动成果转化应用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七、表彰激励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（一）奖励对象。完成验收合格及以上的项目实施小组、在项目攻关中表现突出的党员骨干和个人。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（二）奖励标准：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优秀项目。给予项目实施小组一次性奖金3000元，授予“优秀党建+项目化攻关团队”称号，并作为评先选优的重要参考。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合格项目。给予项目实施小组一次性奖金500元，对表现突出的党员骨干给予表彰。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成果推广奖励。对具有较强可复制、可推广价值的优秀项目，额外给予奖励，并组织在各中心推广应用，扩大成果影响力。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（三）奖励落实。年度验收结束后，工作小组汇总验收结果和奖励建议，报领导小组审定后，及时落实奖励资金和表彰事宜，确保奖励到位、激励有效。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黑体简体" w:cs="方正黑体简体" w:eastAsia="方正黑体简体" w:hAnsi="方正黑体简体"/>
          <w:b/>
          <w:bCs/>
          <w:sz w:val="32"/>
          <w:szCs w:val="32"/>
        </w:rPr>
        <w:t xml:space="preserve">八、工作要求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一）提高思想认识。各中心要充分认识“党建+项目化”攻关工作的重要意义，将其作为推动党建与业务融合、破解工作难题、提升工作效能的重要抓手，切实提高思想站位，加强组织领导，确保各项工作落到实处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二）强化责任落实。各中心负责人作为第一责任人，要亲自安排、带头落实；项目实施小组要明确责任分工，细化工作措施，确保项目各项任务落到实处。党员骨干要主动担当作为，发挥先锋模范作用，带动团队攻坚克难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三）注重成果转化。各中心要坚持问题导向、目标导向、结果导向，聚焦工作难点堵点，注重项目成果的实用性和可推广性，及时总结项目实施过程中的好经验、好做法，推动成果转化为常态化工作机制，切实发挥项目攻关的实效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四）加强宣传引导。充分利用各类宣传阵地，宣传“党建+项目化”攻关工作的重要意义、进展情况和优秀成果，宣传党员骨干的先进事迹，营造比学赶超、攻坚克难的良好氛围，激发全体干部职工的工作积极性和主动性。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（五）严格纪律要求。各中心要严格按照实施方案要求推进工作，杜绝形式主义、官僚主义，确保项目实施真实有效。工作小组要加强督导检查，对弄虚作假、敷衍塞责的，严肃追究相关人员责任。</w:t>
      </w:r>
    </w:p>
    <w:p>
      <w:r>
        <w:t xml:space="preserve"/>
      </w:r>
    </w:p>
    <w:p>
      <w:r>
        <w:t xml:space="preserve"/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附件：1. “党建+项目化”攻关项目认领表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“党建+项目化”攻关项目成果验收申请表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第四作业区综合管理室</w:t>
      </w:r>
    </w:p>
    <w:p>
      <w:pPr>
        <w:snapToGrid w:val="0"/>
        <w:spacing w:after="0" w:before="0" w:line="560" w:lineRule="exact"/>
        <w:ind w:firstLine="640"/>
        <w:jc w:val="both"/>
      </w:pPr>
      <w:r>
        <w:rPr>
          <w:rFonts w:ascii="方正仿宋简体" w:cs="方正仿宋简体" w:eastAsia="方正仿宋简体" w:hAnsi="方正仿宋简体"/>
          <w:sz w:val="32"/>
          <w:szCs w:val="32"/>
        </w:rPr>
        <w:t xml:space="preserve">2026年4月1日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footerReference w:type="default" r:id="rId7"/>
      <w:pgSz w:w="11905" w:h="16837" w:orient="portrait"/>
      <w:pgMar w:top="2097" w:right="1474" w:bottom="1984" w:left="1587" w:header="708" w:footer="708" w:gutter="0"/>
      <w:pgNumType/>
      <w:docGrid w:type="linesAndChars" w:linePitch="579" w:charSpace="-849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方正仿宋简体" w:cs="方正仿宋简体" w:eastAsia="方正仿宋简体" w:hAnsi="方正仿宋简体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SnapToGridInCell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方正仿宋简体" w:cs="方正仿宋简体" w:eastAsia="方正仿宋简体" w:hAnsi="方正仿宋简体"/>
        <w:sz w:val="32"/>
        <w:szCs w:val="32"/>
      </w:rPr>
    </w:rPrDefault>
    <w:pPrDefault>
      <w:pPr>
        <w:snapToGrid w:val="0"/>
        <w:ind w:firstLin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ind w:firstLine="0"/>
      <w:jc w:val="center"/>
    </w:pPr>
    <w:rPr>
      <w:rFonts w:ascii="方正小标宋简体" w:cs="方正小标宋简体" w:eastAsia="方正小标宋简体" w:hAnsi="方正小标宋简体"/>
      <w:b/>
      <w:bCs/>
      <w:sz w:val="44"/>
      <w:szCs w:val="4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2026-06-25T15:56:10.709Z</dcterms:created>
  <dcterms:modified xsi:type="dcterms:W3CDTF">2026-06-25T15:56:10.709Z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