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cfcfc" w:val="clear"/>
        <w:spacing w:after="0" w:before="0" w:lineRule="auto"/>
        <w:rPr/>
      </w:pPr>
      <w:bookmarkStart w:colFirst="0" w:colLast="0" w:name="_qvfetlwc6aiy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6"/>
          <w:szCs w:val="26"/>
          <w:rtl w:val="0"/>
        </w:rPr>
        <w:t xml:space="preserve">各工程師及其專業細項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cfcfc" w:val="clear"/>
        <w:spacing w:after="0" w:before="0" w:lineRule="auto"/>
        <w:rPr>
          <w:b w:val="1"/>
          <w:color w:val="1a1c1e"/>
          <w:sz w:val="26"/>
          <w:szCs w:val="26"/>
        </w:rPr>
      </w:pPr>
      <w:bookmarkStart w:colFirst="0" w:colLast="0" w:name="_hryrtxrh7onr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6"/>
          <w:szCs w:val="26"/>
          <w:rtl w:val="0"/>
        </w:rPr>
        <w:t xml:space="preserve">工程師種類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1a1c1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UI/UX 工程師: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1a1c1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後端工程師: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1a1c1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開發運維工程師 (DevOps):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1a1c1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硬體工程師: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1a1c1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混合雲工程師: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1a1c1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電機工程師: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1a1c1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機械工程師: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1a1c1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建築土木結構工程師: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1a1c1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UI/UX 工程師: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1a1c1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後端工程師: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hd w:fill="fcfcfc" w:val="clear"/>
        <w:spacing w:after="0" w:before="0" w:lineRule="auto"/>
        <w:rPr>
          <w:b w:val="1"/>
          <w:color w:val="1a1c1e"/>
          <w:sz w:val="26"/>
          <w:szCs w:val="26"/>
        </w:rPr>
      </w:pPr>
      <w:bookmarkStart w:colFirst="0" w:colLast="0" w:name="_m0pebpvjaz9s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6"/>
          <w:szCs w:val="26"/>
          <w:rtl w:val="0"/>
        </w:rPr>
        <w:t xml:space="preserve">工程師專業細項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cfcfc" w:val="clear"/>
        <w:spacing w:after="0" w:afterAutospacing="0" w:before="220" w:line="342.85714285714283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UI/UX 工程師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領域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: 使用者研究, 資訊架構, 線框圖 (Wireframing), 原型設計 (Prototyping), 互動設計, 視覺設計, 可用性測試, 設計系統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常用軟體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: Figma, Sketch, Adobe XD, InVision, Axure RP, Miro, Zeplin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cfcfc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後端工程師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語言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: Python, Java, C#, Go, Rust, Node.js, PHP, Ruby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框架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: Django, Flask (Python); Spring Boot (Java); ASP.NET Core (C#); Gin, Echo (Go); Express, NestJS (Node.js)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資料庫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: PostgreSQL, MySQL, MongoDB, Redis, Cassandra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架構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: 微服務, Serverless, RESTful API, GraphQL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工具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: Docker, Kubernetes, Git, CI/CD, Postman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cfcfc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開發運維工程師 (DevOps)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領域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: CI/CD, 基礎設施即代碼 (IaC), 容器化, 自動化腳本, 監控與日誌, 雲端網路, 安全性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常用軟體/工具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: Jenkins, GitLab CI, GitHub Actions, Terraform, Ansible, Docker, Kubernetes, Prometheus, Grafana, ELK Stack, AWS CLI, Azure CLI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cfcfc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硬體工程師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領域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: 電路設計, PCB 佈局, 嵌入式系統, FPGA 開發, VHDL/Verilog, 驅動程式開發, 硬體測試, 信號完整性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常用軟體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: Altium Designer, Cadence Allegro, KiCad, Vivado, Quartus, LTspice, Ansys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cfcfc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混合雲工程師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領域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: 雲架構設計, 跨雲部署, 容器編排, 基礎設施即代碼 (IaC), 雲安全, 成本優化, 混合雲儲存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常用軟體/平台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: AWS, Azure, Google Cloud, Kubernetes (EKS, AKS, GKE), Anthos, Terraform, Ansible, VMware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cfcfc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電機工程師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領域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: 電力系統, 控制系統, 電機設計, 信號處理, 電力電子, 嵌入式控制, PLC 編程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常用軟體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: MATLAB, Simulink, LabVIEW, PSpice, AutoCAD Electrical, EPLAN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cfcfc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機械工程師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領域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: CAD/CAM, 有限元分析 (FEA), 計算流體力學 (CFD), 熱力學分析, 機械動力學, 製造工藝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常用軟體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: SolidWorks, AutoCAD, CATIA, Ansys, Abaqus, Siemens NX, Mastercam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cfcfc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建築土木結構工程師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領域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: 結構分析與設計, 建築資訊模型 (BIM), 施工管理, 工程估價, 土壤力學, 水利工程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220" w:before="0" w:beforeAutospacing="0" w:line="342.85714285714283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常用軟體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: AutoCAD, Revit, SAP2000, ETABS, Tekla Structures, Navisworks, Civil 3D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