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spacing w:before="720"/>
      </w:pPr>
      <w:r>
        <w:rPr>
          <w:rFonts w:ascii="Noto Serif CJK KR" w:hAnsi="Noto Serif CJK KR" w:eastAsia="Noto Serif CJK KR" w:cs="Noto Serif CJK KR"/>
          <w:b/>
          <w:color w:val="0B3C5D"/>
          <w:sz w:val="52"/>
        </w:rPr>
        <w:t>Korea Senior Portal — Executive Summary</w:t>
      </w:r>
    </w:p>
    <w:p>
      <w:pPr>
        <w:pStyle w:val="CustomSubtitle"/>
      </w:pPr>
      <w:r>
        <w:rPr>
          <w:rFonts w:ascii="Noto Sans CJK KR" w:hAnsi="Noto Sans CJK KR" w:eastAsia="Noto Sans CJK KR" w:cs="Noto Sans CJK KR"/>
          <w:color w:val="5A6973"/>
          <w:sz w:val="22"/>
        </w:rPr>
        <w:t>Comprehensive portal for all things senior: care, medical, benefits, housing, opportunities, and oversight.</w:t>
      </w:r>
    </w:p>
    <w:p>
      <w:pPr>
        <w:pStyle w:val="CustomSubtitle"/>
      </w:pPr>
      <w:r>
        <w:rPr>
          <w:rFonts w:ascii="Noto Sans CJK KR" w:hAnsi="Noto Sans CJK KR" w:eastAsia="Noto Sans CJK KR" w:cs="Noto Sans CJK KR"/>
          <w:color w:val="5A6973"/>
          <w:sz w:val="22"/>
        </w:rPr>
        <w:t>Adjusted for Korean regulation, medical practice, public-program workflows, and cultural usage patterns.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155E63"/>
                <w:sz w:val="21"/>
              </w:rPr>
              <w:t>Key product principle: anyone can use the portal; eligibility is only required when the user wants subsidy / public-program support.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0B3C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Orientation</w:t>
            </w:r>
          </w:p>
        </w:tc>
        <w:tc>
          <w:tcPr>
            <w:tcW w:type="dxa" w:w="7488"/>
            <w:shd w:fill="F7FA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color w:val="1F2A33"/>
                <w:sz w:val="19"/>
              </w:rPr>
              <w:t>Comprehensive senior portal for Korea: care, medical, benefits, housing, opportunities, and oversight</w:t>
            </w:r>
          </w:p>
        </w:tc>
      </w:tr>
      <w:tr>
        <w:tc>
          <w:tcPr>
            <w:tcW w:type="dxa" w:w="2160"/>
            <w:shd w:fill="0B3C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88"/>
            <w:shd w:fill="F7FA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color w:val="1F2A33"/>
                <w:sz w:val="19"/>
              </w:rPr>
              <w:t>Human-facing leadership + product managers + agents/developers</w:t>
            </w:r>
          </w:p>
        </w:tc>
      </w:tr>
      <w:tr>
        <w:tc>
          <w:tcPr>
            <w:tcW w:type="dxa" w:w="2160"/>
            <w:shd w:fill="0B3C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Operating principle</w:t>
            </w:r>
          </w:p>
        </w:tc>
        <w:tc>
          <w:tcPr>
            <w:tcW w:type="dxa" w:w="7488"/>
            <w:shd w:fill="F7FA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color w:val="1F2A33"/>
                <w:sz w:val="19"/>
              </w:rPr>
              <w:t>Everyone can use the portal; subsidy/benefit eligibility is an overlay, not a gate</w:t>
            </w:r>
          </w:p>
        </w:tc>
      </w:tr>
      <w:tr>
        <w:tc>
          <w:tcPr>
            <w:tcW w:type="dxa" w:w="2160"/>
            <w:shd w:fill="0B3C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Caution</w:t>
            </w:r>
          </w:p>
        </w:tc>
        <w:tc>
          <w:tcPr>
            <w:tcW w:type="dxa" w:w="7488"/>
            <w:shd w:fill="F7FA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color w:val="1F2A33"/>
                <w:sz w:val="19"/>
              </w:rPr>
              <w:t>Use this for product design; confirm compliance details before launch</w:t>
            </w:r>
          </w:p>
        </w:tc>
      </w:tr>
    </w:tbl>
    <w:p>
      <w:r>
        <w:br w:type="page"/>
      </w:r>
    </w:p>
    <w:p>
      <w:pPr>
        <w:pStyle w:val="Heading1"/>
      </w:pPr>
      <w:r>
        <w:t>1. Executive recommendation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Do not build this as a narrow caregiver marketplace. Build it as a comprehensive senior portal for Korea, with care coordination as the core but with medical history, medicine tracking, nursing-hospital connection, visiting-caregiver matching, local-government information, senior housing/silver-town discovery, age-friendly job opportunities, and observability dashboards layered into the same user identity.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2C7A7B"/>
                <w:sz w:val="20"/>
              </w:rPr>
              <w:t>Product stance</w:t>
            </w:r>
          </w:p>
          <w:p>
            <w:r>
              <w:rPr>
                <w:rFonts w:ascii="Noto Sans CJK KR" w:hAnsi="Noto Sans CJK KR" w:eastAsia="Noto Sans CJK KR" w:cs="Noto Sans CJK KR"/>
                <w:color w:val="1F2A33"/>
                <w:sz w:val="20"/>
              </w:rPr>
              <w:t>The portal is open to everyone. Subsidy and public-program eligibility are overlays that activate only when the user opts in and consents to share data for government or medical review.</w:t>
            </w:r>
          </w:p>
        </w:tc>
      </w:tr>
    </w:tbl>
    <w:p/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That design matches the user requirement that clients can still use the service without meeting eligibility. Eligibility should gate only subsidized programs, not the core portal experience.</w:t>
      </w:r>
    </w:p>
    <w:p>
      <w:pPr>
        <w:pStyle w:val="Heading1"/>
      </w:pPr>
      <w:r>
        <w:t>2. Korea-specific design consequences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Keep four operating modes in the product: open consumer mode, subsidized care mode, medical coordination mode, and government oversight mode.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Treat consent as a first-class product primitive. A senior or family should be able to consent to share selected information with medical institutions, government institutions, or both for comprehensive care and/or subsidy review [KR-6].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Keep institution-accountability logic for reimbursed long-term-care services. Korea’s long-term-care structure routes benefits through designated institutions and claims/accountability rails rather than a pure freelancer marketplace [KR-1][KR-4].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Support non-care domains because the portal is 'all things senior': housing, jobs, community participation, transport, meals, and local-district information should sit beside care and benefits, not in separate apps.</w:t>
      </w:r>
    </w:p>
    <w:p>
      <w:pPr>
        <w:pStyle w:val="Heading1"/>
      </w:pPr>
      <w:r>
        <w:t>3. What the product should feel like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A senior-friendly daily hub for the senior.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A control tower and observability timeline for family.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A schedule-and-notes mobile workspace for caregivers.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A roster / quality / subsidy / referral console for provider organizations.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A localized program and monitoring console for district offices and other public-sector users.</w:t>
      </w:r>
    </w:p>
    <w:p>
      <w:pPr>
        <w:pStyle w:val="Heading1"/>
      </w:pPr>
      <w:r>
        <w:t>4. High-value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3C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968"/>
            <w:shd w:fill="0B3C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Why it belongs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Medical history &amp; medicine tracking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Central to continuity across hospitals, nursing hospitals, caregivers, and family.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Open matching &amp; directories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Lets any senior or family start using the portal immediately.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Benefits overlay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Adds subsidy power without making the whole app bureaucratic.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Daily-care observability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Creates shared visibility for providers, families, seniors, and government reviewers.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Housing / silver-town &amp; medical institution connection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Supports real life transitions, not just in-home care.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Senior jobs / activities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Makes the product broader than frailty care and useful earlier in the aging journey.</w:t>
            </w:r>
          </w:p>
        </w:tc>
      </w:tr>
    </w:tbl>
    <w:p/>
    <w:p>
      <w:pPr>
        <w:pStyle w:val="Heading1"/>
      </w:pPr>
      <w:r>
        <w:t>5. Recommended release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0B3C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184"/>
            <w:shd w:fill="0B3C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What ships</w:t>
            </w:r>
          </w:p>
        </w:tc>
        <w:tc>
          <w:tcPr>
            <w:tcW w:type="dxa" w:w="2880"/>
            <w:shd w:fill="0B3C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Release 1 - Open senior portal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Senior/family sign-up, provider directory, caregiver applications, matching, schedule, medical history + medicine tracking, messaging, medical/housing/opportunity directories, daily observability feed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Lets anyone use the service immediately, regardless of subsidy eligibility.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Release 2 - Benefits overlay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Consent engine, eligibility case management, public-program routing, subsidy progress tracking, provider compliance data, claims-ready visit records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Turns the open portal into a benefits-aware portal without blocking core usage.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Release 3 - Oversight and deep integration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Government portal, district-office information layer, NHIS / SSIS adapters, advanced observability, anomaly detection, reporting exports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7FAFB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1F2A33"/>
                <w:sz w:val="17"/>
              </w:rPr>
              <w:t>Adds public-sector value and defensibility.</w:t>
            </w:r>
          </w:p>
        </w:tc>
      </w:tr>
    </w:tbl>
    <w:p/>
    <w:p>
      <w:pPr>
        <w:pStyle w:val="Heading1"/>
      </w:pPr>
      <w:r>
        <w:t>6. Why the Korea version is defensible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Korea already has formal public rails for long-term care, social-service vouchers, and consent-based medical data exchange, but consumers still face fragmentation across hospitals, nursing hospitals, caregivers, district offices, housing choices, and family coordination [KR-1][KR-4][KR-5][KR-6]. A single portal that is useful before, during, and after subsidy enrollment can become much more valuable than a subsidy-only product or a marketplace-only product.</w:t>
      </w:r>
    </w:p>
    <w:p>
      <w:pPr>
        <w:pStyle w:val="Heading1"/>
      </w:pPr>
      <w:r>
        <w:t>7. Included artifacts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Detailed Korea-adjusted product/service spec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Agentic build prompt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Developer architecture / data model / state-machine guide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Stakeholder-capability-integration workbook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color w:val="1F2A33"/>
          <w:sz w:val="20"/>
        </w:rPr>
        <w:t>Regulatory/source appendix</w:t>
      </w:r>
    </w:p>
    <w:p>
      <w:pPr>
        <w:pStyle w:val="Heading1"/>
      </w:pPr>
      <w:r>
        <w:t>Source appendix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KR-1: MOHW - Understanding the Long-Term Care Insurance System — https://www.mohw.go.kr/menu.es?mid=a10712030100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KR-2: Long-Term Care Insurance Act, Article 23 — https://law.go.kr/LSW//lsLawLinkInfo.do?chrClsCd=010202&amp;lsId=010436&amp;lsJoLnkSeq=900224490&amp;print=print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KR-3: Welfare of Older Persons Act, Article 39-2 — https://www.law.go.kr/LSW//lsSideInfoP.do?docCls=jo&amp;joBrNo=02&amp;joNo=0039&amp;lsiSeq=259093&amp;urlMode=lsScJoRltInfoR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KR-4: NHIS - Claiming / review / payment processing standards for LTC benefits — https://www.nhis.or.kr/lm/lmxsrv/law/lawFullContent.do?SEQ=101&amp;SEQ_HISTORY=27031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KR-5: SSIS - Social Service e-Voucher System — https://www.ssis.or.kr/lay1/S1T752C771/contents.do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KR-6: My Healthway / Health Information Highway - related laws — https://www.myhealthway.go.kr/portal/index?page=Individual%2FPortal%2FMediMyData%2FMydataLaw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KR-7: Korea Policy Briefing - Telemedicine amendment — https://www.korea.kr/news/policyNewsView.do?newsId=148955797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KR-8: MOHW - Customized Care Service for Older Persons — https://www.mohw.go.kr/menu.es?mid=a10712010400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KR-9: Statistics Korea - 2024 Older Persons Statistics — https://mods.go.kr/board.es?act=view&amp;bid=10820&amp;list_no=432917&amp;mid=a10301010000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KR-10: Statistics Korea - 2025 Older Persons Statistics — https://mods.go.kr/board.es?act=view&amp;bid=10820&amp;list_no=438832&amp;mid=a10301010000&amp;ref_bid=&amp;tag=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KR-11: NHIS - Long-Term Care Institution Evaluation Rules — https://www.nhis.or.kr/lm/lmxsrv/law/lawFullContent.do?SEQ=102&amp;SEQ_HISTORY=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KR-12: Medical Service Act - hospitals incl. nursing hospitals — https://www.law.go.kr/LSW/lsInfoP.do?lsId=001788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KR-13: KORDI / 노인일자리여기 — https://www.seniorro.or.kr/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KR-14: KORDI - age-friendly companies call — https://www.kordi.or.kr/content.do?cid=639614&amp;cmsId=91&amp;mode=view&amp;page=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KR-15: Senior housing / welfare housing guideline snippet — https://www.khidi.or.kr/kohes/fileDownload?fileDownType=C&amp;fileId=1&amp;paramMenuId=MENU02462&amp;titleId=100854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GL-1: Japan MHLW - Long-Term Care / community-based integrated care — https://www.mhlw.go.jp/english/policy/care-welfare/care-welfare-elderly/index.html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GL-2: Singapore Agency for Integrated Care — https://www.aic.sg/care-services/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GL-3: US CMS - PACE — https://www.cms.gov/medicare/medicaid-coordination/about/pace</w:t>
      </w:r>
    </w:p>
    <w:p>
      <w:pPr/>
      <w:r>
        <w:rPr>
          <w:rFonts w:ascii="Noto Sans CJK KR" w:hAnsi="Noto Sans CJK KR" w:eastAsia="Noto Sans CJK KR" w:cs="Noto Sans CJK KR"/>
          <w:color w:val="1F2A33"/>
          <w:sz w:val="20"/>
        </w:rPr>
        <w:t>GL-4: Buurtzorg - The Buurtzorg Model — https://www.buurtzorg.com/about-us/buurtzorgmodel/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color w:val="6B7780"/>
        <w:sz w:val="16"/>
      </w:rPr>
      <w:t>Product scoping aid only; confirm launch scope with Korean counsel.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Noto Sans CJK KR" w:hAnsi="Noto Sans CJK KR" w:eastAsia="Noto Sans CJK KR" w:cs="Noto Sans CJK KR"/>
      <w:color w:val="1F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B3C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55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2456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 w:cs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60"/>
    </w:pPr>
    <w:rPr>
      <w:rFonts w:ascii="Noto Serif CJK KR" w:hAnsi="Noto Serif CJK KR" w:eastAsia="Noto Serif CJK KR" w:cs="Noto Serif CJK KR"/>
      <w:b/>
      <w:color w:val="0B3C5D"/>
      <w:sz w:val="52"/>
    </w:rPr>
  </w:style>
  <w:style w:type="paragraph" w:customStyle="1" w:styleId="CustomSubtitle">
    <w:name w:val="CustomSubtitle"/>
    <w:pPr>
      <w:spacing w:after="80"/>
    </w:pPr>
    <w:rPr>
      <w:rFonts w:ascii="Noto Sans CJK KR" w:hAnsi="Noto Sans CJK KR" w:eastAsia="Noto Sans CJK KR" w:cs="Noto Sans CJK KR"/>
      <w:color w:val="5A697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