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spacing w:before="720"/>
      </w:pPr>
      <w:r>
        <w:rPr>
          <w:rFonts w:ascii="Noto Serif CJK KR" w:hAnsi="Noto Serif CJK KR" w:eastAsia="Noto Serif CJK KR" w:cs="Noto Serif CJK KR"/>
          <w:b/>
          <w:color w:val="0B3C5D"/>
          <w:sz w:val="52"/>
        </w:rPr>
        <w:t>Korea Senior Portal — Product / Service Specification</w:t>
      </w:r>
    </w:p>
    <w:p>
      <w:pPr>
        <w:pStyle w:val="CustomSubtitle"/>
      </w:pPr>
      <w:r>
        <w:rPr>
          <w:rFonts w:ascii="Noto Sans CJK KR" w:hAnsi="Noto Sans CJK KR" w:eastAsia="Noto Sans CJK KR" w:cs="Noto Sans CJK KR"/>
          <w:color w:val="5A6973"/>
          <w:sz w:val="22"/>
        </w:rPr>
        <w:t>Comprehensive portal for all things senior, with care and benefits as the operational core.</w:t>
      </w:r>
    </w:p>
    <w:p>
      <w:pPr>
        <w:pStyle w:val="CustomSubtitle"/>
      </w:pPr>
      <w:r>
        <w:rPr>
          <w:rFonts w:ascii="Noto Sans CJK KR" w:hAnsi="Noto Sans CJK KR" w:eastAsia="Noto Sans CJK KR" w:cs="Noto Sans CJK KR"/>
          <w:color w:val="5A6973"/>
          <w:sz w:val="22"/>
        </w:rPr>
        <w:t>Product spec aligned to Korean regulation, medical practice, culture, and public-program rails.</w:t>
      </w:r>
    </w:p>
    <w:tbl>
      <w:tblPr>
        <w:tblW w:type="auto" w:w="0"/>
        <w:jc w:val="left"/>
        <w:tblLook w:firstColumn="1" w:firstRow="1" w:lastColumn="0" w:lastRow="0" w:noHBand="0" w:noVBand="1" w:val="04A0"/>
      </w:tblPr>
      <w:tblGrid>
        <w:gridCol w:w="9936"/>
      </w:tblGrid>
      <w:tr>
        <w:tc>
          <w:tcPr>
            <w:tcW w:type="dxa" w:w="9936"/>
            <w:shd w:fill="EEF5F7"/>
            <w:tcMar>
              <w:top w:w="120" w:type="dxa"/>
              <w:start w:w="160" w:type="dxa"/>
              <w:bottom w:w="120" w:type="dxa"/>
              <w:end w:w="160" w:type="dxa"/>
            </w:tcMar>
          </w:tcPr>
          <w:p>
            <w:r>
              <w:rPr>
                <w:rFonts w:ascii="Noto Sans CJK KR" w:hAnsi="Noto Sans CJK KR" w:eastAsia="Noto Sans CJK KR" w:cs="Noto Sans CJK KR"/>
                <w:b/>
                <w:color w:val="155E63"/>
                <w:sz w:val="21"/>
              </w:rPr>
              <w:t>Scope assumption: this is a platform product, not itself a medical institution or a legal benefits authority.</w:t>
            </w:r>
          </w:p>
        </w:tc>
      </w:tr>
    </w:tbl>
    <w:p/>
    <w:tbl>
      <w:tblPr>
        <w:tblW w:type="auto" w:w="0"/>
        <w:jc w:val="left"/>
        <w:tblLook w:firstColumn="1" w:firstRow="1" w:lastColumn="0" w:lastRow="0" w:noHBand="0" w:noVBand="1" w:val="04A0"/>
      </w:tblPr>
      <w:tblGrid>
        <w:gridCol w:w="4968"/>
        <w:gridCol w:w="4968"/>
      </w:tblGrid>
      <w:tr>
        <w:tc>
          <w:tcPr>
            <w:tcW w:type="dxa" w:w="2160"/>
            <w:shd w:fill="0B3C5D"/>
            <w:tcMar>
              <w:top w:w="90" w:type="dxa"/>
              <w:start w:w="120" w:type="dxa"/>
              <w:bottom w:w="90" w:type="dxa"/>
              <w:end w:w="120" w:type="dxa"/>
            </w:tcMar>
          </w:tcPr>
          <w:p>
            <w:r>
              <w:rPr>
                <w:rFonts w:ascii="Noto Sans CJK KR" w:hAnsi="Noto Sans CJK KR" w:eastAsia="Noto Sans CJK KR" w:cs="Noto Sans CJK KR"/>
                <w:b/>
                <w:color w:val="FFFFFF"/>
                <w:sz w:val="19"/>
              </w:rPr>
              <w:t>Orientation</w:t>
            </w:r>
          </w:p>
        </w:tc>
        <w:tc>
          <w:tcPr>
            <w:tcW w:type="dxa" w:w="7488"/>
            <w:shd w:fill="F7FAFB"/>
            <w:tcMar>
              <w:top w:w="90" w:type="dxa"/>
              <w:start w:w="120" w:type="dxa"/>
              <w:bottom w:w="90" w:type="dxa"/>
              <w:end w:w="120" w:type="dxa"/>
            </w:tcMar>
          </w:tcPr>
          <w:p>
            <w:r>
              <w:rPr>
                <w:rFonts w:ascii="Noto Sans CJK KR" w:hAnsi="Noto Sans CJK KR" w:eastAsia="Noto Sans CJK KR" w:cs="Noto Sans CJK KR"/>
                <w:color w:val="1F2A33"/>
                <w:sz w:val="19"/>
              </w:rPr>
              <w:t>Comprehensive senior portal for Korea: care, medical, benefits, housing, opportunities, and oversight</w:t>
            </w:r>
          </w:p>
        </w:tc>
      </w:tr>
      <w:tr>
        <w:tc>
          <w:tcPr>
            <w:tcW w:type="dxa" w:w="2160"/>
            <w:shd w:fill="0B3C5D"/>
            <w:tcMar>
              <w:top w:w="90" w:type="dxa"/>
              <w:start w:w="120" w:type="dxa"/>
              <w:bottom w:w="90" w:type="dxa"/>
              <w:end w:w="120" w:type="dxa"/>
            </w:tcMar>
          </w:tcPr>
          <w:p>
            <w:r>
              <w:rPr>
                <w:rFonts w:ascii="Noto Sans CJK KR" w:hAnsi="Noto Sans CJK KR" w:eastAsia="Noto Sans CJK KR" w:cs="Noto Sans CJK KR"/>
                <w:b/>
                <w:color w:val="FFFFFF"/>
                <w:sz w:val="19"/>
              </w:rPr>
              <w:t>Audience</w:t>
            </w:r>
          </w:p>
        </w:tc>
        <w:tc>
          <w:tcPr>
            <w:tcW w:type="dxa" w:w="7488"/>
            <w:shd w:fill="F7FAFB"/>
            <w:tcMar>
              <w:top w:w="90" w:type="dxa"/>
              <w:start w:w="120" w:type="dxa"/>
              <w:bottom w:w="90" w:type="dxa"/>
              <w:end w:w="120" w:type="dxa"/>
            </w:tcMar>
          </w:tcPr>
          <w:p>
            <w:r>
              <w:rPr>
                <w:rFonts w:ascii="Noto Sans CJK KR" w:hAnsi="Noto Sans CJK KR" w:eastAsia="Noto Sans CJK KR" w:cs="Noto Sans CJK KR"/>
                <w:color w:val="1F2A33"/>
                <w:sz w:val="19"/>
              </w:rPr>
              <w:t>Human-facing leadership + product managers + agents/developers</w:t>
            </w:r>
          </w:p>
        </w:tc>
      </w:tr>
      <w:tr>
        <w:tc>
          <w:tcPr>
            <w:tcW w:type="dxa" w:w="2160"/>
            <w:shd w:fill="0B3C5D"/>
            <w:tcMar>
              <w:top w:w="90" w:type="dxa"/>
              <w:start w:w="120" w:type="dxa"/>
              <w:bottom w:w="90" w:type="dxa"/>
              <w:end w:w="120" w:type="dxa"/>
            </w:tcMar>
          </w:tcPr>
          <w:p>
            <w:r>
              <w:rPr>
                <w:rFonts w:ascii="Noto Sans CJK KR" w:hAnsi="Noto Sans CJK KR" w:eastAsia="Noto Sans CJK KR" w:cs="Noto Sans CJK KR"/>
                <w:b/>
                <w:color w:val="FFFFFF"/>
                <w:sz w:val="19"/>
              </w:rPr>
              <w:t>Operating principle</w:t>
            </w:r>
          </w:p>
        </w:tc>
        <w:tc>
          <w:tcPr>
            <w:tcW w:type="dxa" w:w="7488"/>
            <w:shd w:fill="F7FAFB"/>
            <w:tcMar>
              <w:top w:w="90" w:type="dxa"/>
              <w:start w:w="120" w:type="dxa"/>
              <w:bottom w:w="90" w:type="dxa"/>
              <w:end w:w="120" w:type="dxa"/>
            </w:tcMar>
          </w:tcPr>
          <w:p>
            <w:r>
              <w:rPr>
                <w:rFonts w:ascii="Noto Sans CJK KR" w:hAnsi="Noto Sans CJK KR" w:eastAsia="Noto Sans CJK KR" w:cs="Noto Sans CJK KR"/>
                <w:color w:val="1F2A33"/>
                <w:sz w:val="19"/>
              </w:rPr>
              <w:t>Everyone can use the portal; subsidy/benefit eligibility is an overlay, not a gate</w:t>
            </w:r>
          </w:p>
        </w:tc>
      </w:tr>
      <w:tr>
        <w:tc>
          <w:tcPr>
            <w:tcW w:type="dxa" w:w="2160"/>
            <w:shd w:fill="0B3C5D"/>
            <w:tcMar>
              <w:top w:w="90" w:type="dxa"/>
              <w:start w:w="120" w:type="dxa"/>
              <w:bottom w:w="90" w:type="dxa"/>
              <w:end w:w="120" w:type="dxa"/>
            </w:tcMar>
          </w:tcPr>
          <w:p>
            <w:r>
              <w:rPr>
                <w:rFonts w:ascii="Noto Sans CJK KR" w:hAnsi="Noto Sans CJK KR" w:eastAsia="Noto Sans CJK KR" w:cs="Noto Sans CJK KR"/>
                <w:b/>
                <w:color w:val="FFFFFF"/>
                <w:sz w:val="19"/>
              </w:rPr>
              <w:t>Caution</w:t>
            </w:r>
          </w:p>
        </w:tc>
        <w:tc>
          <w:tcPr>
            <w:tcW w:type="dxa" w:w="7488"/>
            <w:shd w:fill="F7FAFB"/>
            <w:tcMar>
              <w:top w:w="90" w:type="dxa"/>
              <w:start w:w="120" w:type="dxa"/>
              <w:bottom w:w="90" w:type="dxa"/>
              <w:end w:w="120" w:type="dxa"/>
            </w:tcMar>
          </w:tcPr>
          <w:p>
            <w:r>
              <w:rPr>
                <w:rFonts w:ascii="Noto Sans CJK KR" w:hAnsi="Noto Sans CJK KR" w:eastAsia="Noto Sans CJK KR" w:cs="Noto Sans CJK KR"/>
                <w:color w:val="1F2A33"/>
                <w:sz w:val="19"/>
              </w:rPr>
              <w:t>Use this for product design; confirm compliance details before launch</w:t>
            </w:r>
          </w:p>
        </w:tc>
      </w:tr>
    </w:tbl>
    <w:p>
      <w:r>
        <w:br w:type="page"/>
      </w:r>
    </w:p>
    <w:p>
      <w:pPr>
        <w:pStyle w:val="Heading1"/>
      </w:pPr>
      <w:r>
        <w:t>1. Product definition</w:t>
      </w:r>
    </w:p>
    <w:p>
      <w:pPr/>
      <w:r>
        <w:rPr>
          <w:rFonts w:ascii="Noto Sans CJK KR" w:hAnsi="Noto Sans CJK KR" w:eastAsia="Noto Sans CJK KR" w:cs="Noto Sans CJK KR"/>
          <w:color w:val="1F2A33"/>
          <w:sz w:val="20"/>
        </w:rPr>
        <w:t>A multi-tenant senior portal for Korea that unifies daily care, provider matching, medical-history and medicine tracking, nursing-hospital / hospital / clinic connection, public-program eligibility, district-office information, jobs and opportunities, housing/silver-town discovery, and daily observability across seniors, families, caregivers, providers, and government users.</w:t>
      </w:r>
    </w:p>
    <w:p>
      <w:pPr>
        <w:pStyle w:val="Heading1"/>
      </w:pPr>
      <w:r>
        <w:t>2. Regulatory and service-model frame</w:t>
      </w:r>
    </w:p>
    <w:p>
      <w:pPr/>
      <w:r>
        <w:rPr>
          <w:rFonts w:ascii="Noto Sans CJK KR" w:hAnsi="Noto Sans CJK KR" w:eastAsia="Noto Sans CJK KR" w:cs="Noto Sans CJK KR"/>
          <w:color w:val="1F2A33"/>
          <w:sz w:val="20"/>
        </w:rPr>
        <w:t>The product should assume that Korea’s long-term-care environment is anchored by the Long-Term Care Insurance system, which defines grades, service categories, institution roles, and oversight. At the same time, the portal must be broader than LTCI because users need help even before eligibility, outside eligibility, or beyond the scope of reimbursed care [KR-1][KR-2].</w:t>
      </w:r>
    </w:p>
    <w:tbl>
      <w:tblPr>
        <w:tblW w:type="auto" w:w="0"/>
        <w:jc w:val="center"/>
        <w:tblLook w:firstColumn="1" w:firstRow="1" w:lastColumn="0" w:lastRow="0" w:noHBand="0" w:noVBand="1" w:val="04A0"/>
      </w:tblPr>
      <w:tblGrid>
        <w:gridCol w:w="9936"/>
      </w:tblGrid>
      <w:tr>
        <w:tc>
          <w:tcPr>
            <w:tcW w:type="dxa" w:w="9936"/>
            <w:shd w:fill="EEF5F7"/>
            <w:tcMar>
              <w:top w:w="120" w:type="dxa"/>
              <w:start w:w="160" w:type="dxa"/>
              <w:bottom w:w="120" w:type="dxa"/>
              <w:end w:w="160" w:type="dxa"/>
            </w:tcMar>
          </w:tcPr>
          <w:p>
            <w:r>
              <w:rPr>
                <w:rFonts w:ascii="Noto Sans CJK KR" w:hAnsi="Noto Sans CJK KR" w:eastAsia="Noto Sans CJK KR" w:cs="Noto Sans CJK KR"/>
                <w:b/>
                <w:color w:val="2C7A7B"/>
                <w:sz w:val="20"/>
              </w:rPr>
              <w:t>Critical product rule</w:t>
            </w:r>
          </w:p>
          <w:p>
            <w:r>
              <w:rPr>
                <w:rFonts w:ascii="Noto Sans CJK KR" w:hAnsi="Noto Sans CJK KR" w:eastAsia="Noto Sans CJK KR" w:cs="Noto Sans CJK KR"/>
                <w:color w:val="1F2A33"/>
                <w:sz w:val="20"/>
              </w:rPr>
              <w:t>Use the portal without eligibility. Add eligibility only when the user wants subsidy, benefits, or formal public-program routing.</w:t>
            </w:r>
          </w:p>
        </w:tc>
      </w:tr>
    </w:tbl>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Mode</w:t>
            </w:r>
          </w:p>
        </w:tc>
        <w:tc>
          <w:tcPr>
            <w:tcW w:type="dxa" w:w="1728"/>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Primary rail</w:t>
            </w:r>
          </w:p>
        </w:tc>
        <w:tc>
          <w:tcPr>
            <w:tcW w:type="dxa" w:w="2880"/>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Who participates</w:t>
            </w:r>
          </w:p>
        </w:tc>
        <w:tc>
          <w:tcPr>
            <w:tcW w:type="dxa" w:w="3096"/>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What the portal does</w:t>
            </w:r>
          </w:p>
        </w:tc>
        <w:tc>
          <w:tcPr>
            <w:tcW w:type="dxa" w:w="1728"/>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Guardrail</w:t>
            </w:r>
          </w:p>
        </w:tc>
      </w:tr>
      <w:tr>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1. Open consumer mode</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Private pay / no eligibility required</w:t>
            </w:r>
          </w:p>
        </w:tc>
        <w:tc>
          <w:tcPr>
            <w:tcW w:type="dxa" w:w="288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Seniors, families, caregivers, provider orgs, hospitals, housing partners, transport/meal partners</w:t>
            </w:r>
          </w:p>
        </w:tc>
        <w:tc>
          <w:tcPr>
            <w:tcW w:type="dxa" w:w="309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Anyone can sign up, browse, match, schedule, message, monitor, and manage life/care/housing/work services</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Open access must not be confused with government approval or subsidy status.</w:t>
            </w:r>
          </w:p>
        </w:tc>
      </w:tr>
      <w:tr>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2. Subsidized care mode</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NHIS LTCI / municipal subsidy / voucher</w:t>
            </w:r>
          </w:p>
        </w:tc>
        <w:tc>
          <w:tcPr>
            <w:tcW w:type="dxa" w:w="2880"/>
            <w:tcMar>
              <w:top w:w="70" w:type="dxa"/>
              <w:start w:w="90" w:type="dxa"/>
              <w:bottom w:w="70" w:type="dxa"/>
              <w:end w:w="90" w:type="dxa"/>
            </w:tcMar>
          </w:tcPr>
          <w:p>
            <w:pPr>
              <w:jc w:val="left"/>
            </w:pPr>
            <w:r>
              <w:rPr>
                <w:rFonts w:ascii="Noto Sans CJK KR" w:hAnsi="Noto Sans CJK KR" w:eastAsia="Noto Sans CJK KR" w:cs="Noto Sans CJK KR"/>
                <w:color w:val="1F2A33"/>
                <w:sz w:val="17"/>
              </w:rPr>
              <w:t>Eligible seniors + approved institutions / providers + reviewers</w:t>
            </w:r>
          </w:p>
        </w:tc>
        <w:tc>
          <w:tcPr>
            <w:tcW w:type="dxa" w:w="3096"/>
            <w:tcMar>
              <w:top w:w="70" w:type="dxa"/>
              <w:start w:w="90" w:type="dxa"/>
              <w:bottom w:w="70" w:type="dxa"/>
              <w:end w:w="90" w:type="dxa"/>
            </w:tcMar>
          </w:tcPr>
          <w:p>
            <w:pPr>
              <w:jc w:val="left"/>
            </w:pPr>
            <w:r>
              <w:rPr>
                <w:rFonts w:ascii="Noto Sans CJK KR" w:hAnsi="Noto Sans CJK KR" w:eastAsia="Noto Sans CJK KR" w:cs="Noto Sans CJK KR"/>
                <w:color w:val="1F2A33"/>
                <w:sz w:val="17"/>
              </w:rPr>
              <w:t>Overlay benefits rules, approvals, claims-ready records, subsidy tracking, and audit history on top of the open portal</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Eligibility is only needed for subsidized programs, not for basic portal usage.</w:t>
            </w:r>
          </w:p>
        </w:tc>
      </w:tr>
      <w:tr>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3. Medical coordination mode</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Clinical / mixed</w:t>
            </w:r>
          </w:p>
        </w:tc>
        <w:tc>
          <w:tcPr>
            <w:tcW w:type="dxa" w:w="288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Licensed medical institutions and professionals + consented users</w:t>
            </w:r>
          </w:p>
        </w:tc>
        <w:tc>
          <w:tcPr>
            <w:tcW w:type="dxa" w:w="309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Coordinate nursing hospitals, clinics, pharmacies, telehealth follow-up, transfers, medical history, and medication workflows</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Respect Medical Service Act boundaries; non-medical actors cannot practice medicine [KR-6][KR-7][KR-12].</w:t>
            </w:r>
          </w:p>
        </w:tc>
      </w:tr>
      <w:tr>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4. Government oversight mode</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Public administration / monitoring</w:t>
            </w:r>
          </w:p>
        </w:tc>
        <w:tc>
          <w:tcPr>
            <w:tcW w:type="dxa" w:w="2880"/>
            <w:tcMar>
              <w:top w:w="70" w:type="dxa"/>
              <w:start w:w="90" w:type="dxa"/>
              <w:bottom w:w="70" w:type="dxa"/>
              <w:end w:w="90" w:type="dxa"/>
            </w:tcMar>
          </w:tcPr>
          <w:p>
            <w:pPr>
              <w:jc w:val="left"/>
            </w:pPr>
            <w:r>
              <w:rPr>
                <w:rFonts w:ascii="Noto Sans CJK KR" w:hAnsi="Noto Sans CJK KR" w:eastAsia="Noto Sans CJK KR" w:cs="Noto Sans CJK KR"/>
                <w:color w:val="1F2A33"/>
                <w:sz w:val="17"/>
              </w:rPr>
              <w:t>District offices, municipalities, NHIS-adjacent operations, reviewers</w:t>
            </w:r>
          </w:p>
        </w:tc>
        <w:tc>
          <w:tcPr>
            <w:tcW w:type="dxa" w:w="3096"/>
            <w:tcMar>
              <w:top w:w="70" w:type="dxa"/>
              <w:start w:w="90" w:type="dxa"/>
              <w:bottom w:w="70" w:type="dxa"/>
              <w:end w:w="90" w:type="dxa"/>
            </w:tcMar>
          </w:tcPr>
          <w:p>
            <w:pPr>
              <w:jc w:val="left"/>
            </w:pPr>
            <w:r>
              <w:rPr>
                <w:rFonts w:ascii="Noto Sans CJK KR" w:hAnsi="Noto Sans CJK KR" w:eastAsia="Noto Sans CJK KR" w:cs="Noto Sans CJK KR"/>
                <w:color w:val="1F2A33"/>
                <w:sz w:val="17"/>
              </w:rPr>
              <w:t>Monitor providers, programs, utilization, incidents, daily observability signals, and benefit decisions</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Use strict role-scoped access and consent-sensitive views [KR-4][KR-5][KR-6].</w:t>
            </w:r>
          </w:p>
        </w:tc>
      </w:tr>
    </w:tbl>
    <w:p/>
    <w:p>
      <w:pPr>
        <w:pStyle w:val="Heading1"/>
      </w:pPr>
      <w:r>
        <w:t>3. Korea baseline facts that shape the product</w:t>
      </w:r>
    </w:p>
    <w:p>
      <w:pPr>
        <w:pStyle w:val="ListBullet"/>
      </w:pPr>
      <w:r>
        <w:rPr>
          <w:rFonts w:ascii="Noto Sans CJK KR" w:hAnsi="Noto Sans CJK KR" w:eastAsia="Noto Sans CJK KR" w:cs="Noto Sans CJK KR"/>
          <w:color w:val="1F2A33"/>
          <w:sz w:val="20"/>
        </w:rPr>
        <w:t>The official long-term-care scheme defines grades 1–5 plus a cognitive-support grade and routes users through NHIS recognition and planning [KR-1].</w:t>
      </w:r>
    </w:p>
    <w:p>
      <w:pPr>
        <w:pStyle w:val="ListBullet"/>
      </w:pPr>
      <w:r>
        <w:rPr>
          <w:rFonts w:ascii="Noto Sans CJK KR" w:hAnsi="Noto Sans CJK KR" w:eastAsia="Noto Sans CJK KR" w:cs="Noto Sans CJK KR"/>
          <w:color w:val="1F2A33"/>
          <w:sz w:val="20"/>
        </w:rPr>
        <w:t>The law defines home-care, facility-care, and cash-benefit categories including visiting care, visiting bath, visiting nursing, day/night care, short stay, equipment/other home-care, facility care, and family-care cash benefits [KR-2].</w:t>
      </w:r>
    </w:p>
    <w:p>
      <w:pPr>
        <w:pStyle w:val="ListBullet"/>
      </w:pPr>
      <w:r>
        <w:rPr>
          <w:rFonts w:ascii="Noto Sans CJK KR" w:hAnsi="Noto Sans CJK KR" w:eastAsia="Noto Sans CJK KR" w:cs="Noto Sans CJK KR"/>
          <w:color w:val="1F2A33"/>
          <w:sz w:val="20"/>
        </w:rPr>
        <w:t>Long-term-care institutions are supervised and claim benefit costs to NHIS through formal claim rails; the accountable claimant is the institution or medical-institution representative [KR-4].</w:t>
      </w:r>
    </w:p>
    <w:p>
      <w:pPr>
        <w:pStyle w:val="ListBullet"/>
      </w:pPr>
      <w:r>
        <w:rPr>
          <w:rFonts w:ascii="Noto Sans CJK KR" w:hAnsi="Noto Sans CJK KR" w:eastAsia="Noto Sans CJK KR" w:cs="Noto Sans CJK KR"/>
          <w:color w:val="1F2A33"/>
          <w:sz w:val="20"/>
        </w:rPr>
        <w:t>Korea’s social-service e-voucher system already digitizes application, use, payment, and settlement for many social services [KR-5].</w:t>
      </w:r>
    </w:p>
    <w:p>
      <w:pPr>
        <w:pStyle w:val="ListBullet"/>
      </w:pPr>
      <w:r>
        <w:rPr>
          <w:rFonts w:ascii="Noto Sans CJK KR" w:hAnsi="Noto Sans CJK KR" w:eastAsia="Noto Sans CJK KR" w:cs="Noto Sans CJK KR"/>
          <w:color w:val="1F2A33"/>
          <w:sz w:val="20"/>
        </w:rPr>
        <w:t>My Healthway / Health Information Highway is the right conceptual anchor for consent-based medical data exchange, and the official portal flags medical MyData as consent-based and highly protected [KR-6].</w:t>
      </w:r>
    </w:p>
    <w:p>
      <w:pPr>
        <w:pStyle w:val="ListBullet"/>
      </w:pPr>
      <w:r>
        <w:rPr>
          <w:rFonts w:ascii="Noto Sans CJK KR" w:hAnsi="Noto Sans CJK KR" w:eastAsia="Noto Sans CJK KR" w:cs="Noto Sans CJK KR"/>
          <w:color w:val="1F2A33"/>
          <w:sz w:val="20"/>
        </w:rPr>
        <w:t>The newly codified telemedicine framework still treats telemedicine as supplementary and restricted, not a free-for-all virtual-care marketplace [KR-7].</w:t>
      </w:r>
    </w:p>
    <w:p>
      <w:pPr>
        <w:pStyle w:val="ListBullet"/>
      </w:pPr>
      <w:r>
        <w:rPr>
          <w:rFonts w:ascii="Noto Sans CJK KR" w:hAnsi="Noto Sans CJK KR" w:eastAsia="Noto Sans CJK KR" w:cs="Noto Sans CJK KR"/>
          <w:color w:val="1F2A33"/>
          <w:sz w:val="20"/>
        </w:rPr>
        <w:t>Older-person statistics show both rapid aging and a large single-person-older-household segment, which supports building family delegation, emergency support, and localized service discovery into the product [KR-9][KR-10].</w:t>
      </w:r>
    </w:p>
    <w:p>
      <w:pPr>
        <w:pStyle w:val="Heading1"/>
      </w:pPr>
      <w:r>
        <w:t>4. Stakeholder portals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Portal</w:t>
            </w:r>
          </w:p>
        </w:tc>
        <w:tc>
          <w:tcPr>
            <w:tcW w:type="dxa" w:w="1728"/>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Primary users</w:t>
            </w:r>
          </w:p>
        </w:tc>
        <w:tc>
          <w:tcPr>
            <w:tcW w:type="dxa" w:w="3960"/>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Must-have</w:t>
            </w:r>
          </w:p>
        </w:tc>
        <w:tc>
          <w:tcPr>
            <w:tcW w:type="dxa" w:w="2376"/>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Korea adaptation</w:t>
            </w:r>
          </w:p>
        </w:tc>
      </w:tr>
      <w:tr>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Senior portal</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Seniors</w:t>
            </w:r>
          </w:p>
        </w:tc>
        <w:tc>
          <w:tcPr>
            <w:tcW w:type="dxa" w:w="396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Today screen, appointments, care schedule, rides, meals, medicine tracking, medical history summary, community activities, jobs/opportunities, housing search, emergency help</w:t>
            </w:r>
          </w:p>
        </w:tc>
        <w:tc>
          <w:tcPr>
            <w:tcW w:type="dxa" w:w="237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Large controls, plain Korean, low-friction onboarding, voice/call-first fallback.</w:t>
            </w:r>
          </w:p>
        </w:tc>
      </w:tr>
      <w:tr>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Family / guardian portal</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Adult children, spouses, guardians</w:t>
            </w:r>
          </w:p>
        </w:tc>
        <w:tc>
          <w:tcPr>
            <w:tcW w:type="dxa" w:w="3960"/>
            <w:tcMar>
              <w:top w:w="70" w:type="dxa"/>
              <w:start w:w="90" w:type="dxa"/>
              <w:bottom w:w="70" w:type="dxa"/>
              <w:end w:w="90" w:type="dxa"/>
            </w:tcMar>
          </w:tcPr>
          <w:p>
            <w:pPr>
              <w:jc w:val="left"/>
            </w:pPr>
            <w:r>
              <w:rPr>
                <w:rFonts w:ascii="Noto Sans CJK KR" w:hAnsi="Noto Sans CJK KR" w:eastAsia="Noto Sans CJK KR" w:cs="Noto Sans CJK KR"/>
                <w:color w:val="1F2A33"/>
                <w:sz w:val="17"/>
              </w:rPr>
              <w:t>Shared timeline, approvals, payments, provider comparison, incident alerts, observability, documents, consent management, medication oversight</w:t>
            </w:r>
          </w:p>
        </w:tc>
        <w:tc>
          <w:tcPr>
            <w:tcW w:type="dxa" w:w="2376"/>
            <w:tcMar>
              <w:top w:w="70" w:type="dxa"/>
              <w:start w:w="90" w:type="dxa"/>
              <w:bottom w:w="70" w:type="dxa"/>
              <w:end w:w="90" w:type="dxa"/>
            </w:tcMar>
          </w:tcPr>
          <w:p>
            <w:pPr>
              <w:jc w:val="left"/>
            </w:pPr>
            <w:r>
              <w:rPr>
                <w:rFonts w:ascii="Noto Sans CJK KR" w:hAnsi="Noto Sans CJK KR" w:eastAsia="Noto Sans CJK KR" w:cs="Noto Sans CJK KR"/>
                <w:color w:val="1F2A33"/>
                <w:sz w:val="17"/>
              </w:rPr>
              <w:t>Support family-led decision making and delegated digital help.</w:t>
            </w:r>
          </w:p>
        </w:tc>
      </w:tr>
      <w:tr>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Caregiver applicant portal</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Prospective caregivers</w:t>
            </w:r>
          </w:p>
        </w:tc>
        <w:tc>
          <w:tcPr>
            <w:tcW w:type="dxa" w:w="396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Application, ID/certificate upload, service-region map, availability, service types, review status, interview/training workflow</w:t>
            </w:r>
          </w:p>
        </w:tc>
        <w:tc>
          <w:tcPr>
            <w:tcW w:type="dxa" w:w="237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Keep applicant and approved states distinct; private-pay vs subsidized eligibility must be explicit.</w:t>
            </w:r>
          </w:p>
        </w:tc>
      </w:tr>
      <w:tr>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Approved caregiver app</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Approved caregivers / visiting managers</w:t>
            </w:r>
          </w:p>
        </w:tc>
        <w:tc>
          <w:tcPr>
            <w:tcW w:type="dxa" w:w="3960"/>
            <w:tcMar>
              <w:top w:w="70" w:type="dxa"/>
              <w:start w:w="90" w:type="dxa"/>
              <w:bottom w:w="70" w:type="dxa"/>
              <w:end w:w="90" w:type="dxa"/>
            </w:tcMar>
          </w:tcPr>
          <w:p>
            <w:pPr>
              <w:jc w:val="left"/>
            </w:pPr>
            <w:r>
              <w:rPr>
                <w:rFonts w:ascii="Noto Sans CJK KR" w:hAnsi="Noto Sans CJK KR" w:eastAsia="Noto Sans CJK KR" w:cs="Noto Sans CJK KR"/>
                <w:color w:val="1F2A33"/>
                <w:sz w:val="17"/>
              </w:rPr>
              <w:t>Client schedule, relevant client context, care plan, route help, check-in/out, tasks, notes, incident logging, daily observability inputs</w:t>
            </w:r>
          </w:p>
        </w:tc>
        <w:tc>
          <w:tcPr>
            <w:tcW w:type="dxa" w:w="2376"/>
            <w:tcMar>
              <w:top w:w="70" w:type="dxa"/>
              <w:start w:w="90" w:type="dxa"/>
              <w:bottom w:w="70" w:type="dxa"/>
              <w:end w:w="90" w:type="dxa"/>
            </w:tcMar>
          </w:tcPr>
          <w:p>
            <w:pPr>
              <w:jc w:val="left"/>
            </w:pPr>
            <w:r>
              <w:rPr>
                <w:rFonts w:ascii="Noto Sans CJK KR" w:hAnsi="Noto Sans CJK KR" w:eastAsia="Noto Sans CJK KR" w:cs="Noto Sans CJK KR"/>
                <w:color w:val="1F2A33"/>
                <w:sz w:val="17"/>
              </w:rPr>
              <w:t>Assignment-scoped data only; strong mobile workflow.</w:t>
            </w:r>
          </w:p>
        </w:tc>
      </w:tr>
      <w:tr>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Provider org portal</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Home-care agencies, day-care centers, nursing hospitals, senior hospitals, clinics, silver-town operators, partner vendors</w:t>
            </w:r>
          </w:p>
        </w:tc>
        <w:tc>
          <w:tcPr>
            <w:tcW w:type="dxa" w:w="396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Roster, referrals, service catalog, matching rules, care plans, scheduling, quality review, claims-ready records, partner operations</w:t>
            </w:r>
          </w:p>
        </w:tc>
        <w:tc>
          <w:tcPr>
            <w:tcW w:type="dxa" w:w="237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Institution is the accountable unit in subsidized modes [KR-4].</w:t>
            </w:r>
          </w:p>
        </w:tc>
      </w:tr>
      <w:tr>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Medical institution portal</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Nursing hospitals, geriatric hospitals, clinics, rehab, dementia programs, pharmacies</w:t>
            </w:r>
          </w:p>
        </w:tc>
        <w:tc>
          <w:tcPr>
            <w:tcW w:type="dxa" w:w="3960"/>
            <w:tcMar>
              <w:top w:w="70" w:type="dxa"/>
              <w:start w:w="90" w:type="dxa"/>
              <w:bottom w:w="70" w:type="dxa"/>
              <w:end w:w="90" w:type="dxa"/>
            </w:tcMar>
          </w:tcPr>
          <w:p>
            <w:pPr>
              <w:jc w:val="left"/>
            </w:pPr>
            <w:r>
              <w:rPr>
                <w:rFonts w:ascii="Noto Sans CJK KR" w:hAnsi="Noto Sans CJK KR" w:eastAsia="Noto Sans CJK KR" w:cs="Noto Sans CJK KR"/>
                <w:color w:val="1F2A33"/>
                <w:sz w:val="17"/>
              </w:rPr>
              <w:t>Referral intake, transfer status, orders, care summaries, discharge planning, telehealth coordination, medication workflows</w:t>
            </w:r>
          </w:p>
        </w:tc>
        <w:tc>
          <w:tcPr>
            <w:tcW w:type="dxa" w:w="2376"/>
            <w:tcMar>
              <w:top w:w="70" w:type="dxa"/>
              <w:start w:w="90" w:type="dxa"/>
              <w:bottom w:w="70" w:type="dxa"/>
              <w:end w:w="90" w:type="dxa"/>
            </w:tcMar>
          </w:tcPr>
          <w:p>
            <w:pPr>
              <w:jc w:val="left"/>
            </w:pPr>
            <w:r>
              <w:rPr>
                <w:rFonts w:ascii="Noto Sans CJK KR" w:hAnsi="Noto Sans CJK KR" w:eastAsia="Noto Sans CJK KR" w:cs="Noto Sans CJK KR"/>
                <w:color w:val="1F2A33"/>
                <w:sz w:val="17"/>
              </w:rPr>
              <w:t>Treat medical institutions as a connected but legally distinct layer.</w:t>
            </w:r>
          </w:p>
        </w:tc>
      </w:tr>
      <w:tr>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Government / district-office portal</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Municipal reviewers, district-office staff, oversight users</w:t>
            </w:r>
          </w:p>
        </w:tc>
        <w:tc>
          <w:tcPr>
            <w:tcW w:type="dxa" w:w="396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Provider registry, subsidy workflow, localized program cards, incident dashboard, waitlists, district contact info, daily observability reports</w:t>
            </w:r>
          </w:p>
        </w:tc>
        <w:tc>
          <w:tcPr>
            <w:tcW w:type="dxa" w:w="237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Role-based access, audit logs, consent-aware data display.</w:t>
            </w:r>
          </w:p>
        </w:tc>
      </w:tr>
      <w:tr>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Opportunities portal</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Older adults seeking work, volunteering, classes, community participation</w:t>
            </w:r>
          </w:p>
        </w:tc>
        <w:tc>
          <w:tcPr>
            <w:tcW w:type="dxa" w:w="3960"/>
            <w:tcMar>
              <w:top w:w="70" w:type="dxa"/>
              <w:start w:w="90" w:type="dxa"/>
              <w:bottom w:w="70" w:type="dxa"/>
              <w:end w:w="90" w:type="dxa"/>
            </w:tcMar>
          </w:tcPr>
          <w:p>
            <w:pPr>
              <w:jc w:val="left"/>
            </w:pPr>
            <w:r>
              <w:rPr>
                <w:rFonts w:ascii="Noto Sans CJK KR" w:hAnsi="Noto Sans CJK KR" w:eastAsia="Noto Sans CJK KR" w:cs="Noto Sans CJK KR"/>
                <w:color w:val="1F2A33"/>
                <w:sz w:val="17"/>
              </w:rPr>
              <w:t>Jobs, volunteer roles, program applications, activity discovery, local events, learning</w:t>
            </w:r>
          </w:p>
        </w:tc>
        <w:tc>
          <w:tcPr>
            <w:tcW w:type="dxa" w:w="2376"/>
            <w:tcMar>
              <w:top w:w="70" w:type="dxa"/>
              <w:start w:w="90" w:type="dxa"/>
              <w:bottom w:w="70" w:type="dxa"/>
              <w:end w:w="90" w:type="dxa"/>
            </w:tcMar>
          </w:tcPr>
          <w:p>
            <w:pPr>
              <w:jc w:val="left"/>
            </w:pPr>
            <w:r>
              <w:rPr>
                <w:rFonts w:ascii="Noto Sans CJK KR" w:hAnsi="Noto Sans CJK KR" w:eastAsia="Noto Sans CJK KR" w:cs="Noto Sans CJK KR"/>
                <w:color w:val="1F2A33"/>
                <w:sz w:val="17"/>
              </w:rPr>
              <w:t>Useful for healthy/active seniors and re-engagement after care episodes [KR-13][KR-14].</w:t>
            </w:r>
          </w:p>
        </w:tc>
      </w:tr>
      <w:tr>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Housing / silver-town portal</w:t>
            </w:r>
          </w:p>
        </w:tc>
        <w:tc>
          <w:tcPr>
            <w:tcW w:type="dxa" w:w="172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Seniors, families, housing operators</w:t>
            </w:r>
          </w:p>
        </w:tc>
        <w:tc>
          <w:tcPr>
            <w:tcW w:type="dxa" w:w="396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Search, compare, waiting list, tours, service level, healthcare linkage, contracts/documents</w:t>
            </w:r>
          </w:p>
        </w:tc>
        <w:tc>
          <w:tcPr>
            <w:tcW w:type="dxa" w:w="237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Handle housing as its own domain, not just an appendix to care [KR-15].</w:t>
            </w:r>
          </w:p>
        </w:tc>
      </w:tr>
      <w:tr>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Partner operations portal</w:t>
            </w:r>
          </w:p>
        </w:tc>
        <w:tc>
          <w:tcPr>
            <w:tcW w:type="dxa" w:w="1728"/>
            <w:tcMar>
              <w:top w:w="70" w:type="dxa"/>
              <w:start w:w="90" w:type="dxa"/>
              <w:bottom w:w="70" w:type="dxa"/>
              <w:end w:w="90" w:type="dxa"/>
            </w:tcMar>
          </w:tcPr>
          <w:p>
            <w:pPr>
              <w:jc w:val="left"/>
            </w:pPr>
            <w:r>
              <w:rPr>
                <w:rFonts w:ascii="Noto Sans CJK KR" w:hAnsi="Noto Sans CJK KR" w:eastAsia="Noto Sans CJK KR" w:cs="Noto Sans CJK KR"/>
                <w:color w:val="1F2A33"/>
                <w:sz w:val="17"/>
              </w:rPr>
              <w:t>Transport, meals, home services, equipment partners</w:t>
            </w:r>
          </w:p>
        </w:tc>
        <w:tc>
          <w:tcPr>
            <w:tcW w:type="dxa" w:w="3960"/>
            <w:tcMar>
              <w:top w:w="70" w:type="dxa"/>
              <w:start w:w="90" w:type="dxa"/>
              <w:bottom w:w="70" w:type="dxa"/>
              <w:end w:w="90" w:type="dxa"/>
            </w:tcMar>
          </w:tcPr>
          <w:p>
            <w:pPr>
              <w:jc w:val="left"/>
            </w:pPr>
            <w:r>
              <w:rPr>
                <w:rFonts w:ascii="Noto Sans CJK KR" w:hAnsi="Noto Sans CJK KR" w:eastAsia="Noto Sans CJK KR" w:cs="Noto Sans CJK KR"/>
                <w:color w:val="1F2A33"/>
                <w:sz w:val="17"/>
              </w:rPr>
              <w:t>Referral intake, scheduling, proof of service, exception management, settlement, SLA tracking</w:t>
            </w:r>
          </w:p>
        </w:tc>
        <w:tc>
          <w:tcPr>
            <w:tcW w:type="dxa" w:w="2376"/>
            <w:tcMar>
              <w:top w:w="70" w:type="dxa"/>
              <w:start w:w="90" w:type="dxa"/>
              <w:bottom w:w="70" w:type="dxa"/>
              <w:end w:w="90" w:type="dxa"/>
            </w:tcMar>
          </w:tcPr>
          <w:p>
            <w:pPr>
              <w:jc w:val="left"/>
            </w:pPr>
            <w:r>
              <w:rPr>
                <w:rFonts w:ascii="Noto Sans CJK KR" w:hAnsi="Noto Sans CJK KR" w:eastAsia="Noto Sans CJK KR" w:cs="Noto Sans CJK KR"/>
                <w:color w:val="1F2A33"/>
                <w:sz w:val="17"/>
              </w:rPr>
              <w:t>Critical for end-to-end daily-life orchestration.</w:t>
            </w:r>
          </w:p>
        </w:tc>
      </w:tr>
    </w:tbl>
    <w:p/>
    <w:p>
      <w:pPr>
        <w:pStyle w:val="Heading1"/>
      </w:pPr>
      <w:r>
        <w:t>5. Core capabilities</w:t>
      </w:r>
    </w:p>
    <w:p>
      <w:pPr>
        <w:pStyle w:val="Heading2"/>
      </w:pPr>
      <w:r>
        <w:t>5.1 Universal account and identity</w:t>
      </w:r>
    </w:p>
    <w:p>
      <w:pPr>
        <w:pStyle w:val="ListBullet"/>
      </w:pPr>
      <w:r>
        <w:rPr>
          <w:rFonts w:ascii="Noto Sans CJK KR" w:hAnsi="Noto Sans CJK KR" w:eastAsia="Noto Sans CJK KR" w:cs="Noto Sans CJK KR"/>
          <w:color w:val="1F2A33"/>
          <w:sz w:val="20"/>
        </w:rPr>
        <w:t>Senior, family, caregiver, provider, partner, and government roles</w:t>
      </w:r>
    </w:p>
    <w:p>
      <w:pPr>
        <w:pStyle w:val="ListBullet"/>
      </w:pPr>
      <w:r>
        <w:rPr>
          <w:rFonts w:ascii="Noto Sans CJK KR" w:hAnsi="Noto Sans CJK KR" w:eastAsia="Noto Sans CJK KR" w:cs="Noto Sans CJK KR"/>
          <w:color w:val="1F2A33"/>
          <w:sz w:val="20"/>
        </w:rPr>
        <w:t>Identity verification / trust level</w:t>
      </w:r>
    </w:p>
    <w:p>
      <w:pPr>
        <w:pStyle w:val="ListBullet"/>
      </w:pPr>
      <w:r>
        <w:rPr>
          <w:rFonts w:ascii="Noto Sans CJK KR" w:hAnsi="Noto Sans CJK KR" w:eastAsia="Noto Sans CJK KR" w:cs="Noto Sans CJK KR"/>
          <w:color w:val="1F2A33"/>
          <w:sz w:val="20"/>
        </w:rPr>
        <w:t>Delegated access and guardianship</w:t>
      </w:r>
    </w:p>
    <w:p>
      <w:pPr>
        <w:pStyle w:val="ListBullet"/>
      </w:pPr>
      <w:r>
        <w:rPr>
          <w:rFonts w:ascii="Noto Sans CJK KR" w:hAnsi="Noto Sans CJK KR" w:eastAsia="Noto Sans CJK KR" w:cs="Noto Sans CJK KR"/>
          <w:color w:val="1F2A33"/>
          <w:sz w:val="20"/>
        </w:rPr>
        <w:t>Localized district / service-area profile</w:t>
      </w:r>
    </w:p>
    <w:p>
      <w:pPr>
        <w:pStyle w:val="ListBullet"/>
      </w:pPr>
      <w:r>
        <w:rPr>
          <w:rFonts w:ascii="Noto Sans CJK KR" w:hAnsi="Noto Sans CJK KR" w:eastAsia="Noto Sans CJK KR" w:cs="Noto Sans CJK KR"/>
          <w:color w:val="1F2A33"/>
          <w:sz w:val="20"/>
        </w:rPr>
        <w:t>Korean + English UI copy, with honorific-safe messaging templates</w:t>
      </w:r>
    </w:p>
    <w:p>
      <w:pPr>
        <w:pStyle w:val="Heading2"/>
      </w:pPr>
      <w:r>
        <w:t>5.2 Search, match, and connect</w:t>
      </w:r>
    </w:p>
    <w:p>
      <w:pPr>
        <w:pStyle w:val="ListBullet"/>
      </w:pPr>
      <w:r>
        <w:rPr>
          <w:rFonts w:ascii="Noto Sans CJK KR" w:hAnsi="Noto Sans CJK KR" w:eastAsia="Noto Sans CJK KR" w:cs="Noto Sans CJK KR"/>
          <w:color w:val="1F2A33"/>
          <w:sz w:val="20"/>
        </w:rPr>
        <w:t>Search or auto-match to visiting caregivers, care organizations, nursing hospitals, senior hospitals, clinics, pharmacies, transport partners, meal partners, housing / silver towns, and senior jobs/opportunities</w:t>
      </w:r>
    </w:p>
    <w:p>
      <w:pPr>
        <w:pStyle w:val="ListBullet"/>
      </w:pPr>
      <w:r>
        <w:rPr>
          <w:rFonts w:ascii="Noto Sans CJK KR" w:hAnsi="Noto Sans CJK KR" w:eastAsia="Noto Sans CJK KR" w:cs="Noto Sans CJK KR"/>
          <w:color w:val="1F2A33"/>
          <w:sz w:val="20"/>
        </w:rPr>
        <w:t>Preference matching by region, schedule, service type, gender preference, language, dementia experience, mobility support skills, pet tolerance, smoking preference, overnight availability, and family constraints</w:t>
      </w:r>
    </w:p>
    <w:p>
      <w:pPr>
        <w:pStyle w:val="ListBullet"/>
      </w:pPr>
      <w:r>
        <w:rPr>
          <w:rFonts w:ascii="Noto Sans CJK KR" w:hAnsi="Noto Sans CJK KR" w:eastAsia="Noto Sans CJK KR" w:cs="Noto Sans CJK KR"/>
          <w:color w:val="1F2A33"/>
          <w:sz w:val="20"/>
        </w:rPr>
        <w:t>Marketplace labels: private pay / subsidized / information only / waitlist / needs review</w:t>
      </w:r>
    </w:p>
    <w:p>
      <w:pPr>
        <w:pStyle w:val="Heading2"/>
      </w:pPr>
      <w:r>
        <w:t>5.3 Medical history and medicine tracking</w:t>
      </w:r>
    </w:p>
    <w:p>
      <w:pPr>
        <w:pStyle w:val="ListBullet"/>
      </w:pPr>
      <w:r>
        <w:rPr>
          <w:rFonts w:ascii="Noto Sans CJK KR" w:hAnsi="Noto Sans CJK KR" w:eastAsia="Noto Sans CJK KR" w:cs="Noto Sans CJK KR"/>
          <w:color w:val="1F2A33"/>
          <w:sz w:val="20"/>
        </w:rPr>
        <w:t>Longitudinal medical-history timeline: diagnoses, surgeries, admissions, nursing-hospital stays, allergies, key test results, fall history, chronic conditions</w:t>
      </w:r>
    </w:p>
    <w:p>
      <w:pPr>
        <w:pStyle w:val="ListBullet"/>
      </w:pPr>
      <w:r>
        <w:rPr>
          <w:rFonts w:ascii="Noto Sans CJK KR" w:hAnsi="Noto Sans CJK KR" w:eastAsia="Noto Sans CJK KR" w:cs="Noto Sans CJK KR"/>
          <w:color w:val="1F2A33"/>
          <w:sz w:val="20"/>
        </w:rPr>
        <w:t>Current and historical medication list with schedule, route, source institution, refill due, missed dose, side effect, hold, and reconciliation flags</w:t>
      </w:r>
    </w:p>
    <w:p>
      <w:pPr>
        <w:pStyle w:val="ListBullet"/>
      </w:pPr>
      <w:r>
        <w:rPr>
          <w:rFonts w:ascii="Noto Sans CJK KR" w:hAnsi="Noto Sans CJK KR" w:eastAsia="Noto Sans CJK KR" w:cs="Noto Sans CJK KR"/>
          <w:color w:val="1F2A33"/>
          <w:sz w:val="20"/>
        </w:rPr>
        <w:t>Family- and caregiver-facing medicine reminders and observability events</w:t>
      </w:r>
    </w:p>
    <w:p>
      <w:pPr>
        <w:pStyle w:val="ListBullet"/>
      </w:pPr>
      <w:r>
        <w:rPr>
          <w:rFonts w:ascii="Noto Sans CJK KR" w:hAnsi="Noto Sans CJK KR" w:eastAsia="Noto Sans CJK KR" w:cs="Noto Sans CJK KR"/>
          <w:color w:val="1F2A33"/>
          <w:sz w:val="20"/>
        </w:rPr>
        <w:t>Consent-based import / sharing path with medical institutions and My Healthway-like data relays [KR-6]</w:t>
      </w:r>
    </w:p>
    <w:p>
      <w:pPr>
        <w:pStyle w:val="Heading2"/>
      </w:pPr>
      <w:r>
        <w:t>5.4 Benefits and public-program overlay</w:t>
      </w:r>
    </w:p>
    <w:p>
      <w:pPr>
        <w:pStyle w:val="ListBullet"/>
      </w:pPr>
      <w:r>
        <w:rPr>
          <w:rFonts w:ascii="Noto Sans CJK KR" w:hAnsi="Noto Sans CJK KR" w:eastAsia="Noto Sans CJK KR" w:cs="Noto Sans CJK KR"/>
          <w:color w:val="1F2A33"/>
          <w:sz w:val="20"/>
        </w:rPr>
        <w:t>Manual / automatic eligibility control</w:t>
      </w:r>
    </w:p>
    <w:p>
      <w:pPr>
        <w:pStyle w:val="ListBullet"/>
      </w:pPr>
      <w:r>
        <w:rPr>
          <w:rFonts w:ascii="Noto Sans CJK KR" w:hAnsi="Noto Sans CJK KR" w:eastAsia="Noto Sans CJK KR" w:cs="Noto Sans CJK KR"/>
          <w:color w:val="1F2A33"/>
          <w:sz w:val="20"/>
        </w:rPr>
        <w:t>Approval modes: self-verified, provider admin, social worker, clinical reviewer, government reviewer, committee</w:t>
      </w:r>
    </w:p>
    <w:p>
      <w:pPr>
        <w:pStyle w:val="ListBullet"/>
      </w:pPr>
      <w:r>
        <w:rPr>
          <w:rFonts w:ascii="Noto Sans CJK KR" w:hAnsi="Noto Sans CJK KR" w:eastAsia="Noto Sans CJK KR" w:cs="Noto Sans CJK KR"/>
          <w:color w:val="1F2A33"/>
          <w:sz w:val="20"/>
        </w:rPr>
        <w:t>Progress tracker that explains to the family what is still missing</w:t>
      </w:r>
    </w:p>
    <w:p>
      <w:pPr>
        <w:pStyle w:val="ListBullet"/>
      </w:pPr>
      <w:r>
        <w:rPr>
          <w:rFonts w:ascii="Noto Sans CJK KR" w:hAnsi="Noto Sans CJK KR" w:eastAsia="Noto Sans CJK KR" w:cs="Noto Sans CJK KR"/>
          <w:color w:val="1F2A33"/>
          <w:sz w:val="20"/>
        </w:rPr>
        <w:t>Support for LTCI, customized care, voucher-like programs, and municipal pilots [KR-1][KR-5][KR-8]</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Approval mode</w:t>
            </w:r>
          </w:p>
        </w:tc>
        <w:tc>
          <w:tcPr>
            <w:tcW w:type="dxa" w:w="1584"/>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Who starts</w:t>
            </w:r>
          </w:p>
        </w:tc>
        <w:tc>
          <w:tcPr>
            <w:tcW w:type="dxa" w:w="1872"/>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Who approves</w:t>
            </w:r>
          </w:p>
        </w:tc>
        <w:tc>
          <w:tcPr>
            <w:tcW w:type="dxa" w:w="2880"/>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Typical use</w:t>
            </w:r>
          </w:p>
        </w:tc>
        <w:tc>
          <w:tcPr>
            <w:tcW w:type="dxa" w:w="2304"/>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System output</w:t>
            </w:r>
          </w:p>
        </w:tc>
      </w:tr>
      <w:tr>
        <w:tc>
          <w:tcPr>
            <w:tcW w:type="dxa" w:w="187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No eligibility required</w:t>
            </w:r>
          </w:p>
        </w:tc>
        <w:tc>
          <w:tcPr>
            <w:tcW w:type="dxa" w:w="158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Senior / family / provider</w:t>
            </w:r>
          </w:p>
        </w:tc>
        <w:tc>
          <w:tcPr>
            <w:tcW w:type="dxa" w:w="187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None beyond account checks</w:t>
            </w:r>
          </w:p>
        </w:tc>
        <w:tc>
          <w:tcPr>
            <w:tcW w:type="dxa" w:w="288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Basic portal usage, private-pay matching, browsing jobs/housing/services</w:t>
            </w:r>
          </w:p>
        </w:tc>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Active account with optional later benefits overlay</w:t>
            </w:r>
          </w:p>
        </w:tc>
      </w:tr>
      <w:tr>
        <w:tc>
          <w:tcPr>
            <w:tcW w:type="dxa" w:w="1872"/>
            <w:tcMar>
              <w:top w:w="70" w:type="dxa"/>
              <w:start w:w="90" w:type="dxa"/>
              <w:bottom w:w="70" w:type="dxa"/>
              <w:end w:w="90" w:type="dxa"/>
            </w:tcMar>
          </w:tcPr>
          <w:p>
            <w:pPr>
              <w:jc w:val="left"/>
            </w:pPr>
            <w:r>
              <w:rPr>
                <w:rFonts w:ascii="Noto Sans CJK KR" w:hAnsi="Noto Sans CJK KR" w:eastAsia="Noto Sans CJK KR" w:cs="Noto Sans CJK KR"/>
                <w:color w:val="1F2A33"/>
                <w:sz w:val="17"/>
              </w:rPr>
              <w:t>Identity-verified self-service</w:t>
            </w:r>
          </w:p>
        </w:tc>
        <w:tc>
          <w:tcPr>
            <w:tcW w:type="dxa" w:w="1584"/>
            <w:tcMar>
              <w:top w:w="70" w:type="dxa"/>
              <w:start w:w="90" w:type="dxa"/>
              <w:bottom w:w="70" w:type="dxa"/>
              <w:end w:w="90" w:type="dxa"/>
            </w:tcMar>
          </w:tcPr>
          <w:p>
            <w:pPr>
              <w:jc w:val="left"/>
            </w:pPr>
            <w:r>
              <w:rPr>
                <w:rFonts w:ascii="Noto Sans CJK KR" w:hAnsi="Noto Sans CJK KR" w:eastAsia="Noto Sans CJK KR" w:cs="Noto Sans CJK KR"/>
                <w:color w:val="1F2A33"/>
                <w:sz w:val="17"/>
              </w:rPr>
              <w:t>Senior / family / caregiver applicant</w:t>
            </w:r>
          </w:p>
        </w:tc>
        <w:tc>
          <w:tcPr>
            <w:tcW w:type="dxa" w:w="1872"/>
            <w:tcMar>
              <w:top w:w="70" w:type="dxa"/>
              <w:start w:w="90" w:type="dxa"/>
              <w:bottom w:w="70" w:type="dxa"/>
              <w:end w:w="90" w:type="dxa"/>
            </w:tcMar>
          </w:tcPr>
          <w:p>
            <w:pPr>
              <w:jc w:val="left"/>
            </w:pPr>
            <w:r>
              <w:rPr>
                <w:rFonts w:ascii="Noto Sans CJK KR" w:hAnsi="Noto Sans CJK KR" w:eastAsia="Noto Sans CJK KR" w:cs="Noto Sans CJK KR"/>
                <w:color w:val="1F2A33"/>
                <w:sz w:val="17"/>
              </w:rPr>
              <w:t>Automated KYC / account verification</w:t>
            </w:r>
          </w:p>
        </w:tc>
        <w:tc>
          <w:tcPr>
            <w:tcW w:type="dxa" w:w="2880"/>
            <w:tcMar>
              <w:top w:w="70" w:type="dxa"/>
              <w:start w:w="90" w:type="dxa"/>
              <w:bottom w:w="70" w:type="dxa"/>
              <w:end w:w="90" w:type="dxa"/>
            </w:tcMar>
          </w:tcPr>
          <w:p>
            <w:pPr>
              <w:jc w:val="left"/>
            </w:pPr>
            <w:r>
              <w:rPr>
                <w:rFonts w:ascii="Noto Sans CJK KR" w:hAnsi="Noto Sans CJK KR" w:eastAsia="Noto Sans CJK KR" w:cs="Noto Sans CJK KR"/>
                <w:color w:val="1F2A33"/>
                <w:sz w:val="17"/>
              </w:rPr>
              <w:t>Open-portal use with stronger trust</w:t>
            </w:r>
          </w:p>
        </w:tc>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Verified profile</w:t>
            </w:r>
          </w:p>
        </w:tc>
      </w:tr>
      <w:tr>
        <w:tc>
          <w:tcPr>
            <w:tcW w:type="dxa" w:w="187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Provider-admin approval</w:t>
            </w:r>
          </w:p>
        </w:tc>
        <w:tc>
          <w:tcPr>
            <w:tcW w:type="dxa" w:w="158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Caregiver applicant / partner</w:t>
            </w:r>
          </w:p>
        </w:tc>
        <w:tc>
          <w:tcPr>
            <w:tcW w:type="dxa" w:w="187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Provider admin / platform reviewer</w:t>
            </w:r>
          </w:p>
        </w:tc>
        <w:tc>
          <w:tcPr>
            <w:tcW w:type="dxa" w:w="288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Private-pay caregiver onboarding, partner acceptance</w:t>
            </w:r>
          </w:p>
        </w:tc>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Approved or rejected partner status</w:t>
            </w:r>
          </w:p>
        </w:tc>
      </w:tr>
      <w:tr>
        <w:tc>
          <w:tcPr>
            <w:tcW w:type="dxa" w:w="1872"/>
            <w:tcMar>
              <w:top w:w="70" w:type="dxa"/>
              <w:start w:w="90" w:type="dxa"/>
              <w:bottom w:w="70" w:type="dxa"/>
              <w:end w:w="90" w:type="dxa"/>
            </w:tcMar>
          </w:tcPr>
          <w:p>
            <w:pPr>
              <w:jc w:val="left"/>
            </w:pPr>
            <w:r>
              <w:rPr>
                <w:rFonts w:ascii="Noto Sans CJK KR" w:hAnsi="Noto Sans CJK KR" w:eastAsia="Noto Sans CJK KR" w:cs="Noto Sans CJK KR"/>
                <w:color w:val="1F2A33"/>
                <w:sz w:val="17"/>
              </w:rPr>
              <w:t>Social-worker review</w:t>
            </w:r>
          </w:p>
        </w:tc>
        <w:tc>
          <w:tcPr>
            <w:tcW w:type="dxa" w:w="1584"/>
            <w:tcMar>
              <w:top w:w="70" w:type="dxa"/>
              <w:start w:w="90" w:type="dxa"/>
              <w:bottom w:w="70" w:type="dxa"/>
              <w:end w:w="90" w:type="dxa"/>
            </w:tcMar>
          </w:tcPr>
          <w:p>
            <w:pPr>
              <w:jc w:val="left"/>
            </w:pPr>
            <w:r>
              <w:rPr>
                <w:rFonts w:ascii="Noto Sans CJK KR" w:hAnsi="Noto Sans CJK KR" w:eastAsia="Noto Sans CJK KR" w:cs="Noto Sans CJK KR"/>
                <w:color w:val="1F2A33"/>
                <w:sz w:val="17"/>
              </w:rPr>
              <w:t>Senior / family</w:t>
            </w:r>
          </w:p>
        </w:tc>
        <w:tc>
          <w:tcPr>
            <w:tcW w:type="dxa" w:w="1872"/>
            <w:tcMar>
              <w:top w:w="70" w:type="dxa"/>
              <w:start w:w="90" w:type="dxa"/>
              <w:bottom w:w="70" w:type="dxa"/>
              <w:end w:w="90" w:type="dxa"/>
            </w:tcMar>
          </w:tcPr>
          <w:p>
            <w:pPr>
              <w:jc w:val="left"/>
            </w:pPr>
            <w:r>
              <w:rPr>
                <w:rFonts w:ascii="Noto Sans CJK KR" w:hAnsi="Noto Sans CJK KR" w:eastAsia="Noto Sans CJK KR" w:cs="Noto Sans CJK KR"/>
                <w:color w:val="1F2A33"/>
                <w:sz w:val="17"/>
              </w:rPr>
              <w:t>Care manager / municipal social worker</w:t>
            </w:r>
          </w:p>
        </w:tc>
        <w:tc>
          <w:tcPr>
            <w:tcW w:type="dxa" w:w="2880"/>
            <w:tcMar>
              <w:top w:w="70" w:type="dxa"/>
              <w:start w:w="90" w:type="dxa"/>
              <w:bottom w:w="70" w:type="dxa"/>
              <w:end w:w="90" w:type="dxa"/>
            </w:tcMar>
          </w:tcPr>
          <w:p>
            <w:pPr>
              <w:jc w:val="left"/>
            </w:pPr>
            <w:r>
              <w:rPr>
                <w:rFonts w:ascii="Noto Sans CJK KR" w:hAnsi="Noto Sans CJK KR" w:eastAsia="Noto Sans CJK KR" w:cs="Noto Sans CJK KR"/>
                <w:color w:val="1F2A33"/>
                <w:sz w:val="17"/>
              </w:rPr>
              <w:t>Customized care, vulnerable-senior routing, complex social cases</w:t>
            </w:r>
          </w:p>
        </w:tc>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Eligibility decision + case plan</w:t>
            </w:r>
          </w:p>
        </w:tc>
      </w:tr>
      <w:tr>
        <w:tc>
          <w:tcPr>
            <w:tcW w:type="dxa" w:w="187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Medical review</w:t>
            </w:r>
          </w:p>
        </w:tc>
        <w:tc>
          <w:tcPr>
            <w:tcW w:type="dxa" w:w="158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Senior / family / provider</w:t>
            </w:r>
          </w:p>
        </w:tc>
        <w:tc>
          <w:tcPr>
            <w:tcW w:type="dxa" w:w="187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Doctor / nurse / clinical reviewer</w:t>
            </w:r>
          </w:p>
        </w:tc>
        <w:tc>
          <w:tcPr>
            <w:tcW w:type="dxa" w:w="288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Visiting nursing, transfer, medication complexity, high-risk cases</w:t>
            </w:r>
          </w:p>
        </w:tc>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Clinical clearance / restrictions</w:t>
            </w:r>
          </w:p>
        </w:tc>
      </w:tr>
      <w:tr>
        <w:tc>
          <w:tcPr>
            <w:tcW w:type="dxa" w:w="1872"/>
            <w:tcMar>
              <w:top w:w="70" w:type="dxa"/>
              <w:start w:w="90" w:type="dxa"/>
              <w:bottom w:w="70" w:type="dxa"/>
              <w:end w:w="90" w:type="dxa"/>
            </w:tcMar>
          </w:tcPr>
          <w:p>
            <w:pPr>
              <w:jc w:val="left"/>
            </w:pPr>
            <w:r>
              <w:rPr>
                <w:rFonts w:ascii="Noto Sans CJK KR" w:hAnsi="Noto Sans CJK KR" w:eastAsia="Noto Sans CJK KR" w:cs="Noto Sans CJK KR"/>
                <w:color w:val="1F2A33"/>
                <w:sz w:val="17"/>
              </w:rPr>
              <w:t>Government / committee review</w:t>
            </w:r>
          </w:p>
        </w:tc>
        <w:tc>
          <w:tcPr>
            <w:tcW w:type="dxa" w:w="1584"/>
            <w:tcMar>
              <w:top w:w="70" w:type="dxa"/>
              <w:start w:w="90" w:type="dxa"/>
              <w:bottom w:w="70" w:type="dxa"/>
              <w:end w:w="90" w:type="dxa"/>
            </w:tcMar>
          </w:tcPr>
          <w:p>
            <w:pPr>
              <w:jc w:val="left"/>
            </w:pPr>
            <w:r>
              <w:rPr>
                <w:rFonts w:ascii="Noto Sans CJK KR" w:hAnsi="Noto Sans CJK KR" w:eastAsia="Noto Sans CJK KR" w:cs="Noto Sans CJK KR"/>
                <w:color w:val="1F2A33"/>
                <w:sz w:val="17"/>
              </w:rPr>
              <w:t>Senior / family / provider org</w:t>
            </w:r>
          </w:p>
        </w:tc>
        <w:tc>
          <w:tcPr>
            <w:tcW w:type="dxa" w:w="1872"/>
            <w:tcMar>
              <w:top w:w="70" w:type="dxa"/>
              <w:start w:w="90" w:type="dxa"/>
              <w:bottom w:w="70" w:type="dxa"/>
              <w:end w:w="90" w:type="dxa"/>
            </w:tcMar>
          </w:tcPr>
          <w:p>
            <w:pPr>
              <w:jc w:val="left"/>
            </w:pPr>
            <w:r>
              <w:rPr>
                <w:rFonts w:ascii="Noto Sans CJK KR" w:hAnsi="Noto Sans CJK KR" w:eastAsia="Noto Sans CJK KR" w:cs="Noto Sans CJK KR"/>
                <w:color w:val="1F2A33"/>
                <w:sz w:val="17"/>
              </w:rPr>
              <w:t>Municipality, district office, NHIS-adjacent reviewer, committee</w:t>
            </w:r>
          </w:p>
        </w:tc>
        <w:tc>
          <w:tcPr>
            <w:tcW w:type="dxa" w:w="2880"/>
            <w:tcMar>
              <w:top w:w="70" w:type="dxa"/>
              <w:start w:w="90" w:type="dxa"/>
              <w:bottom w:w="70" w:type="dxa"/>
              <w:end w:w="90" w:type="dxa"/>
            </w:tcMar>
          </w:tcPr>
          <w:p>
            <w:pPr>
              <w:jc w:val="left"/>
            </w:pPr>
            <w:r>
              <w:rPr>
                <w:rFonts w:ascii="Noto Sans CJK KR" w:hAnsi="Noto Sans CJK KR" w:eastAsia="Noto Sans CJK KR" w:cs="Noto Sans CJK KR"/>
                <w:color w:val="1F2A33"/>
                <w:sz w:val="17"/>
              </w:rPr>
              <w:t>Subsidy, exception handling, sanctions, public-program approvals</w:t>
            </w:r>
          </w:p>
        </w:tc>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Formal benefit decision + audit trail</w:t>
            </w:r>
          </w:p>
        </w:tc>
      </w:tr>
    </w:tbl>
    <w:p/>
    <w:p>
      <w:pPr>
        <w:pStyle w:val="Heading2"/>
      </w:pPr>
      <w:r>
        <w:t>5.5 Daily observability</w:t>
      </w:r>
    </w:p>
    <w:p>
      <w:pPr>
        <w:pStyle w:val="ListBullet"/>
      </w:pPr>
      <w:r>
        <w:rPr>
          <w:rFonts w:ascii="Noto Sans CJK KR" w:hAnsi="Noto Sans CJK KR" w:eastAsia="Noto Sans CJK KR" w:cs="Noto Sans CJK KR"/>
          <w:color w:val="1F2A33"/>
          <w:sz w:val="20"/>
        </w:rPr>
        <w:t>Shared daily feed: visits, check-ins, meals delivered, medication taken/missed, symptoms, activity, incidents, notes, transport status</w:t>
      </w:r>
    </w:p>
    <w:p>
      <w:pPr>
        <w:pStyle w:val="ListBullet"/>
      </w:pPr>
      <w:r>
        <w:rPr>
          <w:rFonts w:ascii="Noto Sans CJK KR" w:hAnsi="Noto Sans CJK KR" w:eastAsia="Noto Sans CJK KR" w:cs="Noto Sans CJK KR"/>
          <w:color w:val="1F2A33"/>
          <w:sz w:val="20"/>
        </w:rPr>
        <w:t>Multi-stakeholder dashboards: senior, family, caregiver, provider supervisor, district office, NHIS-adjacent oversight</w:t>
      </w:r>
    </w:p>
    <w:p>
      <w:pPr>
        <w:pStyle w:val="ListBullet"/>
      </w:pPr>
      <w:r>
        <w:rPr>
          <w:rFonts w:ascii="Noto Sans CJK KR" w:hAnsi="Noto Sans CJK KR" w:eastAsia="Noto Sans CJK KR" w:cs="Noto Sans CJK KR"/>
          <w:color w:val="1F2A33"/>
          <w:sz w:val="20"/>
        </w:rPr>
        <w:t>Rule engine for alerts: missed visit, missed medicine, abnormal symptom, no check-in, repeated cancellation, risk escalation</w:t>
      </w:r>
    </w:p>
    <w:p>
      <w:pPr>
        <w:pStyle w:val="ListBullet"/>
      </w:pPr>
      <w:r>
        <w:rPr>
          <w:rFonts w:ascii="Noto Sans CJK KR" w:hAnsi="Noto Sans CJK KR" w:eastAsia="Noto Sans CJK KR" w:cs="Noto Sans CJK KR"/>
          <w:color w:val="1F2A33"/>
          <w:sz w:val="20"/>
        </w:rPr>
        <w:t>Consent-aware slices: government sees program-relevant data; caregivers see assignment-relevant data; family sees delegated-view data</w:t>
      </w:r>
    </w:p>
    <w:p>
      <w:pPr>
        <w:pStyle w:val="Heading2"/>
      </w:pPr>
      <w:r>
        <w:t>5.6 Local-government and district information</w:t>
      </w:r>
    </w:p>
    <w:p>
      <w:pPr>
        <w:pStyle w:val="ListBullet"/>
      </w:pPr>
      <w:r>
        <w:rPr>
          <w:rFonts w:ascii="Noto Sans CJK KR" w:hAnsi="Noto Sans CJK KR" w:eastAsia="Noto Sans CJK KR" w:cs="Noto Sans CJK KR"/>
          <w:color w:val="1F2A33"/>
          <w:sz w:val="20"/>
        </w:rPr>
        <w:t>Detect jurisdiction by registered address / chosen district</w:t>
      </w:r>
    </w:p>
    <w:p>
      <w:pPr>
        <w:pStyle w:val="ListBullet"/>
      </w:pPr>
      <w:r>
        <w:rPr>
          <w:rFonts w:ascii="Noto Sans CJK KR" w:hAnsi="Noto Sans CJK KR" w:eastAsia="Noto Sans CJK KR" w:cs="Noto Sans CJK KR"/>
          <w:color w:val="1F2A33"/>
          <w:sz w:val="20"/>
        </w:rPr>
        <w:t>Show district-office contact info, benefit guides, forms, notices, deadlines, and local service directories</w:t>
      </w:r>
    </w:p>
    <w:p>
      <w:pPr>
        <w:pStyle w:val="ListBullet"/>
      </w:pPr>
      <w:r>
        <w:rPr>
          <w:rFonts w:ascii="Noto Sans CJK KR" w:hAnsi="Noto Sans CJK KR" w:eastAsia="Noto Sans CJK KR" w:cs="Noto Sans CJK KR"/>
          <w:color w:val="1F2A33"/>
          <w:sz w:val="20"/>
        </w:rPr>
        <w:t>Surface local programs for caregivers, jobs, housing, health classes, and community supports</w:t>
      </w:r>
    </w:p>
    <w:p>
      <w:pPr>
        <w:pStyle w:val="Heading1"/>
      </w:pPr>
      <w:r>
        <w:t>6. Caregiver onboarding and workforce design</w:t>
      </w:r>
    </w:p>
    <w:p>
      <w:pPr/>
      <w:r>
        <w:rPr>
          <w:rFonts w:ascii="Noto Sans CJK KR" w:hAnsi="Noto Sans CJK KR" w:eastAsia="Noto Sans CJK KR" w:cs="Noto Sans CJK KR"/>
          <w:color w:val="1F2A33"/>
          <w:sz w:val="20"/>
        </w:rPr>
        <w:t>Because the portal is open, prospective caregivers should be able to create accounts and apply for review. The system should not assume every applicant is already legally usable for every service mode.</w:t>
      </w:r>
    </w:p>
    <w:p>
      <w:pPr>
        <w:pStyle w:val="ListBullet"/>
      </w:pPr>
      <w:r>
        <w:rPr>
          <w:rFonts w:ascii="Noto Sans CJK KR" w:hAnsi="Noto Sans CJK KR" w:eastAsia="Noto Sans CJK KR" w:cs="Noto Sans CJK KR"/>
          <w:color w:val="1F2A33"/>
          <w:sz w:val="20"/>
        </w:rPr>
        <w:t>Application intake: identity verification, caregiver certificate / training docs, service region, schedule, service types, language, references, emergency contact, bank / payout setup where applicable</w:t>
      </w:r>
    </w:p>
    <w:p>
      <w:pPr>
        <w:pStyle w:val="ListBullet"/>
      </w:pPr>
      <w:r>
        <w:rPr>
          <w:rFonts w:ascii="Noto Sans CJK KR" w:hAnsi="Noto Sans CJK KR" w:eastAsia="Noto Sans CJK KR" w:cs="Noto Sans CJK KR"/>
          <w:color w:val="1F2A33"/>
          <w:sz w:val="20"/>
        </w:rPr>
        <w:t>Verification states: new, identity-verified, credential-pending, approved-private-pay, approved-under-provider-org, suspended, rejected</w:t>
      </w:r>
    </w:p>
    <w:p>
      <w:pPr>
        <w:pStyle w:val="ListBullet"/>
      </w:pPr>
      <w:r>
        <w:rPr>
          <w:rFonts w:ascii="Noto Sans CJK KR" w:hAnsi="Noto Sans CJK KR" w:eastAsia="Noto Sans CJK KR" w:cs="Noto Sans CJK KR"/>
          <w:color w:val="1F2A33"/>
          <w:sz w:val="20"/>
        </w:rPr>
        <w:t>Document and renewal tracking for certificates, continuing education, institutional affiliation, and sanctions</w:t>
      </w:r>
    </w:p>
    <w:p>
      <w:pPr>
        <w:pStyle w:val="ListBullet"/>
      </w:pPr>
      <w:r>
        <w:rPr>
          <w:rFonts w:ascii="Noto Sans CJK KR" w:hAnsi="Noto Sans CJK KR" w:eastAsia="Noto Sans CJK KR" w:cs="Noto Sans CJK KR"/>
          <w:color w:val="1F2A33"/>
          <w:sz w:val="20"/>
        </w:rPr>
        <w:t>Provider-led or platform-led review workflow</w:t>
      </w:r>
    </w:p>
    <w:p>
      <w:pPr>
        <w:pStyle w:val="Heading1"/>
      </w:pPr>
      <w:r>
        <w:t>7. Government and NHIS-adjacent oversight</w:t>
      </w:r>
    </w:p>
    <w:p>
      <w:pPr/>
      <w:r>
        <w:rPr>
          <w:rFonts w:ascii="Noto Sans CJK KR" w:hAnsi="Noto Sans CJK KR" w:eastAsia="Noto Sans CJK KR" w:cs="Noto Sans CJK KR"/>
          <w:color w:val="1F2A33"/>
          <w:sz w:val="20"/>
        </w:rPr>
        <w:t>Government and public-program users should not use the same app experience as families. They need a scoped oversight workspace.</w:t>
      </w:r>
    </w:p>
    <w:p>
      <w:pPr>
        <w:pStyle w:val="ListBullet"/>
      </w:pPr>
      <w:r>
        <w:rPr>
          <w:rFonts w:ascii="Noto Sans CJK KR" w:hAnsi="Noto Sans CJK KR" w:eastAsia="Noto Sans CJK KR" w:cs="Noto Sans CJK KR"/>
          <w:color w:val="1F2A33"/>
          <w:sz w:val="20"/>
        </w:rPr>
        <w:t>Provider registry and provider profile</w:t>
      </w:r>
    </w:p>
    <w:p>
      <w:pPr>
        <w:pStyle w:val="ListBullet"/>
      </w:pPr>
      <w:r>
        <w:rPr>
          <w:rFonts w:ascii="Noto Sans CJK KR" w:hAnsi="Noto Sans CJK KR" w:eastAsia="Noto Sans CJK KR" w:cs="Noto Sans CJK KR"/>
          <w:color w:val="1F2A33"/>
          <w:sz w:val="20"/>
        </w:rPr>
        <w:t>Subsidy / program application queue</w:t>
      </w:r>
    </w:p>
    <w:p>
      <w:pPr>
        <w:pStyle w:val="ListBullet"/>
      </w:pPr>
      <w:r>
        <w:rPr>
          <w:rFonts w:ascii="Noto Sans CJK KR" w:hAnsi="Noto Sans CJK KR" w:eastAsia="Noto Sans CJK KR" w:cs="Noto Sans CJK KR"/>
          <w:color w:val="1F2A33"/>
          <w:sz w:val="20"/>
        </w:rPr>
        <w:t>Program-specific eligibility and audit rules</w:t>
      </w:r>
    </w:p>
    <w:p>
      <w:pPr>
        <w:pStyle w:val="ListBullet"/>
      </w:pPr>
      <w:r>
        <w:rPr>
          <w:rFonts w:ascii="Noto Sans CJK KR" w:hAnsi="Noto Sans CJK KR" w:eastAsia="Noto Sans CJK KR" w:cs="Noto Sans CJK KR"/>
          <w:color w:val="1F2A33"/>
          <w:sz w:val="20"/>
        </w:rPr>
        <w:t>Daily observability rollups and risk heat maps</w:t>
      </w:r>
    </w:p>
    <w:p>
      <w:pPr>
        <w:pStyle w:val="ListBullet"/>
      </w:pPr>
      <w:r>
        <w:rPr>
          <w:rFonts w:ascii="Noto Sans CJK KR" w:hAnsi="Noto Sans CJK KR" w:eastAsia="Noto Sans CJK KR" w:cs="Noto Sans CJK KR"/>
          <w:color w:val="1F2A33"/>
          <w:sz w:val="20"/>
        </w:rPr>
        <w:t>Incident and complaint queues</w:t>
      </w:r>
    </w:p>
    <w:p>
      <w:pPr>
        <w:pStyle w:val="ListBullet"/>
      </w:pPr>
      <w:r>
        <w:rPr>
          <w:rFonts w:ascii="Noto Sans CJK KR" w:hAnsi="Noto Sans CJK KR" w:eastAsia="Noto Sans CJK KR" w:cs="Noto Sans CJK KR"/>
          <w:color w:val="1F2A33"/>
          <w:sz w:val="20"/>
        </w:rPr>
        <w:t>Utilization / service timeliness / waitlist dashboards</w:t>
      </w:r>
    </w:p>
    <w:p>
      <w:pPr>
        <w:pStyle w:val="ListBullet"/>
      </w:pPr>
      <w:r>
        <w:rPr>
          <w:rFonts w:ascii="Noto Sans CJK KR" w:hAnsi="Noto Sans CJK KR" w:eastAsia="Noto Sans CJK KR" w:cs="Noto Sans CJK KR"/>
          <w:color w:val="1F2A33"/>
          <w:sz w:val="20"/>
        </w:rPr>
        <w:t>Localized district reporting and exports</w:t>
      </w:r>
    </w:p>
    <w:p>
      <w:pPr>
        <w:pStyle w:val="ListBullet"/>
      </w:pPr>
      <w:r>
        <w:rPr>
          <w:rFonts w:ascii="Noto Sans CJK KR" w:hAnsi="Noto Sans CJK KR" w:eastAsia="Noto Sans CJK KR" w:cs="Noto Sans CJK KR"/>
          <w:color w:val="1F2A33"/>
          <w:sz w:val="20"/>
        </w:rPr>
        <w:t>Institution evaluation / performance layer so users can see, route by, or monitor provider quality [KR-11]</w:t>
      </w:r>
    </w:p>
    <w:p>
      <w:pPr>
        <w:pStyle w:val="Heading1"/>
      </w:pPr>
      <w:r>
        <w:t>8. Medical-institution and nursing-hospital layer</w:t>
      </w:r>
    </w:p>
    <w:p>
      <w:pPr/>
      <w:r>
        <w:rPr>
          <w:rFonts w:ascii="Noto Sans CJK KR" w:hAnsi="Noto Sans CJK KR" w:eastAsia="Noto Sans CJK KR" w:cs="Noto Sans CJK KR"/>
          <w:color w:val="1F2A33"/>
          <w:sz w:val="20"/>
        </w:rPr>
        <w:t>The portal should explicitly support nursing hospitals (요양병원), clinics, rehab, dementia programs, and other elder-oriented medical institutions as connected entities. In Korea, nursing hospitals are a formal hospital category under the Medical Service Act, so the portal must model them as medical institutions, not as ordinary home-care vendors [KR-12].</w:t>
      </w:r>
    </w:p>
    <w:p>
      <w:pPr>
        <w:pStyle w:val="ListBullet"/>
      </w:pPr>
      <w:r>
        <w:rPr>
          <w:rFonts w:ascii="Noto Sans CJK KR" w:hAnsi="Noto Sans CJK KR" w:eastAsia="Noto Sans CJK KR" w:cs="Noto Sans CJK KR"/>
          <w:color w:val="1F2A33"/>
          <w:sz w:val="20"/>
        </w:rPr>
        <w:t>Institution directory and search</w:t>
      </w:r>
    </w:p>
    <w:p>
      <w:pPr>
        <w:pStyle w:val="ListBullet"/>
      </w:pPr>
      <w:r>
        <w:rPr>
          <w:rFonts w:ascii="Noto Sans CJK KR" w:hAnsi="Noto Sans CJK KR" w:eastAsia="Noto Sans CJK KR" w:cs="Noto Sans CJK KR"/>
          <w:color w:val="1F2A33"/>
          <w:sz w:val="20"/>
        </w:rPr>
        <w:t>Referral / transfer management</w:t>
      </w:r>
    </w:p>
    <w:p>
      <w:pPr>
        <w:pStyle w:val="ListBullet"/>
      </w:pPr>
      <w:r>
        <w:rPr>
          <w:rFonts w:ascii="Noto Sans CJK KR" w:hAnsi="Noto Sans CJK KR" w:eastAsia="Noto Sans CJK KR" w:cs="Noto Sans CJK KR"/>
          <w:color w:val="1F2A33"/>
          <w:sz w:val="20"/>
        </w:rPr>
        <w:t>Discharge planning back into home-care / housing / family workflows</w:t>
      </w:r>
    </w:p>
    <w:p>
      <w:pPr>
        <w:pStyle w:val="ListBullet"/>
      </w:pPr>
      <w:r>
        <w:rPr>
          <w:rFonts w:ascii="Noto Sans CJK KR" w:hAnsi="Noto Sans CJK KR" w:eastAsia="Noto Sans CJK KR" w:cs="Noto Sans CJK KR"/>
          <w:color w:val="1F2A33"/>
          <w:sz w:val="20"/>
        </w:rPr>
        <w:t>Appointment and document coordination</w:t>
      </w:r>
    </w:p>
    <w:p>
      <w:pPr>
        <w:pStyle w:val="ListBullet"/>
      </w:pPr>
      <w:r>
        <w:rPr>
          <w:rFonts w:ascii="Noto Sans CJK KR" w:hAnsi="Noto Sans CJK KR" w:eastAsia="Noto Sans CJK KR" w:cs="Noto Sans CJK KR"/>
          <w:color w:val="1F2A33"/>
          <w:sz w:val="20"/>
        </w:rPr>
        <w:t>Medication / history reconciliation with consent</w:t>
      </w:r>
    </w:p>
    <w:p>
      <w:pPr>
        <w:pStyle w:val="Heading1"/>
      </w:pPr>
      <w:r>
        <w:t>9. Jobs, housing, and all-things-senior expansion</w:t>
      </w:r>
    </w:p>
    <w:p>
      <w:pPr/>
      <w:r>
        <w:rPr>
          <w:rFonts w:ascii="Noto Sans CJK KR" w:hAnsi="Noto Sans CJK KR" w:eastAsia="Noto Sans CJK KR" w:cs="Noto Sans CJK KR"/>
          <w:color w:val="1F2A33"/>
          <w:sz w:val="20"/>
        </w:rPr>
        <w:t>The user clarified that the goal is a comprehensive portal for all things senior. That means the portal should not only respond to frailty or long-term care, but also to healthy aging, transition planning, and community participation.</w:t>
      </w:r>
    </w:p>
    <w:p>
      <w:pPr>
        <w:pStyle w:val="ListBullet"/>
      </w:pPr>
      <w:r>
        <w:rPr>
          <w:rFonts w:ascii="Noto Sans CJK KR" w:hAnsi="Noto Sans CJK KR" w:eastAsia="Noto Sans CJK KR" w:cs="Noto Sans CJK KR"/>
          <w:color w:val="1F2A33"/>
          <w:sz w:val="20"/>
        </w:rPr>
        <w:t>Senior jobs / opportunities: age-friendly jobs, volunteering, courses, clubs, and public programs [KR-13][KR-14]</w:t>
      </w:r>
    </w:p>
    <w:p>
      <w:pPr>
        <w:pStyle w:val="ListBullet"/>
      </w:pPr>
      <w:r>
        <w:rPr>
          <w:rFonts w:ascii="Noto Sans CJK KR" w:hAnsi="Noto Sans CJK KR" w:eastAsia="Noto Sans CJK KR" w:cs="Noto Sans CJK KR"/>
          <w:color w:val="1F2A33"/>
          <w:sz w:val="20"/>
        </w:rPr>
        <w:t>Housing / silver-town: search, compare, waitlist, tours, service levels, healthcare linkage, documents [KR-15]</w:t>
      </w:r>
    </w:p>
    <w:p>
      <w:pPr>
        <w:pStyle w:val="ListBullet"/>
      </w:pPr>
      <w:r>
        <w:rPr>
          <w:rFonts w:ascii="Noto Sans CJK KR" w:hAnsi="Noto Sans CJK KR" w:eastAsia="Noto Sans CJK KR" w:cs="Noto Sans CJK KR"/>
          <w:color w:val="1F2A33"/>
          <w:sz w:val="20"/>
        </w:rPr>
        <w:t>Community services: transport, meals, equipment, home modification, companionship, leisure</w:t>
      </w:r>
    </w:p>
    <w:p>
      <w:pPr>
        <w:pStyle w:val="ListBullet"/>
      </w:pPr>
      <w:r>
        <w:rPr>
          <w:rFonts w:ascii="Noto Sans CJK KR" w:hAnsi="Noto Sans CJK KR" w:eastAsia="Noto Sans CJK KR" w:cs="Noto Sans CJK KR"/>
          <w:color w:val="1F2A33"/>
          <w:sz w:val="20"/>
        </w:rPr>
        <w:t>This broader surface helps the product become useful earlier, before the user ever files for long-term-care benefits.</w:t>
      </w:r>
    </w:p>
    <w:p>
      <w:pPr>
        <w:pStyle w:val="Heading1"/>
      </w:pPr>
      <w:r>
        <w:t>10. Consent model</w:t>
      </w:r>
    </w:p>
    <w:p>
      <w:pPr>
        <w:pStyle w:val="ListBullet"/>
      </w:pPr>
      <w:r>
        <w:rPr>
          <w:rFonts w:ascii="Noto Sans CJK KR" w:hAnsi="Noto Sans CJK KR" w:eastAsia="Noto Sans CJK KR" w:cs="Noto Sans CJK KR"/>
          <w:color w:val="1F2A33"/>
          <w:sz w:val="20"/>
        </w:rPr>
        <w:t>No-share mode: use portal without sharing data to government or medical institutions</w:t>
      </w:r>
    </w:p>
    <w:p>
      <w:pPr>
        <w:pStyle w:val="ListBullet"/>
      </w:pPr>
      <w:r>
        <w:rPr>
          <w:rFonts w:ascii="Noto Sans CJK KR" w:hAnsi="Noto Sans CJK KR" w:eastAsia="Noto Sans CJK KR" w:cs="Noto Sans CJK KR"/>
          <w:color w:val="1F2A33"/>
          <w:sz w:val="20"/>
        </w:rPr>
        <w:t>Medical-share consent: share selected history/medicine/appointment data with medical institutions for more comprehensive care</w:t>
      </w:r>
    </w:p>
    <w:p>
      <w:pPr>
        <w:pStyle w:val="ListBullet"/>
      </w:pPr>
      <w:r>
        <w:rPr>
          <w:rFonts w:ascii="Noto Sans CJK KR" w:hAnsi="Noto Sans CJK KR" w:eastAsia="Noto Sans CJK KR" w:cs="Noto Sans CJK KR"/>
          <w:color w:val="1F2A33"/>
          <w:sz w:val="20"/>
        </w:rPr>
        <w:t>Government-share consent: share selected identity/care/eligibility records for subsidy or public-program review</w:t>
      </w:r>
    </w:p>
    <w:p>
      <w:pPr>
        <w:pStyle w:val="ListBullet"/>
      </w:pPr>
      <w:r>
        <w:rPr>
          <w:rFonts w:ascii="Noto Sans CJK KR" w:hAnsi="Noto Sans CJK KR" w:eastAsia="Noto Sans CJK KR" w:cs="Noto Sans CJK KR"/>
          <w:color w:val="1F2A33"/>
          <w:sz w:val="20"/>
        </w:rPr>
        <w:t>Joint-share consent: allow both where the user wants both better coordination and benefits eligibility</w:t>
      </w:r>
    </w:p>
    <w:p>
      <w:pPr>
        <w:pStyle w:val="ListBullet"/>
      </w:pPr>
      <w:r>
        <w:rPr>
          <w:rFonts w:ascii="Noto Sans CJK KR" w:hAnsi="Noto Sans CJK KR" w:eastAsia="Noto Sans CJK KR" w:cs="Noto Sans CJK KR"/>
          <w:color w:val="1F2A33"/>
          <w:sz w:val="20"/>
        </w:rPr>
        <w:t>Purpose-bound, revocable, time-limited, and fully auditable consent records [KR-6]</w:t>
      </w:r>
    </w:p>
    <w:p>
      <w:pPr>
        <w:pStyle w:val="Heading1"/>
      </w:pPr>
      <w:r>
        <w:t>11. Integration surface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016"/>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Integration surface</w:t>
            </w:r>
          </w:p>
        </w:tc>
        <w:tc>
          <w:tcPr>
            <w:tcW w:type="dxa" w:w="3024"/>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Why it matters</w:t>
            </w:r>
          </w:p>
        </w:tc>
        <w:tc>
          <w:tcPr>
            <w:tcW w:type="dxa" w:w="3456"/>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Examples</w:t>
            </w:r>
          </w:p>
        </w:tc>
        <w:tc>
          <w:tcPr>
            <w:tcW w:type="dxa" w:w="1152"/>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Priority</w:t>
            </w:r>
          </w:p>
        </w:tc>
      </w:tr>
      <w:tr>
        <w:tc>
          <w:tcPr>
            <w:tcW w:type="dxa" w:w="201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Identity &amp; KYC</w:t>
            </w:r>
          </w:p>
        </w:tc>
        <w:tc>
          <w:tcPr>
            <w:tcW w:type="dxa" w:w="302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Onboard seniors, families, caregivers and partners; prevent fraud</w:t>
            </w:r>
          </w:p>
        </w:tc>
        <w:tc>
          <w:tcPr>
            <w:tcW w:type="dxa" w:w="345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PASS, Kakao/Naver/Toss certificates, mobile phone verification, foreigner flows</w:t>
            </w:r>
          </w:p>
        </w:tc>
        <w:tc>
          <w:tcPr>
            <w:tcW w:type="dxa" w:w="11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tcPr>
          <w:p>
            <w:pPr>
              <w:jc w:val="left"/>
            </w:pPr>
            <w:r>
              <w:rPr>
                <w:rFonts w:ascii="Noto Sans CJK KR" w:hAnsi="Noto Sans CJK KR" w:eastAsia="Noto Sans CJK KR" w:cs="Noto Sans CJK KR"/>
                <w:color w:val="1F2A33"/>
                <w:sz w:val="17"/>
              </w:rPr>
              <w:t>Public-program &amp; claims rails</w:t>
            </w:r>
          </w:p>
        </w:tc>
        <w:tc>
          <w:tcPr>
            <w:tcW w:type="dxa" w:w="3024"/>
            <w:tcMar>
              <w:top w:w="70" w:type="dxa"/>
              <w:start w:w="90" w:type="dxa"/>
              <w:bottom w:w="70" w:type="dxa"/>
              <w:end w:w="90" w:type="dxa"/>
            </w:tcMar>
          </w:tcPr>
          <w:p>
            <w:pPr>
              <w:jc w:val="left"/>
            </w:pPr>
            <w:r>
              <w:rPr>
                <w:rFonts w:ascii="Noto Sans CJK KR" w:hAnsi="Noto Sans CJK KR" w:eastAsia="Noto Sans CJK KR" w:cs="Noto Sans CJK KR"/>
                <w:color w:val="1F2A33"/>
                <w:sz w:val="17"/>
              </w:rPr>
              <w:t>Support subsidized programs on top of open usage</w:t>
            </w:r>
          </w:p>
        </w:tc>
        <w:tc>
          <w:tcPr>
            <w:tcW w:type="dxa" w:w="3456"/>
            <w:tcMar>
              <w:top w:w="70" w:type="dxa"/>
              <w:start w:w="90" w:type="dxa"/>
              <w:bottom w:w="70" w:type="dxa"/>
              <w:end w:w="90" w:type="dxa"/>
            </w:tcMar>
          </w:tcPr>
          <w:p>
            <w:pPr>
              <w:jc w:val="left"/>
            </w:pPr>
            <w:r>
              <w:rPr>
                <w:rFonts w:ascii="Noto Sans CJK KR" w:hAnsi="Noto Sans CJK KR" w:eastAsia="Noto Sans CJK KR" w:cs="Noto Sans CJK KR"/>
                <w:color w:val="1F2A33"/>
                <w:sz w:val="17"/>
              </w:rPr>
              <w:t>NHIS LTCI rails, SSIS e-voucher, municipal welfare systems</w:t>
            </w:r>
          </w:p>
        </w:tc>
        <w:tc>
          <w:tcPr>
            <w:tcW w:type="dxa" w:w="1152"/>
            <w:tcMar>
              <w:top w:w="70" w:type="dxa"/>
              <w:start w:w="90" w:type="dxa"/>
              <w:bottom w:w="70" w:type="dxa"/>
              <w:end w:w="90" w:type="dxa"/>
            </w:tcMar>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Medical data &amp; transfer</w:t>
            </w:r>
          </w:p>
        </w:tc>
        <w:tc>
          <w:tcPr>
            <w:tcW w:type="dxa" w:w="302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Enable consent-based comprehensive service and eligibility support</w:t>
            </w:r>
          </w:p>
        </w:tc>
        <w:tc>
          <w:tcPr>
            <w:tcW w:type="dxa" w:w="345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My Healthway, hospital EMR/HIS, pharmacy, e-prescription relay where available</w:t>
            </w:r>
          </w:p>
        </w:tc>
        <w:tc>
          <w:tcPr>
            <w:tcW w:type="dxa" w:w="11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tcPr>
          <w:p>
            <w:pPr>
              <w:jc w:val="left"/>
            </w:pPr>
            <w:r>
              <w:rPr>
                <w:rFonts w:ascii="Noto Sans CJK KR" w:hAnsi="Noto Sans CJK KR" w:eastAsia="Noto Sans CJK KR" w:cs="Noto Sans CJK KR"/>
                <w:color w:val="1F2A33"/>
                <w:sz w:val="17"/>
              </w:rPr>
              <w:t>Communication</w:t>
            </w:r>
          </w:p>
        </w:tc>
        <w:tc>
          <w:tcPr>
            <w:tcW w:type="dxa" w:w="3024"/>
            <w:tcMar>
              <w:top w:w="70" w:type="dxa"/>
              <w:start w:w="90" w:type="dxa"/>
              <w:bottom w:w="70" w:type="dxa"/>
              <w:end w:w="90" w:type="dxa"/>
            </w:tcMar>
          </w:tcPr>
          <w:p>
            <w:pPr>
              <w:jc w:val="left"/>
            </w:pPr>
            <w:r>
              <w:rPr>
                <w:rFonts w:ascii="Noto Sans CJK KR" w:hAnsi="Noto Sans CJK KR" w:eastAsia="Noto Sans CJK KR" w:cs="Noto Sans CJK KR"/>
                <w:color w:val="1F2A33"/>
                <w:sz w:val="17"/>
              </w:rPr>
              <w:t>Family engagement and operations</w:t>
            </w:r>
          </w:p>
        </w:tc>
        <w:tc>
          <w:tcPr>
            <w:tcW w:type="dxa" w:w="3456"/>
            <w:tcMar>
              <w:top w:w="70" w:type="dxa"/>
              <w:start w:w="90" w:type="dxa"/>
              <w:bottom w:w="70" w:type="dxa"/>
              <w:end w:w="90" w:type="dxa"/>
            </w:tcMar>
          </w:tcPr>
          <w:p>
            <w:pPr>
              <w:jc w:val="left"/>
            </w:pPr>
            <w:r>
              <w:rPr>
                <w:rFonts w:ascii="Noto Sans CJK KR" w:hAnsi="Noto Sans CJK KR" w:eastAsia="Noto Sans CJK KR" w:cs="Noto Sans CJK KR"/>
                <w:color w:val="1F2A33"/>
                <w:sz w:val="17"/>
              </w:rPr>
              <w:t>KakaoTalk Channel/AlimTalk, SMS, push, IVR, call center</w:t>
            </w:r>
          </w:p>
        </w:tc>
        <w:tc>
          <w:tcPr>
            <w:tcW w:type="dxa" w:w="1152"/>
            <w:tcMar>
              <w:top w:w="70" w:type="dxa"/>
              <w:start w:w="90" w:type="dxa"/>
              <w:bottom w:w="70" w:type="dxa"/>
              <w:end w:w="90" w:type="dxa"/>
            </w:tcMar>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Maps, routing, dispatch</w:t>
            </w:r>
          </w:p>
        </w:tc>
        <w:tc>
          <w:tcPr>
            <w:tcW w:type="dxa" w:w="302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Caregiver visits, service region, transport</w:t>
            </w:r>
          </w:p>
        </w:tc>
        <w:tc>
          <w:tcPr>
            <w:tcW w:type="dxa" w:w="345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Kakao Map, Naver Map, T map, dispatch/routing providers</w:t>
            </w:r>
          </w:p>
        </w:tc>
        <w:tc>
          <w:tcPr>
            <w:tcW w:type="dxa" w:w="11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tcPr>
          <w:p>
            <w:pPr>
              <w:jc w:val="left"/>
            </w:pPr>
            <w:r>
              <w:rPr>
                <w:rFonts w:ascii="Noto Sans CJK KR" w:hAnsi="Noto Sans CJK KR" w:eastAsia="Noto Sans CJK KR" w:cs="Noto Sans CJK KR"/>
                <w:color w:val="1F2A33"/>
                <w:sz w:val="17"/>
              </w:rPr>
              <w:t>Payments &amp; payouts</w:t>
            </w:r>
          </w:p>
        </w:tc>
        <w:tc>
          <w:tcPr>
            <w:tcW w:type="dxa" w:w="3024"/>
            <w:tcMar>
              <w:top w:w="70" w:type="dxa"/>
              <w:start w:w="90" w:type="dxa"/>
              <w:bottom w:w="70" w:type="dxa"/>
              <w:end w:w="90" w:type="dxa"/>
            </w:tcMar>
          </w:tcPr>
          <w:p>
            <w:pPr>
              <w:jc w:val="left"/>
            </w:pPr>
            <w:r>
              <w:rPr>
                <w:rFonts w:ascii="Noto Sans CJK KR" w:hAnsi="Noto Sans CJK KR" w:eastAsia="Noto Sans CJK KR" w:cs="Noto Sans CJK KR"/>
                <w:color w:val="1F2A33"/>
                <w:sz w:val="17"/>
              </w:rPr>
              <w:t>Private-pay collection and provider settlement</w:t>
            </w:r>
          </w:p>
        </w:tc>
        <w:tc>
          <w:tcPr>
            <w:tcW w:type="dxa" w:w="3456"/>
            <w:tcMar>
              <w:top w:w="70" w:type="dxa"/>
              <w:start w:w="90" w:type="dxa"/>
              <w:bottom w:w="70" w:type="dxa"/>
              <w:end w:w="90" w:type="dxa"/>
            </w:tcMar>
          </w:tcPr>
          <w:p>
            <w:pPr>
              <w:jc w:val="left"/>
            </w:pPr>
            <w:r>
              <w:rPr>
                <w:rFonts w:ascii="Noto Sans CJK KR" w:hAnsi="Noto Sans CJK KR" w:eastAsia="Noto Sans CJK KR" w:cs="Noto Sans CJK KR"/>
                <w:color w:val="1F2A33"/>
                <w:sz w:val="17"/>
              </w:rPr>
              <w:t>PG, bank transfer, payout rails</w:t>
            </w:r>
          </w:p>
        </w:tc>
        <w:tc>
          <w:tcPr>
            <w:tcW w:type="dxa" w:w="1152"/>
            <w:tcMar>
              <w:top w:w="70" w:type="dxa"/>
              <w:start w:w="90" w:type="dxa"/>
              <w:bottom w:w="70" w:type="dxa"/>
              <w:end w:w="90" w:type="dxa"/>
            </w:tcMar>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Documents &amp; e-signature</w:t>
            </w:r>
          </w:p>
        </w:tc>
        <w:tc>
          <w:tcPr>
            <w:tcW w:type="dxa" w:w="302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Consents, contracts, government forms</w:t>
            </w:r>
          </w:p>
        </w:tc>
        <w:tc>
          <w:tcPr>
            <w:tcW w:type="dxa" w:w="345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Electronic signature / contract vendors, certificate-based signature</w:t>
            </w:r>
          </w:p>
        </w:tc>
        <w:tc>
          <w:tcPr>
            <w:tcW w:type="dxa" w:w="11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tcPr>
          <w:p>
            <w:pPr>
              <w:jc w:val="left"/>
            </w:pPr>
            <w:r>
              <w:rPr>
                <w:rFonts w:ascii="Noto Sans CJK KR" w:hAnsi="Noto Sans CJK KR" w:eastAsia="Noto Sans CJK KR" w:cs="Noto Sans CJK KR"/>
                <w:color w:val="1F2A33"/>
                <w:sz w:val="17"/>
              </w:rPr>
              <w:t>Jobs &amp; community opportunities</w:t>
            </w:r>
          </w:p>
        </w:tc>
        <w:tc>
          <w:tcPr>
            <w:tcW w:type="dxa" w:w="3024"/>
            <w:tcMar>
              <w:top w:w="70" w:type="dxa"/>
              <w:start w:w="90" w:type="dxa"/>
              <w:bottom w:w="70" w:type="dxa"/>
              <w:end w:w="90" w:type="dxa"/>
            </w:tcMar>
          </w:tcPr>
          <w:p>
            <w:pPr>
              <w:jc w:val="left"/>
            </w:pPr>
            <w:r>
              <w:rPr>
                <w:rFonts w:ascii="Noto Sans CJK KR" w:hAnsi="Noto Sans CJK KR" w:eastAsia="Noto Sans CJK KR" w:cs="Noto Sans CJK KR"/>
                <w:color w:val="1F2A33"/>
                <w:sz w:val="17"/>
              </w:rPr>
              <w:t>Extend from care portal to all-things-senior portal</w:t>
            </w:r>
          </w:p>
        </w:tc>
        <w:tc>
          <w:tcPr>
            <w:tcW w:type="dxa" w:w="3456"/>
            <w:tcMar>
              <w:top w:w="70" w:type="dxa"/>
              <w:start w:w="90" w:type="dxa"/>
              <w:bottom w:w="70" w:type="dxa"/>
              <w:end w:w="90" w:type="dxa"/>
            </w:tcMar>
          </w:tcPr>
          <w:p>
            <w:pPr>
              <w:jc w:val="left"/>
            </w:pPr>
            <w:r>
              <w:rPr>
                <w:rFonts w:ascii="Noto Sans CJK KR" w:hAnsi="Noto Sans CJK KR" w:eastAsia="Noto Sans CJK KR" w:cs="Noto Sans CJK KR"/>
                <w:color w:val="1F2A33"/>
                <w:sz w:val="17"/>
              </w:rPr>
              <w:t>KORDI / senior jobs, clubs, community centers</w:t>
            </w:r>
          </w:p>
        </w:tc>
        <w:tc>
          <w:tcPr>
            <w:tcW w:type="dxa" w:w="1152"/>
            <w:tcMar>
              <w:top w:w="70" w:type="dxa"/>
              <w:start w:w="90" w:type="dxa"/>
              <w:bottom w:w="70" w:type="dxa"/>
              <w:end w:w="90" w:type="dxa"/>
            </w:tcMar>
          </w:tcPr>
          <w:p>
            <w:pPr>
              <w:jc w:val="left"/>
            </w:pPr>
            <w:r>
              <w:rPr>
                <w:rFonts w:ascii="Noto Sans CJK KR" w:hAnsi="Noto Sans CJK KR" w:eastAsia="Noto Sans CJK KR" w:cs="Noto Sans CJK KR"/>
                <w:color w:val="1F2A33"/>
                <w:sz w:val="17"/>
              </w:rPr>
              <w:t>Near-term</w:t>
            </w:r>
          </w:p>
        </w:tc>
      </w:tr>
      <w:tr>
        <w:tc>
          <w:tcPr>
            <w:tcW w:type="dxa" w:w="201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Housing &amp; silver-town directory</w:t>
            </w:r>
          </w:p>
        </w:tc>
        <w:tc>
          <w:tcPr>
            <w:tcW w:type="dxa" w:w="302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Support residential decisions and transitions</w:t>
            </w:r>
          </w:p>
        </w:tc>
        <w:tc>
          <w:tcPr>
            <w:tcW w:type="dxa" w:w="345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Silver towns, senior housing, welfare housing operators</w:t>
            </w:r>
          </w:p>
        </w:tc>
        <w:tc>
          <w:tcPr>
            <w:tcW w:type="dxa" w:w="11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Near-term</w:t>
            </w:r>
          </w:p>
        </w:tc>
      </w:tr>
      <w:tr>
        <w:tc>
          <w:tcPr>
            <w:tcW w:type="dxa" w:w="2016"/>
            <w:tcMar>
              <w:top w:w="70" w:type="dxa"/>
              <w:start w:w="90" w:type="dxa"/>
              <w:bottom w:w="70" w:type="dxa"/>
              <w:end w:w="90" w:type="dxa"/>
            </w:tcMar>
          </w:tcPr>
          <w:p>
            <w:pPr>
              <w:jc w:val="left"/>
            </w:pPr>
            <w:r>
              <w:rPr>
                <w:rFonts w:ascii="Noto Sans CJK KR" w:hAnsi="Noto Sans CJK KR" w:eastAsia="Noto Sans CJK KR" w:cs="Noto Sans CJK KR"/>
                <w:color w:val="1F2A33"/>
                <w:sz w:val="17"/>
              </w:rPr>
              <w:t>Observability &amp; BI</w:t>
            </w:r>
          </w:p>
        </w:tc>
        <w:tc>
          <w:tcPr>
            <w:tcW w:type="dxa" w:w="3024"/>
            <w:tcMar>
              <w:top w:w="70" w:type="dxa"/>
              <w:start w:w="90" w:type="dxa"/>
              <w:bottom w:w="70" w:type="dxa"/>
              <w:end w:w="90" w:type="dxa"/>
            </w:tcMar>
          </w:tcPr>
          <w:p>
            <w:pPr>
              <w:jc w:val="left"/>
            </w:pPr>
            <w:r>
              <w:rPr>
                <w:rFonts w:ascii="Noto Sans CJK KR" w:hAnsi="Noto Sans CJK KR" w:eastAsia="Noto Sans CJK KR" w:cs="Noto Sans CJK KR"/>
                <w:color w:val="1F2A33"/>
                <w:sz w:val="17"/>
              </w:rPr>
              <w:t>Daily-care visibility for government, providers, families and seniors</w:t>
            </w:r>
          </w:p>
        </w:tc>
        <w:tc>
          <w:tcPr>
            <w:tcW w:type="dxa" w:w="3456"/>
            <w:tcMar>
              <w:top w:w="70" w:type="dxa"/>
              <w:start w:w="90" w:type="dxa"/>
              <w:bottom w:w="70" w:type="dxa"/>
              <w:end w:w="90" w:type="dxa"/>
            </w:tcMar>
          </w:tcPr>
          <w:p>
            <w:pPr>
              <w:jc w:val="left"/>
            </w:pPr>
            <w:r>
              <w:rPr>
                <w:rFonts w:ascii="Noto Sans CJK KR" w:hAnsi="Noto Sans CJK KR" w:eastAsia="Noto Sans CJK KR" w:cs="Noto Sans CJK KR"/>
                <w:color w:val="1F2A33"/>
                <w:sz w:val="17"/>
              </w:rPr>
              <w:t>Event pipeline, dashboards, alerts, audit exports, rule engine</w:t>
            </w:r>
          </w:p>
        </w:tc>
        <w:tc>
          <w:tcPr>
            <w:tcW w:type="dxa" w:w="1152"/>
            <w:tcMar>
              <w:top w:w="70" w:type="dxa"/>
              <w:start w:w="90" w:type="dxa"/>
              <w:bottom w:w="70" w:type="dxa"/>
              <w:end w:w="90" w:type="dxa"/>
            </w:tcMar>
          </w:tcPr>
          <w:p>
            <w:pPr>
              <w:jc w:val="left"/>
            </w:pPr>
            <w:r>
              <w:rPr>
                <w:rFonts w:ascii="Noto Sans CJK KR" w:hAnsi="Noto Sans CJK KR" w:eastAsia="Noto Sans CJK KR" w:cs="Noto Sans CJK KR"/>
                <w:color w:val="1F2A33"/>
                <w:sz w:val="17"/>
              </w:rPr>
              <w:t>Immediate</w:t>
            </w:r>
          </w:p>
        </w:tc>
      </w:tr>
      <w:tr>
        <w:tc>
          <w:tcPr>
            <w:tcW w:type="dxa" w:w="201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Devices &amp; RPM</w:t>
            </w:r>
          </w:p>
        </w:tc>
        <w:tc>
          <w:tcPr>
            <w:tcW w:type="dxa" w:w="302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Monitor frailty, falls, vitals, routines</w:t>
            </w:r>
          </w:p>
        </w:tc>
        <w:tc>
          <w:tcPr>
            <w:tcW w:type="dxa" w:w="3456"/>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Wearables, BP cuffs, fall sensors, smart pillboxes, home sensors</w:t>
            </w:r>
          </w:p>
        </w:tc>
        <w:tc>
          <w:tcPr>
            <w:tcW w:type="dxa" w:w="11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Near-term</w:t>
            </w:r>
          </w:p>
        </w:tc>
      </w:tr>
    </w:tbl>
    <w:p/>
    <w:p>
      <w:pPr>
        <w:pStyle w:val="Heading1"/>
      </w:pPr>
      <w:r>
        <w:t>12. Core data model domains</w:t>
      </w:r>
    </w:p>
    <w:tbl>
      <w:tblPr>
        <w:tblStyle w:val="TableGrid"/>
        <w:tblW w:type="auto" w:w="0"/>
        <w:jc w:val="center"/>
        <w:tblLayout w:type="fixed"/>
        <w:tblLook w:firstColumn="1" w:firstRow="1" w:lastColumn="0" w:lastRow="0" w:noHBand="0" w:noVBand="1" w:val="04A0"/>
      </w:tblPr>
      <w:tblGrid>
        <w:gridCol w:w="4968"/>
        <w:gridCol w:w="4968"/>
      </w:tblGrid>
      <w:tr>
        <w:tc>
          <w:tcPr>
            <w:tcW w:type="dxa" w:w="2304"/>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Entity</w:t>
            </w:r>
          </w:p>
        </w:tc>
        <w:tc>
          <w:tcPr>
            <w:tcW w:type="dxa" w:w="8352"/>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Purpose</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Tenant</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Separate enterprise / public-program environments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User</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Any senior, family member, caregiver, provider staff, government reviewer, partner, admin</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PersonProfile</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Unified person record</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SeniorProfile</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Preferences, accessibility, risk, goals, district, household</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FamilyRelationship</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Delegated access, guardian status, emergency roles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ConsentRecord</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Who can share what data with medical or government institutions, for what purpose, until when</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EligibilityCase</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Subsidy/public-program application and decision trail</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ApprovalStep</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Manual / automatic / clinical / government checkpoints</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ProviderOrganization</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Agency, hospital, clinic, nursing hospital, silver town, partner vendor</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CaregiverApplication</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Prospective caregiver intake and verification state</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CaregiverCredential</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Certificate, training, review, renewal, affiliation</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ServiceRegion</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Zip / district / polygon service coverage</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AvailabilitySlot</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When a caregiver or partner can accept work</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ServiceType</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Visiting care, nursing, transport, meal, housing, job support, etc.</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MatchRequest</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Search or auto-match query with preferences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MatchRecommendation</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Ranked provider/caregiver/institution options</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CarePlan</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Plan spanning daily care, medical coordination, routines, housing goals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Visit</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Scheduled or completed service interaction</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DailyObservation</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Check-ins, meals, medication taken, vitals, symptoms, missed visits, deviations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MedicalHistoryEntry</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Diagnoses, surgeries, admissions, allergies, key events, nursing-hospital stays</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Medication</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Current and historical medicines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MedicationSchedule</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Dose, time, route, duration, prescriber/source</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MedicationEvent</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Taken / missed / held / side effect / refill due</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Appointment</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Hospital, clinic, rehab, district-office, silver-town tour, job interview, etc.</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InstitutionReferral</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Referral and transfer between partners and institutions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Incident</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Safety or quality event</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ObservabilitySignal</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Rule-engine event for dashboards and alerts</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Notification</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User-facing alert</w:t>
            </w:r>
          </w:p>
        </w:tc>
      </w:tr>
      <w:tr>
        <w:tc>
          <w:tcPr>
            <w:tcW w:type="dxa" w:w="230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ClaimOrSubsidyRecord</w:t>
            </w:r>
          </w:p>
        </w:tc>
        <w:tc>
          <w:tcPr>
            <w:tcW w:type="dxa" w:w="83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Claim-ready or settlement-ready record</w:t>
            </w:r>
          </w:p>
        </w:tc>
      </w:tr>
      <w:tr>
        <w:tc>
          <w:tcPr>
            <w:tcW w:type="dxa" w:w="2304"/>
            <w:tcMar>
              <w:top w:w="70" w:type="dxa"/>
              <w:start w:w="90" w:type="dxa"/>
              <w:bottom w:w="70" w:type="dxa"/>
              <w:end w:w="90" w:type="dxa"/>
            </w:tcMar>
          </w:tcPr>
          <w:p>
            <w:pPr>
              <w:jc w:val="left"/>
            </w:pPr>
            <w:r>
              <w:rPr>
                <w:rFonts w:ascii="Noto Sans CJK KR" w:hAnsi="Noto Sans CJK KR" w:eastAsia="Noto Sans CJK KR" w:cs="Noto Sans CJK KR"/>
                <w:color w:val="1F2A33"/>
                <w:sz w:val="17"/>
              </w:rPr>
              <w:t>AuditLog</w:t>
            </w:r>
          </w:p>
        </w:tc>
        <w:tc>
          <w:tcPr>
            <w:tcW w:type="dxa" w:w="8352"/>
            <w:tcMar>
              <w:top w:w="70" w:type="dxa"/>
              <w:start w:w="90" w:type="dxa"/>
              <w:bottom w:w="70" w:type="dxa"/>
              <w:end w:w="90" w:type="dxa"/>
            </w:tcMar>
          </w:tcPr>
          <w:p>
            <w:pPr>
              <w:jc w:val="left"/>
            </w:pPr>
            <w:r>
              <w:rPr>
                <w:rFonts w:ascii="Noto Sans CJK KR" w:hAnsi="Noto Sans CJK KR" w:eastAsia="Noto Sans CJK KR" w:cs="Noto Sans CJK KR"/>
                <w:color w:val="1F2A33"/>
                <w:sz w:val="17"/>
              </w:rPr>
              <w:t>Who saw or changed what, and why</w:t>
            </w:r>
          </w:p>
        </w:tc>
      </w:tr>
    </w:tbl>
    <w:p/>
    <w:p>
      <w:pPr>
        <w:pStyle w:val="Heading1"/>
      </w:pPr>
      <w:r>
        <w:t>13. Global reference adaptations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92"/>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Reference model</w:t>
            </w:r>
          </w:p>
        </w:tc>
        <w:tc>
          <w:tcPr>
            <w:tcW w:type="dxa" w:w="2880"/>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What to borrow</w:t>
            </w:r>
          </w:p>
        </w:tc>
        <w:tc>
          <w:tcPr>
            <w:tcW w:type="dxa" w:w="5184"/>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How to adapt for Korea</w:t>
            </w:r>
          </w:p>
        </w:tc>
      </w:tr>
      <w:tr>
        <w:tc>
          <w:tcPr>
            <w:tcW w:type="dxa" w:w="259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Japan community-based integrated care [GL-1]</w:t>
            </w:r>
          </w:p>
        </w:tc>
        <w:tc>
          <w:tcPr>
            <w:tcW w:type="dxa" w:w="288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Integrate health care, nursing care, prevention, housing, and livelihood support at the local level</w:t>
            </w:r>
          </w:p>
        </w:tc>
        <w:tc>
          <w:tcPr>
            <w:tcW w:type="dxa" w:w="518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Use district-based directories, municipal routing, and neighborhood service bundles rather than a pure app-store marketplace.</w:t>
            </w:r>
          </w:p>
        </w:tc>
      </w:tr>
      <w:tr>
        <w:tc>
          <w:tcPr>
            <w:tcW w:type="dxa" w:w="2592"/>
            <w:tcMar>
              <w:top w:w="70" w:type="dxa"/>
              <w:start w:w="90" w:type="dxa"/>
              <w:bottom w:w="70" w:type="dxa"/>
              <w:end w:w="90" w:type="dxa"/>
            </w:tcMar>
          </w:tcPr>
          <w:p>
            <w:pPr>
              <w:jc w:val="left"/>
            </w:pPr>
            <w:r>
              <w:rPr>
                <w:rFonts w:ascii="Noto Sans CJK KR" w:hAnsi="Noto Sans CJK KR" w:eastAsia="Noto Sans CJK KR" w:cs="Noto Sans CJK KR"/>
                <w:color w:val="1F2A33"/>
                <w:sz w:val="17"/>
              </w:rPr>
              <w:t>Singapore AIC [GL-2]</w:t>
            </w:r>
          </w:p>
        </w:tc>
        <w:tc>
          <w:tcPr>
            <w:tcW w:type="dxa" w:w="2880"/>
            <w:tcMar>
              <w:top w:w="70" w:type="dxa"/>
              <w:start w:w="90" w:type="dxa"/>
              <w:bottom w:w="70" w:type="dxa"/>
              <w:end w:w="90" w:type="dxa"/>
            </w:tcMar>
          </w:tcPr>
          <w:p>
            <w:pPr>
              <w:jc w:val="left"/>
            </w:pPr>
            <w:r>
              <w:rPr>
                <w:rFonts w:ascii="Noto Sans CJK KR" w:hAnsi="Noto Sans CJK KR" w:eastAsia="Noto Sans CJK KR" w:cs="Noto Sans CJK KR"/>
                <w:color w:val="1F2A33"/>
                <w:sz w:val="17"/>
              </w:rPr>
              <w:t>Single navigation point across community care, financial support, and caregiver resources</w:t>
            </w:r>
          </w:p>
        </w:tc>
        <w:tc>
          <w:tcPr>
            <w:tcW w:type="dxa" w:w="5184"/>
            <w:tcMar>
              <w:top w:w="70" w:type="dxa"/>
              <w:start w:w="90" w:type="dxa"/>
              <w:bottom w:w="70" w:type="dxa"/>
              <w:end w:w="90" w:type="dxa"/>
            </w:tcMar>
          </w:tcPr>
          <w:p>
            <w:pPr>
              <w:jc w:val="left"/>
            </w:pPr>
            <w:r>
              <w:rPr>
                <w:rFonts w:ascii="Noto Sans CJK KR" w:hAnsi="Noto Sans CJK KR" w:eastAsia="Noto Sans CJK KR" w:cs="Noto Sans CJK KR"/>
                <w:color w:val="1F2A33"/>
                <w:sz w:val="17"/>
              </w:rPr>
              <w:t>Create one Korea portal with care, benefits, housing, jobs, and local services under one identity.</w:t>
            </w:r>
          </w:p>
        </w:tc>
      </w:tr>
      <w:tr>
        <w:tc>
          <w:tcPr>
            <w:tcW w:type="dxa" w:w="259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PACE interdisciplinary care [GL-3]</w:t>
            </w:r>
          </w:p>
        </w:tc>
        <w:tc>
          <w:tcPr>
            <w:tcW w:type="dxa" w:w="2880"/>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Structured case conferences and one shared plan for high-need elders</w:t>
            </w:r>
          </w:p>
        </w:tc>
        <w:tc>
          <w:tcPr>
            <w:tcW w:type="dxa" w:w="5184"/>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Use multidisciplinary case management for high-risk / subsidized cohorts without making the whole product clinically heavy.</w:t>
            </w:r>
          </w:p>
        </w:tc>
      </w:tr>
      <w:tr>
        <w:tc>
          <w:tcPr>
            <w:tcW w:type="dxa" w:w="2592"/>
            <w:tcMar>
              <w:top w:w="70" w:type="dxa"/>
              <w:start w:w="90" w:type="dxa"/>
              <w:bottom w:w="70" w:type="dxa"/>
              <w:end w:w="90" w:type="dxa"/>
            </w:tcMar>
          </w:tcPr>
          <w:p>
            <w:pPr>
              <w:jc w:val="left"/>
            </w:pPr>
            <w:r>
              <w:rPr>
                <w:rFonts w:ascii="Noto Sans CJK KR" w:hAnsi="Noto Sans CJK KR" w:eastAsia="Noto Sans CJK KR" w:cs="Noto Sans CJK KR"/>
                <w:color w:val="1F2A33"/>
                <w:sz w:val="17"/>
              </w:rPr>
              <w:t>Buurtzorg [GL-4]</w:t>
            </w:r>
          </w:p>
        </w:tc>
        <w:tc>
          <w:tcPr>
            <w:tcW w:type="dxa" w:w="2880"/>
            <w:tcMar>
              <w:top w:w="70" w:type="dxa"/>
              <w:start w:w="90" w:type="dxa"/>
              <w:bottom w:w="70" w:type="dxa"/>
              <w:end w:w="90" w:type="dxa"/>
            </w:tcMar>
          </w:tcPr>
          <w:p>
            <w:pPr>
              <w:jc w:val="left"/>
            </w:pPr>
            <w:r>
              <w:rPr>
                <w:rFonts w:ascii="Noto Sans CJK KR" w:hAnsi="Noto Sans CJK KR" w:eastAsia="Noto Sans CJK KR" w:cs="Noto Sans CJK KR"/>
                <w:color w:val="1F2A33"/>
                <w:sz w:val="17"/>
              </w:rPr>
              <w:t>Continuity, neighborhood teams, trust, and fewer handoffs</w:t>
            </w:r>
          </w:p>
        </w:tc>
        <w:tc>
          <w:tcPr>
            <w:tcW w:type="dxa" w:w="5184"/>
            <w:tcMar>
              <w:top w:w="70" w:type="dxa"/>
              <w:start w:w="90" w:type="dxa"/>
              <w:bottom w:w="70" w:type="dxa"/>
              <w:end w:w="90" w:type="dxa"/>
            </w:tcMar>
          </w:tcPr>
          <w:p>
            <w:pPr>
              <w:jc w:val="left"/>
            </w:pPr>
            <w:r>
              <w:rPr>
                <w:rFonts w:ascii="Noto Sans CJK KR" w:hAnsi="Noto Sans CJK KR" w:eastAsia="Noto Sans CJK KR" w:cs="Noto Sans CJK KR"/>
                <w:color w:val="1F2A33"/>
                <w:sz w:val="17"/>
              </w:rPr>
              <w:t>Favor stable caregiver-to-client relationships and region-based teams inside Korean provider organizations.</w:t>
            </w:r>
          </w:p>
        </w:tc>
      </w:tr>
    </w:tbl>
    <w:p/>
    <w:p>
      <w:pPr>
        <w:pStyle w:val="Heading1"/>
      </w:pPr>
      <w:r>
        <w:t>14. Release and deliverable definition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88"/>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Release</w:t>
            </w:r>
          </w:p>
        </w:tc>
        <w:tc>
          <w:tcPr>
            <w:tcW w:type="dxa" w:w="5112"/>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What ships</w:t>
            </w:r>
          </w:p>
        </w:tc>
        <w:tc>
          <w:tcPr>
            <w:tcW w:type="dxa" w:w="2952"/>
            <w:shd w:fill="0B3C5D"/>
            <w:tcMar>
              <w:top w:w="80" w:type="dxa"/>
              <w:start w:w="100" w:type="dxa"/>
              <w:bottom w:w="80" w:type="dxa"/>
              <w:end w:w="100" w:type="dxa"/>
            </w:tcMar>
          </w:tcPr>
          <w:p>
            <w:pPr>
              <w:jc w:val="center"/>
            </w:pPr>
            <w:r>
              <w:rPr>
                <w:rFonts w:ascii="Noto Sans CJK KR" w:hAnsi="Noto Sans CJK KR" w:eastAsia="Noto Sans CJK KR" w:cs="Noto Sans CJK KR"/>
                <w:b/>
                <w:color w:val="FFFFFF"/>
                <w:sz w:val="18"/>
              </w:rPr>
              <w:t>Why it matters</w:t>
            </w:r>
          </w:p>
        </w:tc>
      </w:tr>
      <w:tr>
        <w:tc>
          <w:tcPr>
            <w:tcW w:type="dxa" w:w="208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Release 1 - Open senior portal</w:t>
            </w:r>
          </w:p>
        </w:tc>
        <w:tc>
          <w:tcPr>
            <w:tcW w:type="dxa" w:w="511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Senior/family sign-up, provider directory, caregiver applications, matching, schedule, medical history + medicine tracking, messaging, medical/housing/opportunity directories, daily observability feed</w:t>
            </w:r>
          </w:p>
        </w:tc>
        <w:tc>
          <w:tcPr>
            <w:tcW w:type="dxa" w:w="29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Lets anyone use the service immediately, regardless of subsidy eligibility.</w:t>
            </w:r>
          </w:p>
        </w:tc>
      </w:tr>
      <w:tr>
        <w:tc>
          <w:tcPr>
            <w:tcW w:type="dxa" w:w="2088"/>
            <w:tcMar>
              <w:top w:w="70" w:type="dxa"/>
              <w:start w:w="90" w:type="dxa"/>
              <w:bottom w:w="70" w:type="dxa"/>
              <w:end w:w="90" w:type="dxa"/>
            </w:tcMar>
          </w:tcPr>
          <w:p>
            <w:pPr>
              <w:jc w:val="left"/>
            </w:pPr>
            <w:r>
              <w:rPr>
                <w:rFonts w:ascii="Noto Sans CJK KR" w:hAnsi="Noto Sans CJK KR" w:eastAsia="Noto Sans CJK KR" w:cs="Noto Sans CJK KR"/>
                <w:color w:val="1F2A33"/>
                <w:sz w:val="17"/>
              </w:rPr>
              <w:t>Release 2 - Benefits overlay</w:t>
            </w:r>
          </w:p>
        </w:tc>
        <w:tc>
          <w:tcPr>
            <w:tcW w:type="dxa" w:w="5112"/>
            <w:tcMar>
              <w:top w:w="70" w:type="dxa"/>
              <w:start w:w="90" w:type="dxa"/>
              <w:bottom w:w="70" w:type="dxa"/>
              <w:end w:w="90" w:type="dxa"/>
            </w:tcMar>
          </w:tcPr>
          <w:p>
            <w:pPr>
              <w:jc w:val="left"/>
            </w:pPr>
            <w:r>
              <w:rPr>
                <w:rFonts w:ascii="Noto Sans CJK KR" w:hAnsi="Noto Sans CJK KR" w:eastAsia="Noto Sans CJK KR" w:cs="Noto Sans CJK KR"/>
                <w:color w:val="1F2A33"/>
                <w:sz w:val="17"/>
              </w:rPr>
              <w:t>Consent engine, eligibility case management, public-program routing, subsidy progress tracking, provider compliance data, claims-ready visit records</w:t>
            </w:r>
          </w:p>
        </w:tc>
        <w:tc>
          <w:tcPr>
            <w:tcW w:type="dxa" w:w="2952"/>
            <w:tcMar>
              <w:top w:w="70" w:type="dxa"/>
              <w:start w:w="90" w:type="dxa"/>
              <w:bottom w:w="70" w:type="dxa"/>
              <w:end w:w="90" w:type="dxa"/>
            </w:tcMar>
          </w:tcPr>
          <w:p>
            <w:pPr>
              <w:jc w:val="left"/>
            </w:pPr>
            <w:r>
              <w:rPr>
                <w:rFonts w:ascii="Noto Sans CJK KR" w:hAnsi="Noto Sans CJK KR" w:eastAsia="Noto Sans CJK KR" w:cs="Noto Sans CJK KR"/>
                <w:color w:val="1F2A33"/>
                <w:sz w:val="17"/>
              </w:rPr>
              <w:t>Turns the open portal into a benefits-aware portal without blocking core usage.</w:t>
            </w:r>
          </w:p>
        </w:tc>
      </w:tr>
      <w:tr>
        <w:tc>
          <w:tcPr>
            <w:tcW w:type="dxa" w:w="2088"/>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Release 3 - Oversight and deep integration</w:t>
            </w:r>
          </w:p>
        </w:tc>
        <w:tc>
          <w:tcPr>
            <w:tcW w:type="dxa" w:w="511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Government portal, district-office information layer, NHIS / SSIS adapters, advanced observability, anomaly detection, reporting exports</w:t>
            </w:r>
          </w:p>
        </w:tc>
        <w:tc>
          <w:tcPr>
            <w:tcW w:type="dxa" w:w="2952"/>
            <w:tcMar>
              <w:top w:w="70" w:type="dxa"/>
              <w:start w:w="90" w:type="dxa"/>
              <w:bottom w:w="70" w:type="dxa"/>
              <w:end w:w="90" w:type="dxa"/>
            </w:tcMar>
            <w:shd w:fill="F7FAFB"/>
          </w:tcPr>
          <w:p>
            <w:pPr>
              <w:jc w:val="left"/>
            </w:pPr>
            <w:r>
              <w:rPr>
                <w:rFonts w:ascii="Noto Sans CJK KR" w:hAnsi="Noto Sans CJK KR" w:eastAsia="Noto Sans CJK KR" w:cs="Noto Sans CJK KR"/>
                <w:color w:val="1F2A33"/>
                <w:sz w:val="17"/>
              </w:rPr>
              <w:t>Adds public-sector value and defensibility.</w:t>
            </w:r>
          </w:p>
        </w:tc>
      </w:tr>
    </w:tbl>
    <w:p/>
    <w:p>
      <w:pPr>
        <w:pStyle w:val="Heading1"/>
      </w:pPr>
      <w:r>
        <w:t>15. Definition of done</w:t>
      </w:r>
    </w:p>
    <w:p>
      <w:pPr>
        <w:pStyle w:val="ListBullet"/>
      </w:pPr>
      <w:r>
        <w:rPr>
          <w:rFonts w:ascii="Noto Sans CJK KR" w:hAnsi="Noto Sans CJK KR" w:eastAsia="Noto Sans CJK KR" w:cs="Noto Sans CJK KR"/>
          <w:color w:val="1F2A33"/>
          <w:sz w:val="20"/>
        </w:rPr>
        <w:t>A senior can sign up and use the portal without any eligibility approval.</w:t>
      </w:r>
    </w:p>
    <w:p>
      <w:pPr>
        <w:pStyle w:val="ListBullet"/>
      </w:pPr>
      <w:r>
        <w:rPr>
          <w:rFonts w:ascii="Noto Sans CJK KR" w:hAnsi="Noto Sans CJK KR" w:eastAsia="Noto Sans CJK KR" w:cs="Noto Sans CJK KR"/>
          <w:color w:val="1F2A33"/>
          <w:sz w:val="20"/>
        </w:rPr>
        <w:t>The same senior can later opt into medical-data sharing, government-data sharing, or both.</w:t>
      </w:r>
    </w:p>
    <w:p>
      <w:pPr>
        <w:pStyle w:val="ListBullet"/>
      </w:pPr>
      <w:r>
        <w:rPr>
          <w:rFonts w:ascii="Noto Sans CJK KR" w:hAnsi="Noto Sans CJK KR" w:eastAsia="Noto Sans CJK KR" w:cs="Noto Sans CJK KR"/>
          <w:color w:val="1F2A33"/>
          <w:sz w:val="20"/>
        </w:rPr>
        <w:t>The same record can support private-pay service use, and if desired, a later subsidy application.</w:t>
      </w:r>
    </w:p>
    <w:p>
      <w:pPr>
        <w:pStyle w:val="ListBullet"/>
      </w:pPr>
      <w:r>
        <w:rPr>
          <w:rFonts w:ascii="Noto Sans CJK KR" w:hAnsi="Noto Sans CJK KR" w:eastAsia="Noto Sans CJK KR" w:cs="Noto Sans CJK KR"/>
          <w:color w:val="1F2A33"/>
          <w:sz w:val="20"/>
        </w:rPr>
        <w:t>Family, caregivers, providers, and government users each get role-scoped observability views.</w:t>
      </w:r>
    </w:p>
    <w:p>
      <w:pPr>
        <w:pStyle w:val="ListBullet"/>
      </w:pPr>
      <w:r>
        <w:rPr>
          <w:rFonts w:ascii="Noto Sans CJK KR" w:hAnsi="Noto Sans CJK KR" w:eastAsia="Noto Sans CJK KR" w:cs="Noto Sans CJK KR"/>
          <w:color w:val="1F2A33"/>
          <w:sz w:val="20"/>
        </w:rPr>
        <w:t>Medical history and medicine tracking are present as core modules, not future extras.</w:t>
      </w:r>
    </w:p>
    <w:p>
      <w:pPr>
        <w:pStyle w:val="ListBullet"/>
      </w:pPr>
      <w:r>
        <w:rPr>
          <w:rFonts w:ascii="Noto Sans CJK KR" w:hAnsi="Noto Sans CJK KR" w:eastAsia="Noto Sans CJK KR" w:cs="Noto Sans CJK KR"/>
          <w:color w:val="1F2A33"/>
          <w:sz w:val="20"/>
        </w:rPr>
        <w:t>The portal can route across nursing hospitals, visiting caregivers, medical institutions, senior housing, transport, meals, jobs, and district-office information.</w:t>
      </w:r>
    </w:p>
    <w:p>
      <w:pPr>
        <w:pStyle w:val="Heading1"/>
      </w:pPr>
      <w:r>
        <w:t>Source appendix</w:t>
      </w:r>
    </w:p>
    <w:p>
      <w:pPr/>
      <w:r>
        <w:rPr>
          <w:rFonts w:ascii="Noto Sans CJK KR" w:hAnsi="Noto Sans CJK KR" w:eastAsia="Noto Sans CJK KR" w:cs="Noto Sans CJK KR"/>
          <w:color w:val="1F2A33"/>
          <w:sz w:val="20"/>
        </w:rPr>
        <w:t>KR-1: MOHW - Understanding the Long-Term Care Insurance System — https://www.mohw.go.kr/menu.es?mid=a10712030100</w:t>
      </w:r>
    </w:p>
    <w:p>
      <w:pPr/>
      <w:r>
        <w:rPr>
          <w:rFonts w:ascii="Noto Sans CJK KR" w:hAnsi="Noto Sans CJK KR" w:eastAsia="Noto Sans CJK KR" w:cs="Noto Sans CJK KR"/>
          <w:color w:val="1F2A33"/>
          <w:sz w:val="20"/>
        </w:rPr>
        <w:t>KR-2: Long-Term Care Insurance Act, Article 23 — https://law.go.kr/LSW//lsLawLinkInfo.do?chrClsCd=010202&amp;lsId=010436&amp;lsJoLnkSeq=900224490&amp;print=print</w:t>
      </w:r>
    </w:p>
    <w:p>
      <w:pPr/>
      <w:r>
        <w:rPr>
          <w:rFonts w:ascii="Noto Sans CJK KR" w:hAnsi="Noto Sans CJK KR" w:eastAsia="Noto Sans CJK KR" w:cs="Noto Sans CJK KR"/>
          <w:color w:val="1F2A33"/>
          <w:sz w:val="20"/>
        </w:rPr>
        <w:t>KR-3: Welfare of Older Persons Act, Article 39-2 — https://www.law.go.kr/LSW//lsSideInfoP.do?docCls=jo&amp;joBrNo=02&amp;joNo=0039&amp;lsiSeq=259093&amp;urlMode=lsScJoRltInfoR</w:t>
      </w:r>
    </w:p>
    <w:p>
      <w:pPr/>
      <w:r>
        <w:rPr>
          <w:rFonts w:ascii="Noto Sans CJK KR" w:hAnsi="Noto Sans CJK KR" w:eastAsia="Noto Sans CJK KR" w:cs="Noto Sans CJK KR"/>
          <w:color w:val="1F2A33"/>
          <w:sz w:val="20"/>
        </w:rPr>
        <w:t>KR-4: NHIS - Claiming / review / payment processing standards for LTC benefits — https://www.nhis.or.kr/lm/lmxsrv/law/lawFullContent.do?SEQ=101&amp;SEQ_HISTORY=27031</w:t>
      </w:r>
    </w:p>
    <w:p>
      <w:pPr/>
      <w:r>
        <w:rPr>
          <w:rFonts w:ascii="Noto Sans CJK KR" w:hAnsi="Noto Sans CJK KR" w:eastAsia="Noto Sans CJK KR" w:cs="Noto Sans CJK KR"/>
          <w:color w:val="1F2A33"/>
          <w:sz w:val="20"/>
        </w:rPr>
        <w:t>KR-5: SSIS - Social Service e-Voucher System — https://www.ssis.or.kr/lay1/S1T752C771/contents.do</w:t>
      </w:r>
    </w:p>
    <w:p>
      <w:pPr/>
      <w:r>
        <w:rPr>
          <w:rFonts w:ascii="Noto Sans CJK KR" w:hAnsi="Noto Sans CJK KR" w:eastAsia="Noto Sans CJK KR" w:cs="Noto Sans CJK KR"/>
          <w:color w:val="1F2A33"/>
          <w:sz w:val="20"/>
        </w:rPr>
        <w:t>KR-6: My Healthway / Health Information Highway - related laws — https://www.myhealthway.go.kr/portal/index?page=Individual%2FPortal%2FMediMyData%2FMydataLaw</w:t>
      </w:r>
    </w:p>
    <w:p>
      <w:pPr/>
      <w:r>
        <w:rPr>
          <w:rFonts w:ascii="Noto Sans CJK KR" w:hAnsi="Noto Sans CJK KR" w:eastAsia="Noto Sans CJK KR" w:cs="Noto Sans CJK KR"/>
          <w:color w:val="1F2A33"/>
          <w:sz w:val="20"/>
        </w:rPr>
        <w:t>KR-7: Korea Policy Briefing - Telemedicine amendment — https://www.korea.kr/news/policyNewsView.do?newsId=148955797</w:t>
      </w:r>
    </w:p>
    <w:p>
      <w:pPr/>
      <w:r>
        <w:rPr>
          <w:rFonts w:ascii="Noto Sans CJK KR" w:hAnsi="Noto Sans CJK KR" w:eastAsia="Noto Sans CJK KR" w:cs="Noto Sans CJK KR"/>
          <w:color w:val="1F2A33"/>
          <w:sz w:val="20"/>
        </w:rPr>
        <w:t>KR-8: MOHW - Customized Care Service for Older Persons — https://www.mohw.go.kr/menu.es?mid=a10712010400</w:t>
      </w:r>
    </w:p>
    <w:p>
      <w:pPr/>
      <w:r>
        <w:rPr>
          <w:rFonts w:ascii="Noto Sans CJK KR" w:hAnsi="Noto Sans CJK KR" w:eastAsia="Noto Sans CJK KR" w:cs="Noto Sans CJK KR"/>
          <w:color w:val="1F2A33"/>
          <w:sz w:val="20"/>
        </w:rPr>
        <w:t>KR-9: Statistics Korea - 2024 Older Persons Statistics — https://mods.go.kr/board.es?act=view&amp;bid=10820&amp;list_no=432917&amp;mid=a10301010000</w:t>
      </w:r>
    </w:p>
    <w:p>
      <w:pPr/>
      <w:r>
        <w:rPr>
          <w:rFonts w:ascii="Noto Sans CJK KR" w:hAnsi="Noto Sans CJK KR" w:eastAsia="Noto Sans CJK KR" w:cs="Noto Sans CJK KR"/>
          <w:color w:val="1F2A33"/>
          <w:sz w:val="20"/>
        </w:rPr>
        <w:t>KR-10: Statistics Korea - 2025 Older Persons Statistics — https://mods.go.kr/board.es?act=view&amp;bid=10820&amp;list_no=438832&amp;mid=a10301010000&amp;ref_bid=&amp;tag=</w:t>
      </w:r>
    </w:p>
    <w:p>
      <w:pPr/>
      <w:r>
        <w:rPr>
          <w:rFonts w:ascii="Noto Sans CJK KR" w:hAnsi="Noto Sans CJK KR" w:eastAsia="Noto Sans CJK KR" w:cs="Noto Sans CJK KR"/>
          <w:color w:val="1F2A33"/>
          <w:sz w:val="20"/>
        </w:rPr>
        <w:t>KR-11: NHIS - Long-Term Care Institution Evaluation Rules — https://www.nhis.or.kr/lm/lmxsrv/law/lawFullContent.do?SEQ=102&amp;SEQ_HISTORY=</w:t>
      </w:r>
    </w:p>
    <w:p>
      <w:pPr/>
      <w:r>
        <w:rPr>
          <w:rFonts w:ascii="Noto Sans CJK KR" w:hAnsi="Noto Sans CJK KR" w:eastAsia="Noto Sans CJK KR" w:cs="Noto Sans CJK KR"/>
          <w:color w:val="1F2A33"/>
          <w:sz w:val="20"/>
        </w:rPr>
        <w:t>KR-12: Medical Service Act - hospitals incl. nursing hospitals — https://www.law.go.kr/LSW/lsInfoP.do?lsId=001788</w:t>
      </w:r>
    </w:p>
    <w:p>
      <w:pPr/>
      <w:r>
        <w:rPr>
          <w:rFonts w:ascii="Noto Sans CJK KR" w:hAnsi="Noto Sans CJK KR" w:eastAsia="Noto Sans CJK KR" w:cs="Noto Sans CJK KR"/>
          <w:color w:val="1F2A33"/>
          <w:sz w:val="20"/>
        </w:rPr>
        <w:t>KR-13: KORDI / 노인일자리여기 — https://www.seniorro.or.kr/</w:t>
      </w:r>
    </w:p>
    <w:p>
      <w:pPr/>
      <w:r>
        <w:rPr>
          <w:rFonts w:ascii="Noto Sans CJK KR" w:hAnsi="Noto Sans CJK KR" w:eastAsia="Noto Sans CJK KR" w:cs="Noto Sans CJK KR"/>
          <w:color w:val="1F2A33"/>
          <w:sz w:val="20"/>
        </w:rPr>
        <w:t>KR-14: KORDI - age-friendly companies call — https://www.kordi.or.kr/content.do?cid=639614&amp;cmsId=91&amp;mode=view&amp;page=</w:t>
      </w:r>
    </w:p>
    <w:p>
      <w:pPr/>
      <w:r>
        <w:rPr>
          <w:rFonts w:ascii="Noto Sans CJK KR" w:hAnsi="Noto Sans CJK KR" w:eastAsia="Noto Sans CJK KR" w:cs="Noto Sans CJK KR"/>
          <w:color w:val="1F2A33"/>
          <w:sz w:val="20"/>
        </w:rPr>
        <w:t>KR-15: Senior housing / welfare housing guideline snippet — https://www.khidi.or.kr/kohes/fileDownload?fileDownType=C&amp;fileId=1&amp;paramMenuId=MENU02462&amp;titleId=100854</w:t>
      </w:r>
    </w:p>
    <w:p>
      <w:pPr/>
      <w:r>
        <w:rPr>
          <w:rFonts w:ascii="Noto Sans CJK KR" w:hAnsi="Noto Sans CJK KR" w:eastAsia="Noto Sans CJK KR" w:cs="Noto Sans CJK KR"/>
          <w:color w:val="1F2A33"/>
          <w:sz w:val="20"/>
        </w:rPr>
        <w:t>GL-1: Japan MHLW - Long-Term Care / community-based integrated care — https://www.mhlw.go.jp/english/policy/care-welfare/care-welfare-elderly/index.html</w:t>
      </w:r>
    </w:p>
    <w:p>
      <w:pPr/>
      <w:r>
        <w:rPr>
          <w:rFonts w:ascii="Noto Sans CJK KR" w:hAnsi="Noto Sans CJK KR" w:eastAsia="Noto Sans CJK KR" w:cs="Noto Sans CJK KR"/>
          <w:color w:val="1F2A33"/>
          <w:sz w:val="20"/>
        </w:rPr>
        <w:t>GL-2: Singapore Agency for Integrated Care — https://www.aic.sg/care-services/</w:t>
      </w:r>
    </w:p>
    <w:p>
      <w:pPr/>
      <w:r>
        <w:rPr>
          <w:rFonts w:ascii="Noto Sans CJK KR" w:hAnsi="Noto Sans CJK KR" w:eastAsia="Noto Sans CJK KR" w:cs="Noto Sans CJK KR"/>
          <w:color w:val="1F2A33"/>
          <w:sz w:val="20"/>
        </w:rPr>
        <w:t>GL-3: US CMS - PACE — https://www.cms.gov/medicare/medicaid-coordination/about/pace</w:t>
      </w:r>
    </w:p>
    <w:p>
      <w:pPr/>
      <w:r>
        <w:rPr>
          <w:rFonts w:ascii="Noto Sans CJK KR" w:hAnsi="Noto Sans CJK KR" w:eastAsia="Noto Sans CJK KR" w:cs="Noto Sans CJK KR"/>
          <w:color w:val="1F2A33"/>
          <w:sz w:val="20"/>
        </w:rPr>
        <w:t>GL-4: Buurtzorg - The Buurtzorg Model — https://www.buurtzorg.com/about-us/buurtzorgmodel/</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KR" w:hAnsi="Noto Sans CJK KR" w:eastAsia="Noto Sans CJK KR" w:cs="Noto Sans CJK KR"/>
        <w:color w:val="6B7780"/>
        <w:sz w:val="16"/>
      </w:rPr>
      <w:t>Product scoping aid only; confirm launch scope with Korean counsel.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Noto Sans CJK KR" w:hAnsi="Noto Sans CJK KR" w:eastAsia="Noto Sans CJK KR" w:cs="Noto Sans CJK KR"/>
      <w:color w:val="1F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Noto Sans CJK KR" w:hAnsi="Noto Sans CJK KR" w:eastAsia="Noto Sans CJK KR" w:cs="Noto Sans CJK KR"/>
      <w:b/>
      <w:bCs/>
      <w:color w:val="0B3C5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CJK KR" w:hAnsi="Noto Sans CJK KR" w:eastAsia="Noto Sans CJK KR" w:cs="Noto Sans CJK KR"/>
      <w:b/>
      <w:bCs/>
      <w:color w:val="155E63"/>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Noto Sans CJK KR" w:hAnsi="Noto Sans CJK KR" w:eastAsia="Noto Sans CJK KR" w:cs="Noto Sans CJK KR"/>
      <w:b/>
      <w:bCs/>
      <w:color w:val="2456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cs="Noto Sans CJK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160"/>
    </w:pPr>
    <w:rPr>
      <w:rFonts w:ascii="Noto Serif CJK KR" w:hAnsi="Noto Serif CJK KR" w:eastAsia="Noto Serif CJK KR" w:cs="Noto Serif CJK KR"/>
      <w:b/>
      <w:color w:val="0B3C5D"/>
      <w:sz w:val="52"/>
    </w:rPr>
  </w:style>
  <w:style w:type="paragraph" w:customStyle="1" w:styleId="CustomSubtitle">
    <w:name w:val="CustomSubtitle"/>
    <w:pPr>
      <w:spacing w:after="80"/>
    </w:pPr>
    <w:rPr>
      <w:rFonts w:ascii="Noto Sans CJK KR" w:hAnsi="Noto Sans CJK KR" w:eastAsia="Noto Sans CJK KR" w:cs="Noto Sans CJK KR"/>
      <w:color w:val="5A69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