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786" w:rsidRPr="00C84786" w:rsidRDefault="00C84786" w:rsidP="00C84786">
      <w:pPr>
        <w:spacing w:before="100" w:beforeAutospacing="1" w:after="100" w:afterAutospacing="1"/>
        <w:jc w:val="center"/>
        <w:rPr>
          <w:rFonts w:ascii="Mangal" w:eastAsia="Times New Roman" w:hAnsi="Mangal" w:cs="Mangal" w:hint="cs"/>
          <w:b/>
          <w:bCs/>
          <w:i/>
          <w:i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i/>
          <w:iCs/>
          <w:kern w:val="0"/>
          <w14:ligatures w14:val="none"/>
        </w:rPr>
        <w:t xml:space="preserve">Inventory Tracking and Acquisition Process </w:t>
      </w:r>
    </w:p>
    <w:p w:rsidR="00C84786" w:rsidRPr="00C84786" w:rsidRDefault="00C84786" w:rsidP="00C84786">
      <w:pPr>
        <w:spacing w:before="100" w:beforeAutospacing="1" w:after="100" w:afterAutospacing="1"/>
        <w:jc w:val="center"/>
        <w:rPr>
          <w:rFonts w:ascii="Mangal" w:eastAsia="Times New Roman" w:hAnsi="Mangal" w:cs="Mangal" w:hint="cs"/>
          <w:b/>
          <w:bCs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Prepared by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>: Jason A. Hill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Date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: 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>August 2021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1. Purpose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This SOP outlines the standardized procedures for tracking, managing, and replenishing inventory used in </w:t>
      </w:r>
      <w:proofErr w:type="spellStart"/>
      <w:r w:rsidRPr="00C84786">
        <w:rPr>
          <w:rFonts w:ascii="Mangal" w:eastAsia="Times New Roman" w:hAnsi="Mangal" w:cs="Mangal" w:hint="cs"/>
          <w:kern w:val="0"/>
          <w14:ligatures w14:val="none"/>
        </w:rPr>
        <w:t>BlueForce</w:t>
      </w:r>
      <w:proofErr w:type="spellEnd"/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educational training operations. The system is divided into two categories: </w:t>
      </w: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Durable Inventory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and </w:t>
      </w: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Consumable Inventory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>. The goal is to ensure efficient usage tracking, reduce waste, and maintain supply availability across operational buildings.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2. Scope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This SOP applies to:</w:t>
      </w:r>
    </w:p>
    <w:p w:rsidR="00C84786" w:rsidRPr="00C84786" w:rsidRDefault="00C84786" w:rsidP="00C84786">
      <w:pPr>
        <w:numPr>
          <w:ilvl w:val="0"/>
          <w:numId w:val="1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Instructor Supervisors (IS)</w:t>
      </w:r>
    </w:p>
    <w:p w:rsidR="00C84786" w:rsidRPr="00C84786" w:rsidRDefault="00C84786" w:rsidP="00C84786">
      <w:pPr>
        <w:numPr>
          <w:ilvl w:val="0"/>
          <w:numId w:val="1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English Language Teachers (ELTs)</w:t>
      </w:r>
    </w:p>
    <w:p w:rsidR="00C84786" w:rsidRPr="00C84786" w:rsidRDefault="00C84786" w:rsidP="00C84786">
      <w:pPr>
        <w:numPr>
          <w:ilvl w:val="0"/>
          <w:numId w:val="1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Acquisition Inventory Department (AID)</w:t>
      </w:r>
    </w:p>
    <w:p w:rsidR="00C84786" w:rsidRPr="00C84786" w:rsidRDefault="00C84786" w:rsidP="00C84786">
      <w:pPr>
        <w:numPr>
          <w:ilvl w:val="0"/>
          <w:numId w:val="1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Base procurement personnel</w:t>
      </w:r>
    </w:p>
    <w:p w:rsidR="00C84786" w:rsidRPr="00C84786" w:rsidRDefault="00C84786" w:rsidP="00C84786">
      <w:pPr>
        <w:numPr>
          <w:ilvl w:val="0"/>
          <w:numId w:val="1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Administrative program managers (PMs)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The procedures described are applicable to all training buildings and storerooms under </w:t>
      </w:r>
      <w:proofErr w:type="spellStart"/>
      <w:r w:rsidRPr="00C84786">
        <w:rPr>
          <w:rFonts w:ascii="Mangal" w:eastAsia="Times New Roman" w:hAnsi="Mangal" w:cs="Mangal" w:hint="cs"/>
          <w:kern w:val="0"/>
          <w14:ligatures w14:val="none"/>
        </w:rPr>
        <w:t>BlueForce</w:t>
      </w:r>
      <w:proofErr w:type="spellEnd"/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contract management.</w:t>
      </w:r>
    </w:p>
    <w:p w:rsidR="00C84786" w:rsidRPr="00C84786" w:rsidRDefault="00C84786" w:rsidP="00C84786">
      <w:pPr>
        <w:rPr>
          <w:rFonts w:ascii="Mangal" w:eastAsia="Times New Roman" w:hAnsi="Mangal" w:cs="Mangal"/>
          <w:kern w:val="0"/>
          <w14:ligatures w14:val="none"/>
        </w:rPr>
      </w:pP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lastRenderedPageBreak/>
        <w:t>3. Inventory Categories</w:t>
      </w:r>
    </w:p>
    <w:p w:rsidR="00C84786" w:rsidRPr="00C84786" w:rsidRDefault="00C84786" w:rsidP="00C84786">
      <w:pPr>
        <w:spacing w:before="100" w:beforeAutospacing="1" w:after="100" w:afterAutospacing="1"/>
        <w:outlineLvl w:val="3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3.1 Durable Inventory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Durable items are nonperishable and include chairs, cabinets, whiteboards, and other reusable assets. Items are tracked by building location and storage area. Inventory records are maintained in a centralized Google Sheet [link], updated upon new acquisitions or relocations.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3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3.2 Consumable Inventory</w:t>
      </w:r>
    </w:p>
    <w:p w:rsidR="00C84786" w:rsidRPr="00C84786" w:rsidRDefault="00C84786" w:rsidP="00C84786">
      <w:p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Consumables (e.g., pens, markers, paper) are tracked based on </w:t>
      </w: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usage volume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rather than physical location. Usage is logged in the consumable inventory spreadsheet, available through the BF/TSI shared Google Drive.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4. Inventory Intake and Tracking Process</w:t>
      </w:r>
    </w:p>
    <w:p w:rsidR="00C84786" w:rsidRPr="00C84786" w:rsidRDefault="00C84786" w:rsidP="00C84786">
      <w:pPr>
        <w:numPr>
          <w:ilvl w:val="0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Acquisition Request Initiation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A staff member completes a </w:t>
      </w:r>
      <w:r w:rsidRPr="00C84786">
        <w:rPr>
          <w:rFonts w:ascii="Mangal" w:eastAsia="Times New Roman" w:hAnsi="Mangal" w:cs="Mangal" w:hint="cs"/>
          <w:i/>
          <w:iCs/>
          <w:kern w:val="0"/>
          <w14:ligatures w14:val="none"/>
        </w:rPr>
        <w:t>New Acquisition Request (NAR)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form and submits it to the Program Manager (PM).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The PM consolidates approved NARs into a </w:t>
      </w:r>
      <w:r w:rsidRPr="00C84786">
        <w:rPr>
          <w:rFonts w:ascii="Mangal" w:eastAsia="Times New Roman" w:hAnsi="Mangal" w:cs="Mangal" w:hint="cs"/>
          <w:i/>
          <w:iCs/>
          <w:kern w:val="0"/>
          <w14:ligatures w14:val="none"/>
        </w:rPr>
        <w:t>Contract Purchase Request (CPR)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and submits it to AFSAT for approval.</w:t>
      </w:r>
    </w:p>
    <w:p w:rsidR="00C84786" w:rsidRPr="00C84786" w:rsidRDefault="00C84786" w:rsidP="00C84786">
      <w:pPr>
        <w:numPr>
          <w:ilvl w:val="0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Procurement and Delivery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Once the CPR is approved, items are purchased from designated local merchants.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Receipts, invoices, and proofs of purchase are archived with the Acquisition Request List (ARL).</w:t>
      </w:r>
    </w:p>
    <w:p w:rsidR="00C84786" w:rsidRPr="00C84786" w:rsidRDefault="00C84786" w:rsidP="00C84786">
      <w:pPr>
        <w:numPr>
          <w:ilvl w:val="0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Receiving and Barcode Tagging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Upon delivery, items are labeled with barcodes and grouped by category for distribution across supply rooms.</w:t>
      </w:r>
    </w:p>
    <w:p w:rsidR="00C84786" w:rsidRPr="00C84786" w:rsidRDefault="00C84786" w:rsidP="00C84786">
      <w:pPr>
        <w:numPr>
          <w:ilvl w:val="0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lastRenderedPageBreak/>
        <w:t>Storeroom Management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Supplies are stored in IS offices for daily teacher use.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Instructor Supervisors restock storerooms regularly from the central supply.</w:t>
      </w:r>
    </w:p>
    <w:p w:rsidR="00C84786" w:rsidRPr="00C84786" w:rsidRDefault="00C84786" w:rsidP="00C84786">
      <w:pPr>
        <w:numPr>
          <w:ilvl w:val="0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Usage Logging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Before consumable items are taken from storage, they must be scanned or entered into the “used” column in the Consumable Inventory Tracker.</w:t>
      </w:r>
    </w:p>
    <w:p w:rsidR="00C84786" w:rsidRPr="00C84786" w:rsidRDefault="00C84786" w:rsidP="00C84786">
      <w:pPr>
        <w:numPr>
          <w:ilvl w:val="1"/>
          <w:numId w:val="2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Unmarked items may not be removed or used.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5. Stock Monitoring and Reporting</w:t>
      </w:r>
    </w:p>
    <w:p w:rsidR="00C84786" w:rsidRPr="00C84786" w:rsidRDefault="00C84786" w:rsidP="00C84786">
      <w:pPr>
        <w:numPr>
          <w:ilvl w:val="0"/>
          <w:numId w:val="3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Monthly usage and replenishment trends are reviewed by the AID team.</w:t>
      </w:r>
    </w:p>
    <w:p w:rsidR="00C84786" w:rsidRPr="00C84786" w:rsidRDefault="00C84786" w:rsidP="00C84786">
      <w:pPr>
        <w:numPr>
          <w:ilvl w:val="0"/>
          <w:numId w:val="3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Annual purchase reports identify the </w:t>
      </w: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most/least consumed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 items and highlight any anomalies in supply flow (e.g., during Ramadan periods).</w:t>
      </w:r>
    </w:p>
    <w:p w:rsidR="00C84786" w:rsidRPr="00C84786" w:rsidRDefault="00C84786" w:rsidP="00C84786">
      <w:pPr>
        <w:numPr>
          <w:ilvl w:val="0"/>
          <w:numId w:val="3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Historical purchase data (2019–2022) are used to predict seasonal shifts in demand and optimize stock cycles.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C84786" w:rsidRPr="00C84786" w:rsidRDefault="00C84786" w:rsidP="00C84786">
      <w:pPr>
        <w:spacing w:before="100" w:beforeAutospacing="1" w:after="100" w:afterAutospacing="1"/>
        <w:outlineLvl w:val="2"/>
        <w:rPr>
          <w:rFonts w:ascii="Mangal" w:eastAsia="Times New Roman" w:hAnsi="Mangal" w:cs="Mangal" w:hint="cs"/>
          <w:b/>
          <w:bCs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6. Key Contacts and Tools</w:t>
      </w:r>
    </w:p>
    <w:p w:rsidR="00C84786" w:rsidRPr="00C84786" w:rsidRDefault="00C84786" w:rsidP="00C84786">
      <w:pPr>
        <w:numPr>
          <w:ilvl w:val="0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AID Leads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 xml:space="preserve">: ELT Mustafa </w:t>
      </w:r>
      <w:proofErr w:type="spellStart"/>
      <w:r w:rsidRPr="00C84786">
        <w:rPr>
          <w:rFonts w:ascii="Mangal" w:eastAsia="Times New Roman" w:hAnsi="Mangal" w:cs="Mangal" w:hint="cs"/>
          <w:kern w:val="0"/>
          <w14:ligatures w14:val="none"/>
        </w:rPr>
        <w:t>Samater</w:t>
      </w:r>
      <w:proofErr w:type="spellEnd"/>
      <w:r w:rsidRPr="00C84786">
        <w:rPr>
          <w:rFonts w:ascii="Mangal" w:eastAsia="Times New Roman" w:hAnsi="Mangal" w:cs="Mangal" w:hint="cs"/>
          <w:kern w:val="0"/>
          <w14:ligatures w14:val="none"/>
        </w:rPr>
        <w:t>, IS Jason Hill</w:t>
      </w:r>
    </w:p>
    <w:p w:rsidR="00C84786" w:rsidRPr="00C84786" w:rsidRDefault="00C84786" w:rsidP="00C84786">
      <w:pPr>
        <w:numPr>
          <w:ilvl w:val="0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Inventory Systems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>: Google Sheets – Durable and Consumable Trackers</w:t>
      </w:r>
    </w:p>
    <w:p w:rsidR="00C84786" w:rsidRPr="00C84786" w:rsidRDefault="00C84786" w:rsidP="00C84786">
      <w:pPr>
        <w:numPr>
          <w:ilvl w:val="0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b/>
          <w:bCs/>
          <w:kern w:val="0"/>
          <w14:ligatures w14:val="none"/>
        </w:rPr>
        <w:t>Forms Used</w:t>
      </w:r>
      <w:r w:rsidRPr="00C84786">
        <w:rPr>
          <w:rFonts w:ascii="Mangal" w:eastAsia="Times New Roman" w:hAnsi="Mangal" w:cs="Mangal" w:hint="cs"/>
          <w:kern w:val="0"/>
          <w14:ligatures w14:val="none"/>
        </w:rPr>
        <w:t>:</w:t>
      </w:r>
    </w:p>
    <w:p w:rsidR="00C84786" w:rsidRPr="00C84786" w:rsidRDefault="00C84786" w:rsidP="00C84786">
      <w:pPr>
        <w:numPr>
          <w:ilvl w:val="1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New Acquisition Request (NAR)</w:t>
      </w:r>
    </w:p>
    <w:p w:rsidR="00C84786" w:rsidRPr="00C84786" w:rsidRDefault="00C84786" w:rsidP="00C84786">
      <w:pPr>
        <w:numPr>
          <w:ilvl w:val="1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Contract Purchase Request (CPR)</w:t>
      </w:r>
    </w:p>
    <w:p w:rsidR="00C84786" w:rsidRPr="00C84786" w:rsidRDefault="00C84786" w:rsidP="00C84786">
      <w:pPr>
        <w:numPr>
          <w:ilvl w:val="1"/>
          <w:numId w:val="4"/>
        </w:numPr>
        <w:spacing w:before="100" w:beforeAutospacing="1" w:after="100" w:afterAutospacing="1"/>
        <w:rPr>
          <w:rFonts w:ascii="Mangal" w:eastAsia="Times New Roman" w:hAnsi="Mangal" w:cs="Mangal" w:hint="cs"/>
          <w:kern w:val="0"/>
          <w14:ligatures w14:val="none"/>
        </w:rPr>
      </w:pPr>
      <w:r w:rsidRPr="00C84786">
        <w:rPr>
          <w:rFonts w:ascii="Mangal" w:eastAsia="Times New Roman" w:hAnsi="Mangal" w:cs="Mangal" w:hint="cs"/>
          <w:kern w:val="0"/>
          <w14:ligatures w14:val="none"/>
        </w:rPr>
        <w:t>Acquisition Request Submission (ARS)</w:t>
      </w:r>
    </w:p>
    <w:p w:rsidR="00C84786" w:rsidRPr="00C84786" w:rsidRDefault="00C84786" w:rsidP="00C84786">
      <w:pPr>
        <w:rPr>
          <w:rFonts w:ascii="Mangal" w:eastAsia="Times New Roman" w:hAnsi="Mangal" w:cs="Mangal" w:hint="cs"/>
          <w:kern w:val="0"/>
          <w14:ligatures w14:val="none"/>
        </w:rPr>
      </w:pPr>
    </w:p>
    <w:p w:rsidR="008B24E2" w:rsidRPr="00C84786" w:rsidRDefault="008B24E2">
      <w:pPr>
        <w:rPr>
          <w:rFonts w:ascii="Mangal" w:hAnsi="Mangal" w:cs="Mangal" w:hint="cs"/>
        </w:rPr>
      </w:pPr>
    </w:p>
    <w:sectPr w:rsidR="008B24E2" w:rsidRPr="00C8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EC9"/>
    <w:multiLevelType w:val="multilevel"/>
    <w:tmpl w:val="E328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110DD"/>
    <w:multiLevelType w:val="multilevel"/>
    <w:tmpl w:val="2E2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917E6"/>
    <w:multiLevelType w:val="multilevel"/>
    <w:tmpl w:val="0BC4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138DA"/>
    <w:multiLevelType w:val="multilevel"/>
    <w:tmpl w:val="A94E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987823">
    <w:abstractNumId w:val="1"/>
  </w:num>
  <w:num w:numId="2" w16cid:durableId="1712420500">
    <w:abstractNumId w:val="2"/>
  </w:num>
  <w:num w:numId="3" w16cid:durableId="1358847656">
    <w:abstractNumId w:val="3"/>
  </w:num>
  <w:num w:numId="4" w16cid:durableId="195173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86"/>
    <w:rsid w:val="008B24E2"/>
    <w:rsid w:val="00C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4806"/>
  <w15:chartTrackingRefBased/>
  <w15:docId w15:val="{F34D8400-8992-CA49-86C2-E2778BF7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7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47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7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4786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p1">
    <w:name w:val="p1"/>
    <w:basedOn w:val="Normal"/>
    <w:rsid w:val="00C847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84786"/>
  </w:style>
  <w:style w:type="character" w:customStyle="1" w:styleId="s2">
    <w:name w:val="s2"/>
    <w:basedOn w:val="DefaultParagraphFont"/>
    <w:rsid w:val="00C84786"/>
  </w:style>
  <w:style w:type="paragraph" w:customStyle="1" w:styleId="p3">
    <w:name w:val="p3"/>
    <w:basedOn w:val="Normal"/>
    <w:rsid w:val="00C847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847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1</dc:creator>
  <cp:keywords/>
  <dc:description/>
  <cp:lastModifiedBy>Leon 1</cp:lastModifiedBy>
  <cp:revision>1</cp:revision>
  <dcterms:created xsi:type="dcterms:W3CDTF">2025-05-27T14:58:00Z</dcterms:created>
  <dcterms:modified xsi:type="dcterms:W3CDTF">2025-05-27T15:01:00Z</dcterms:modified>
</cp:coreProperties>
</file>