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t>Fee Credit Policy Updated</w:t>
      </w:r>
    </w:p>
    <w:p>
      <w:pPr>
        <w:spacing w:line="281" w:lineRule="exact" w:before="0"/>
        <w:ind w:left="124" w:right="0" w:firstLine="0"/>
        <w:jc w:val="left"/>
        <w:rPr>
          <w:rFonts w:ascii="Leelawadee UI Semilight"/>
          <w:b w:val="0"/>
          <w:sz w:val="23"/>
        </w:rPr>
      </w:pPr>
      <w:r>
        <w:rPr>
          <w:rFonts w:ascii="Leelawadee UI Semilight"/>
          <w:b w:val="0"/>
          <w:sz w:val="23"/>
        </w:rPr>
        <w:t>Collections;</w:t>
      </w:r>
      <w:r>
        <w:rPr>
          <w:rFonts w:ascii="Leelawadee UI Semilight"/>
          <w:b w:val="0"/>
          <w:spacing w:val="-1"/>
          <w:sz w:val="23"/>
        </w:rPr>
        <w:t> </w:t>
      </w:r>
      <w:r>
        <w:rPr>
          <w:rFonts w:ascii="Leelawadee UI Semilight"/>
          <w:b w:val="0"/>
          <w:sz w:val="23"/>
        </w:rPr>
        <w:t>Customer</w:t>
      </w:r>
      <w:r>
        <w:rPr>
          <w:rFonts w:ascii="Leelawadee UI Semilight"/>
          <w:b w:val="0"/>
          <w:spacing w:val="-2"/>
          <w:sz w:val="23"/>
        </w:rPr>
        <w:t> </w:t>
      </w:r>
      <w:r>
        <w:rPr>
          <w:rFonts w:ascii="Leelawadee UI Semilight"/>
          <w:b w:val="0"/>
          <w:sz w:val="23"/>
        </w:rPr>
        <w:t>Service;</w:t>
      </w:r>
      <w:r>
        <w:rPr>
          <w:rFonts w:ascii="Leelawadee UI Semilight"/>
          <w:b w:val="0"/>
          <w:spacing w:val="-1"/>
          <w:sz w:val="23"/>
        </w:rPr>
        <w:t> </w:t>
      </w:r>
      <w:r>
        <w:rPr>
          <w:rFonts w:ascii="Leelawadee UI Semilight"/>
          <w:b w:val="0"/>
          <w:sz w:val="23"/>
        </w:rPr>
        <w:t>Transaction</w:t>
      </w:r>
      <w:r>
        <w:rPr>
          <w:rFonts w:ascii="Leelawadee UI Semilight"/>
          <w:b w:val="0"/>
          <w:spacing w:val="-1"/>
          <w:sz w:val="23"/>
        </w:rPr>
        <w:t> </w:t>
      </w:r>
      <w:r>
        <w:rPr>
          <w:rFonts w:ascii="Leelawadee UI Semilight"/>
          <w:b w:val="0"/>
          <w:spacing w:val="-2"/>
          <w:sz w:val="23"/>
        </w:rPr>
        <w:t>Services</w:t>
      </w:r>
    </w:p>
    <w:p>
      <w:pPr>
        <w:pStyle w:val="BodyText"/>
        <w:spacing w:line="247" w:lineRule="exact"/>
        <w:ind w:left="124"/>
        <w:rPr>
          <w:rFonts w:ascii="Gadugi"/>
        </w:rPr>
      </w:pPr>
      <w:r>
        <w:t>Policy Owner: newcompany@gmail.com</w:t>
      </w:r>
    </w:p>
    <w:p>
      <w:pPr>
        <w:pStyle w:val="BodyText"/>
        <w:ind w:left="124" w:right="6452"/>
        <w:rPr>
          <w:rFonts w:ascii="Gadugi"/>
        </w:rPr>
      </w:pPr>
      <w:r>
        <w:t>Servicing Agent: Total Card, Inc. Product: newcompany@gmail.com</w:t>
      </w:r>
    </w:p>
    <w:p>
      <w:pPr>
        <w:pStyle w:val="BodyText"/>
        <w:ind w:left="124"/>
        <w:rPr>
          <w:rFonts w:ascii="Gadugi"/>
        </w:rPr>
      </w:pPr>
      <w:r>
        <w:rPr>
          <w:rFonts w:ascii="Gadugi"/>
          <w:spacing w:val="-4"/>
        </w:rPr>
        <w:t>BIN:</w:t>
      </w:r>
    </w:p>
    <w:p>
      <w:pPr>
        <w:pStyle w:val="BodyText"/>
        <w:spacing w:before="215"/>
        <w:rPr>
          <w:rFonts w:ascii="Gadugi"/>
        </w:rPr>
      </w:pPr>
    </w:p>
    <w:p>
      <w:pPr>
        <w:spacing w:before="0"/>
        <w:ind w:left="109" w:right="0" w:firstLine="0"/>
        <w:jc w:val="left"/>
        <w:rPr>
          <w:rFonts w:ascii="Gadugi"/>
          <w:b/>
          <w:sz w:val="20"/>
        </w:rPr>
      </w:pPr>
      <w:r>
        <w:rPr>
          <w:rFonts w:ascii="Gadugi"/>
          <w:b/>
          <w:spacing w:val="-2"/>
          <w:sz w:val="20"/>
          <w:u w:val="single"/>
        </w:rPr>
        <w:t>GENERAL</w:t>
      </w:r>
    </w:p>
    <w:p>
      <w:pPr>
        <w:pStyle w:val="BodyText"/>
        <w:spacing w:line="261" w:lineRule="auto" w:before="169"/>
        <w:ind w:left="109" w:right="174"/>
      </w:pPr>
      <w:r>
        <w:t>It is the policy of newcompany@gmail.com to accommodate reasonable requests for crediting the Late Fee to an account. Each account must be reviewed to determine if it qualifies for a credit based on the following criteria:</w:t>
      </w:r>
    </w:p>
    <w:p>
      <w:pPr>
        <w:pStyle w:val="BodyText"/>
      </w:pPr>
    </w:p>
    <w:p>
      <w:pPr>
        <w:pStyle w:val="BodyText"/>
        <w:spacing w:before="188"/>
      </w:pPr>
    </w:p>
    <w:p>
      <w:pPr>
        <w:pStyle w:val="BodyText"/>
        <w:ind w:left="109"/>
      </w:pPr>
      <w:r>
        <w:rPr/>
        <w:t>The</w:t>
      </w:r>
      <w:r>
        <w:rPr>
          <w:spacing w:val="-3"/>
        </w:rPr>
        <w:t> </w:t>
      </w:r>
      <w:r>
        <w:rPr/>
        <w:t>following is</w:t>
      </w:r>
      <w:r>
        <w:rPr>
          <w:spacing w:val="-1"/>
        </w:rPr>
        <w:t> </w:t>
      </w:r>
      <w:r>
        <w:rPr/>
        <w:t>criteria for the representatives</w:t>
      </w:r>
      <w:r>
        <w:rPr>
          <w:spacing w:val="-1"/>
        </w:rPr>
        <w:t> </w:t>
      </w:r>
      <w:r>
        <w:rPr/>
        <w:t>to follow when it involves</w:t>
      </w:r>
      <w:r>
        <w:rPr>
          <w:spacing w:val="-1"/>
        </w:rPr>
        <w:t> </w:t>
      </w:r>
      <w:r>
        <w:rPr/>
        <w:t>crediting of </w:t>
      </w:r>
      <w:r>
        <w:rPr>
          <w:spacing w:val="-2"/>
        </w:rPr>
        <w:t>fees: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220" w:after="0"/>
        <w:ind w:left="708" w:right="0" w:hanging="189"/>
        <w:jc w:val="left"/>
        <w:rPr>
          <w:sz w:val="20"/>
        </w:rPr>
      </w:pPr>
      <w:r>
        <w:rPr>
          <w:sz w:val="20"/>
        </w:rPr>
        <w:t>No fee is</w:t>
      </w:r>
      <w:r>
        <w:rPr>
          <w:spacing w:val="-1"/>
          <w:sz w:val="20"/>
        </w:rPr>
        <w:t> </w:t>
      </w:r>
      <w:r>
        <w:rPr>
          <w:sz w:val="20"/>
        </w:rPr>
        <w:t>waived if payment is</w:t>
      </w:r>
      <w:r>
        <w:rPr>
          <w:spacing w:val="-1"/>
          <w:sz w:val="20"/>
        </w:rPr>
        <w:t> </w:t>
      </w:r>
      <w:r>
        <w:rPr>
          <w:sz w:val="20"/>
        </w:rPr>
        <w:t>due and no payment is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made.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20" w:after="0"/>
        <w:ind w:left="708" w:right="0" w:hanging="189"/>
        <w:jc w:val="left"/>
        <w:rPr>
          <w:sz w:val="20"/>
        </w:rPr>
      </w:pPr>
      <w:r>
        <w:rPr>
          <w:sz w:val="20"/>
        </w:rPr>
        <w:t>Account</w:t>
      </w:r>
      <w:r>
        <w:rPr>
          <w:spacing w:val="-1"/>
          <w:sz w:val="20"/>
        </w:rPr>
        <w:t> </w:t>
      </w:r>
      <w:r>
        <w:rPr>
          <w:sz w:val="20"/>
        </w:rPr>
        <w:t>must be noted that credit was</w:t>
      </w:r>
      <w:r>
        <w:rPr>
          <w:spacing w:val="-1"/>
          <w:sz w:val="20"/>
        </w:rPr>
        <w:t> </w:t>
      </w:r>
      <w:r>
        <w:rPr>
          <w:sz w:val="20"/>
        </w:rPr>
        <w:t>given on the </w:t>
      </w:r>
      <w:r>
        <w:rPr>
          <w:spacing w:val="-2"/>
          <w:sz w:val="20"/>
        </w:rPr>
        <w:t>account.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40" w:lineRule="auto" w:before="20" w:after="0"/>
        <w:ind w:left="708" w:right="0" w:hanging="189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credits</w:t>
      </w:r>
      <w:r>
        <w:rPr>
          <w:spacing w:val="-1"/>
          <w:sz w:val="20"/>
        </w:rPr>
        <w:t> </w:t>
      </w:r>
      <w:r>
        <w:rPr>
          <w:sz w:val="20"/>
        </w:rPr>
        <w:t>given on</w:t>
      </w:r>
      <w:r>
        <w:rPr>
          <w:spacing w:val="-1"/>
          <w:sz w:val="20"/>
        </w:rPr>
        <w:t> </w:t>
      </w:r>
      <w:r>
        <w:rPr>
          <w:sz w:val="20"/>
        </w:rPr>
        <w:t>promise to send </w:t>
      </w:r>
      <w:r>
        <w:rPr>
          <w:spacing w:val="-2"/>
          <w:sz w:val="20"/>
        </w:rPr>
        <w:t>payment.</w:t>
      </w:r>
    </w:p>
    <w:p>
      <w:pPr>
        <w:pStyle w:val="BodyText"/>
        <w:spacing w:line="261" w:lineRule="auto" w:before="220"/>
        <w:ind w:left="109" w:right="174"/>
      </w:pP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guidelines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representative</w:t>
      </w:r>
      <w:r>
        <w:rPr>
          <w:spacing w:val="-2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Exceptions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approval</w:t>
      </w:r>
      <w:r>
        <w:rPr>
          <w:spacing w:val="-2"/>
        </w:rPr>
        <w:t> </w:t>
      </w:r>
      <w:r>
        <w:rPr/>
        <w:t>of the manager. (restrictions were not placed on approval amounts for management)</w:t>
      </w:r>
    </w:p>
    <w:p>
      <w:pPr>
        <w:pStyle w:val="BodyText"/>
      </w:pPr>
    </w:p>
    <w:p>
      <w:pPr>
        <w:pStyle w:val="BodyText"/>
        <w:spacing w:before="186"/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0"/>
        <w:gridCol w:w="4905"/>
      </w:tblGrid>
      <w:tr>
        <w:trPr>
          <w:trHeight w:val="675" w:hRule="atLeast"/>
        </w:trPr>
        <w:tc>
          <w:tcPr>
            <w:tcW w:w="4890" w:type="dxa"/>
          </w:tcPr>
          <w:p>
            <w:pPr>
              <w:pStyle w:val="TableParagraph"/>
              <w:spacing w:before="147"/>
              <w:rPr>
                <w:rFonts w:ascii="Leelawadee UI Semilight"/>
                <w:b w:val="0"/>
                <w:sz w:val="29"/>
              </w:rPr>
            </w:pPr>
            <w:r>
              <w:rPr>
                <w:rFonts w:ascii="Leelawadee UI Semilight"/>
                <w:b w:val="0"/>
                <w:sz w:val="29"/>
              </w:rPr>
              <w:t>Late</w:t>
            </w:r>
            <w:r>
              <w:rPr>
                <w:rFonts w:ascii="Leelawadee UI Semilight"/>
                <w:b w:val="0"/>
                <w:spacing w:val="-1"/>
                <w:sz w:val="29"/>
              </w:rPr>
              <w:t> </w:t>
            </w:r>
            <w:r>
              <w:rPr>
                <w:rFonts w:ascii="Leelawadee UI Semilight"/>
                <w:b w:val="0"/>
                <w:spacing w:val="-5"/>
                <w:sz w:val="29"/>
              </w:rPr>
              <w:t>Fee</w:t>
            </w:r>
          </w:p>
        </w:tc>
        <w:tc>
          <w:tcPr>
            <w:tcW w:w="4905" w:type="dxa"/>
          </w:tcPr>
          <w:p>
            <w:pPr>
              <w:pStyle w:val="TableParagraph"/>
              <w:spacing w:before="112"/>
              <w:ind w:left="134"/>
              <w:rPr>
                <w:sz w:val="20"/>
              </w:rPr>
            </w:pPr>
            <w:r>
              <w:rPr>
                <w:sz w:val="20"/>
              </w:rPr>
              <w:t>One (1) late fee credit allowed per loan </w:t>
            </w:r>
            <w:r>
              <w:rPr>
                <w:spacing w:val="-4"/>
                <w:sz w:val="20"/>
              </w:rPr>
              <w:t>term</w:t>
            </w:r>
          </w:p>
        </w:tc>
      </w:tr>
      <w:tr>
        <w:trPr>
          <w:trHeight w:val="675" w:hRule="atLeast"/>
        </w:trPr>
        <w:tc>
          <w:tcPr>
            <w:tcW w:w="4890" w:type="dxa"/>
          </w:tcPr>
          <w:p>
            <w:pPr>
              <w:pStyle w:val="TableParagraph"/>
              <w:spacing w:before="150"/>
              <w:rPr>
                <w:rFonts w:ascii="Leelawadee UI Semilight"/>
                <w:b w:val="0"/>
                <w:sz w:val="29"/>
              </w:rPr>
            </w:pPr>
            <w:r>
              <w:rPr>
                <w:rFonts w:ascii="Leelawadee UI Semilight"/>
                <w:b w:val="0"/>
                <w:sz w:val="29"/>
              </w:rPr>
              <w:t>Annual</w:t>
            </w:r>
            <w:r>
              <w:rPr>
                <w:rFonts w:ascii="Leelawadee UI Semilight"/>
                <w:b w:val="0"/>
                <w:spacing w:val="-1"/>
                <w:sz w:val="29"/>
              </w:rPr>
              <w:t> </w:t>
            </w:r>
            <w:r>
              <w:rPr>
                <w:rFonts w:ascii="Leelawadee UI Semilight"/>
                <w:b w:val="0"/>
                <w:spacing w:val="-5"/>
                <w:sz w:val="29"/>
              </w:rPr>
              <w:t>Fee</w:t>
            </w:r>
          </w:p>
        </w:tc>
        <w:tc>
          <w:tcPr>
            <w:tcW w:w="4905" w:type="dxa"/>
          </w:tcPr>
          <w:p>
            <w:pPr>
              <w:pStyle w:val="TableParagraph"/>
              <w:spacing w:before="115"/>
              <w:ind w:left="134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are not billed for this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program</w:t>
            </w:r>
          </w:p>
        </w:tc>
      </w:tr>
      <w:tr>
        <w:trPr>
          <w:trHeight w:val="705" w:hRule="atLeast"/>
        </w:trPr>
        <w:tc>
          <w:tcPr>
            <w:tcW w:w="4890" w:type="dxa"/>
          </w:tcPr>
          <w:p>
            <w:pPr>
              <w:pStyle w:val="TableParagraph"/>
              <w:spacing w:before="153"/>
              <w:rPr>
                <w:rFonts w:ascii="Leelawadee UI Semilight"/>
                <w:b w:val="0"/>
                <w:sz w:val="29"/>
              </w:rPr>
            </w:pPr>
            <w:r>
              <w:rPr>
                <w:rFonts w:ascii="Leelawadee UI Semilight"/>
                <w:b w:val="0"/>
                <w:sz w:val="29"/>
              </w:rPr>
              <w:t>Return</w:t>
            </w:r>
            <w:r>
              <w:rPr>
                <w:rFonts w:ascii="Leelawadee UI Semilight"/>
                <w:b w:val="0"/>
                <w:spacing w:val="-2"/>
                <w:sz w:val="29"/>
              </w:rPr>
              <w:t> </w:t>
            </w:r>
            <w:r>
              <w:rPr>
                <w:rFonts w:ascii="Leelawadee UI Semilight"/>
                <w:b w:val="0"/>
                <w:sz w:val="29"/>
              </w:rPr>
              <w:t>Payment</w:t>
            </w:r>
            <w:r>
              <w:rPr>
                <w:rFonts w:ascii="Leelawadee UI Semilight"/>
                <w:b w:val="0"/>
                <w:spacing w:val="-1"/>
                <w:sz w:val="29"/>
              </w:rPr>
              <w:t> </w:t>
            </w:r>
            <w:r>
              <w:rPr>
                <w:rFonts w:ascii="Leelawadee UI Semilight"/>
                <w:b w:val="0"/>
                <w:spacing w:val="-5"/>
                <w:sz w:val="29"/>
              </w:rPr>
              <w:t>Fee</w:t>
            </w:r>
          </w:p>
        </w:tc>
        <w:tc>
          <w:tcPr>
            <w:tcW w:w="4905" w:type="dxa"/>
          </w:tcPr>
          <w:p>
            <w:pPr>
              <w:pStyle w:val="TableParagraph"/>
              <w:spacing w:before="118"/>
              <w:ind w:left="134" w:right="82"/>
              <w:rPr>
                <w:sz w:val="20"/>
              </w:rPr>
            </w:pPr>
            <w:r>
              <w:rPr>
                <w:sz w:val="20"/>
              </w:rPr>
              <w:t>The only time we will credit a Return Payment Fee is if 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billed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TCI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iCreditWorks</w:t>
            </w:r>
          </w:p>
        </w:tc>
      </w:tr>
      <w:tr>
        <w:trPr>
          <w:trHeight w:val="1110" w:hRule="atLeast"/>
        </w:trPr>
        <w:tc>
          <w:tcPr>
            <w:tcW w:w="4890" w:type="dxa"/>
          </w:tcPr>
          <w:p>
            <w:pPr>
              <w:pStyle w:val="TableParagraph"/>
              <w:spacing w:line="273" w:lineRule="auto" w:before="148"/>
              <w:rPr>
                <w:rFonts w:ascii="Leelawadee UI Semilight"/>
                <w:b w:val="0"/>
                <w:sz w:val="29"/>
              </w:rPr>
            </w:pPr>
            <w:r>
              <w:rPr>
                <w:rFonts w:ascii="Leelawadee UI Semilight"/>
                <w:b w:val="0"/>
                <w:sz w:val="29"/>
              </w:rPr>
              <w:t>Non-Sufficient</w:t>
            </w:r>
            <w:r>
              <w:rPr>
                <w:rFonts w:ascii="Leelawadee UI Semilight"/>
                <w:b w:val="0"/>
                <w:spacing w:val="-20"/>
                <w:sz w:val="29"/>
              </w:rPr>
              <w:t> </w:t>
            </w:r>
            <w:r>
              <w:rPr>
                <w:rFonts w:ascii="Leelawadee UI Semilight"/>
                <w:b w:val="0"/>
                <w:sz w:val="29"/>
              </w:rPr>
              <w:t>Funds </w:t>
            </w:r>
            <w:r>
              <w:rPr>
                <w:rFonts w:ascii="Leelawadee UI Semilight"/>
                <w:b w:val="0"/>
                <w:spacing w:val="-2"/>
                <w:sz w:val="29"/>
              </w:rPr>
              <w:t>(NSF)/Overdraft(OD)</w:t>
            </w:r>
          </w:p>
        </w:tc>
        <w:tc>
          <w:tcPr>
            <w:tcW w:w="4905" w:type="dxa"/>
          </w:tcPr>
          <w:p>
            <w:pPr>
              <w:pStyle w:val="TableParagraph"/>
              <w:spacing w:before="112"/>
              <w:ind w:left="134"/>
              <w:rPr>
                <w:sz w:val="20"/>
              </w:rPr>
            </w:pPr>
            <w:r>
              <w:rPr>
                <w:sz w:val="20"/>
              </w:rPr>
              <w:t>iCreditWorks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 determine if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fee 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eligible for </w:t>
            </w:r>
            <w:r>
              <w:rPr>
                <w:spacing w:val="-2"/>
                <w:sz w:val="20"/>
              </w:rPr>
              <w:t>refund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0"/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5"/>
        <w:gridCol w:w="1770"/>
        <w:gridCol w:w="4455"/>
        <w:gridCol w:w="1785"/>
      </w:tblGrid>
      <w:tr>
        <w:trPr>
          <w:trHeight w:val="570" w:hRule="atLeast"/>
        </w:trPr>
        <w:tc>
          <w:tcPr>
            <w:tcW w:w="1785" w:type="dxa"/>
            <w:tcBorders>
              <w:right w:val="nil"/>
            </w:tcBorders>
          </w:tcPr>
          <w:p>
            <w:pPr>
              <w:pStyle w:val="TableParagraph"/>
              <w:spacing w:before="172"/>
              <w:ind w:left="5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Version</w:t>
            </w:r>
          </w:p>
        </w:tc>
        <w:tc>
          <w:tcPr>
            <w:tcW w:w="177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72"/>
              <w:ind w:left="466"/>
              <w:rPr>
                <w:b/>
                <w:sz w:val="18"/>
              </w:rPr>
            </w:pPr>
            <w:r>
              <w:rPr>
                <w:b/>
                <w:sz w:val="18"/>
              </w:rPr>
              <w:t>Revised </w:t>
            </w:r>
            <w:r>
              <w:rPr>
                <w:b/>
                <w:spacing w:val="-5"/>
                <w:sz w:val="18"/>
              </w:rPr>
              <w:t>By</w:t>
            </w:r>
          </w:p>
        </w:tc>
        <w:tc>
          <w:tcPr>
            <w:tcW w:w="4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72"/>
              <w:ind w:left="1192"/>
              <w:rPr>
                <w:b/>
                <w:sz w:val="18"/>
              </w:rPr>
            </w:pPr>
            <w:r>
              <w:rPr>
                <w:b/>
                <w:sz w:val="18"/>
              </w:rPr>
              <w:t>Brief Summary of </w:t>
            </w:r>
            <w:r>
              <w:rPr>
                <w:b/>
                <w:spacing w:val="-2"/>
                <w:sz w:val="18"/>
              </w:rPr>
              <w:t>Changes</w:t>
            </w:r>
          </w:p>
        </w:tc>
        <w:tc>
          <w:tcPr>
            <w:tcW w:w="1785" w:type="dxa"/>
            <w:tcBorders>
              <w:left w:val="nil"/>
            </w:tcBorders>
          </w:tcPr>
          <w:p>
            <w:pPr>
              <w:pStyle w:val="TableParagraph"/>
              <w:spacing w:before="172"/>
              <w:ind w:left="365"/>
              <w:rPr>
                <w:b/>
                <w:sz w:val="18"/>
              </w:rPr>
            </w:pPr>
            <w:r>
              <w:rPr>
                <w:b/>
                <w:sz w:val="18"/>
              </w:rPr>
              <w:t>Revision </w:t>
            </w:r>
            <w:r>
              <w:rPr>
                <w:b/>
                <w:spacing w:val="-4"/>
                <w:sz w:val="18"/>
              </w:rPr>
              <w:t>Date</w:t>
            </w:r>
          </w:p>
        </w:tc>
      </w:tr>
      <w:tr>
        <w:trPr>
          <w:trHeight w:val="540" w:hRule="atLeast"/>
        </w:trPr>
        <w:tc>
          <w:tcPr>
            <w:tcW w:w="1785" w:type="dxa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70" w:type="dxa"/>
          </w:tcPr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z w:val="16"/>
              </w:rPr>
              <w:t>Paul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Fretham</w:t>
            </w:r>
          </w:p>
        </w:tc>
        <w:tc>
          <w:tcPr>
            <w:tcW w:w="4455" w:type="dxa"/>
          </w:tcPr>
          <w:p>
            <w:pPr>
              <w:pStyle w:val="TableParagraph"/>
              <w:ind w:left="89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2"/>
                <w:sz w:val="16"/>
              </w:rPr>
              <w:t> Policy</w:t>
            </w:r>
          </w:p>
        </w:tc>
        <w:tc>
          <w:tcPr>
            <w:tcW w:w="1785" w:type="dxa"/>
          </w:tcPr>
          <w:p>
            <w:pPr>
              <w:pStyle w:val="TableParagraph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5/6/19</w:t>
            </w:r>
          </w:p>
        </w:tc>
      </w:tr>
    </w:tbl>
    <w:p>
      <w:pPr>
        <w:pStyle w:val="BodyText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781050</wp:posOffset>
                </wp:positionH>
                <wp:positionV relativeFrom="paragraph">
                  <wp:posOffset>219075</wp:posOffset>
                </wp:positionV>
                <wp:extent cx="6229350" cy="190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29350" cy="19050"/>
                          <a:chExt cx="622935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6229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0" h="19050">
                                <a:moveTo>
                                  <a:pt x="6229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6219825" y="9525"/>
                                </a:lnTo>
                                <a:lnTo>
                                  <a:pt x="622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69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229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0" h="19050">
                                <a:moveTo>
                                  <a:pt x="6229350" y="0"/>
                                </a:moveTo>
                                <a:lnTo>
                                  <a:pt x="621982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229350" y="19050"/>
                                </a:lnTo>
                                <a:lnTo>
                                  <a:pt x="622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pt;margin-top:17.250011pt;width:490.5pt;height:1.5pt;mso-position-horizontal-relative:page;mso-position-vertical-relative:paragraph;z-index:-15728640;mso-wrap-distance-left:0;mso-wrap-distance-right:0" id="docshapegroup1" coordorigin="1230,345" coordsize="9810,30">
                <v:shape style="position:absolute;left:1230;top:345;width:9810;height:30" id="docshape2" coordorigin="1230,345" coordsize="9810,30" path="m11040,345l1230,345,1230,375,1245,360,11025,360,11040,345xe" filled="true" fillcolor="#696969" stroked="false">
                  <v:path arrowok="t"/>
                  <v:fill type="solid"/>
                </v:shape>
                <v:shape style="position:absolute;left:1230;top:345;width:9810;height:30" id="docshape3" coordorigin="1230,345" coordsize="9810,30" path="m11040,345l11025,360,1245,360,1230,375,11040,375,11040,345xe" filled="true" fillcolor="#efefe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1" w:lineRule="auto" w:before="103"/>
        <w:ind w:left="109" w:right="6452"/>
      </w:pPr>
      <w:r>
        <w:rPr/>
        <w:t>Last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by</w:t>
      </w:r>
      <w:r>
        <w:rPr>
          <w:spacing w:val="80"/>
        </w:rPr>
        <w:t> </w:t>
      </w:r>
      <w:r>
        <w:rPr/>
        <w:t>on Next Review Date: 6/1/2020</w:t>
      </w:r>
    </w:p>
    <w:sectPr>
      <w:type w:val="continuous"/>
      <w:pgSz w:w="12240" w:h="15840"/>
      <w:pgMar w:top="1040" w:bottom="280" w:left="11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eelawadee UI Semilight">
    <w:altName w:val="Leelawadee UI Semilight"/>
    <w:charset w:val="0"/>
    <w:family w:val="swiss"/>
    <w:pitch w:val="variable"/>
  </w:font>
  <w:font w:name="Gadugi">
    <w:altName w:val="Gadug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09" w:hanging="19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2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8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2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 w:line="379" w:lineRule="exact"/>
      <w:ind w:left="124"/>
    </w:pPr>
    <w:rPr>
      <w:rFonts w:ascii="Leelawadee UI Semilight" w:hAnsi="Leelawadee UI Semilight" w:eastAsia="Leelawadee UI Semilight" w:cs="Leelawadee UI Semiligh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708" w:hanging="1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8"/>
      <w:ind w:left="12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pfretham</dc:creator>
  <dc:title>https://knowledgebase.totalcardinc.com/PoliciesProcedures/Pages</dc:title>
  <dcterms:created xsi:type="dcterms:W3CDTF">2024-04-03T13:06:43Z</dcterms:created>
  <dcterms:modified xsi:type="dcterms:W3CDTF">2024-04-03T13:06:43Z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LastSaved">
    <vt:filetime>2024-04-03T00:00:00Z</vt:filetime>
  </property>
  <property fmtid="{D5CDD505-2E9C-101B-9397-08002B2CF9AE}" pid="4" name="Producer">
    <vt:lpwstr>Microsoft: Print To PDF</vt:lpwstr>
  </property>
</Properties>
</file>