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rPr>
          <w:b w:val="0"/>
        </w:rPr>
      </w:pPr>
      <w:r>
        <w:rPr>
          <w:b w:val="0"/>
        </w:rPr>
        <w:t>Active</w:t>
      </w:r>
      <w:r>
        <w:rPr>
          <w:b w:val="0"/>
          <w:spacing w:val="-1"/>
        </w:rPr>
        <w:t> </w:t>
      </w:r>
      <w:r>
        <w:rPr>
          <w:b w:val="0"/>
        </w:rPr>
        <w:t>Duty</w:t>
      </w:r>
      <w:r>
        <w:rPr>
          <w:b w:val="0"/>
          <w:spacing w:val="-1"/>
        </w:rPr>
        <w:t> </w:t>
      </w:r>
      <w:r>
        <w:rPr>
          <w:b w:val="0"/>
        </w:rPr>
        <w:t>Alerts </w:t>
      </w:r>
      <w:r>
        <w:rPr>
          <w:b w:val="0"/>
          <w:spacing w:val="-2"/>
        </w:rPr>
        <w:t>Policy</w:t>
      </w:r>
    </w:p>
    <w:p>
      <w:pPr>
        <w:spacing w:line="281" w:lineRule="exact" w:before="0"/>
        <w:ind w:left="124" w:right="0" w:firstLine="0"/>
        <w:jc w:val="left"/>
        <w:rPr>
          <w:rFonts w:ascii="Leelawadee UI Semilight"/>
          <w:b w:val="0"/>
          <w:sz w:val="23"/>
        </w:rPr>
      </w:pPr>
      <w:r>
        <w:rPr>
          <w:rFonts w:ascii="Leelawadee UI Semilight"/>
          <w:b w:val="0"/>
          <w:sz w:val="23"/>
        </w:rPr>
        <w:t>Collections;</w:t>
      </w:r>
      <w:r>
        <w:rPr>
          <w:rFonts w:ascii="Leelawadee UI Semilight"/>
          <w:b w:val="0"/>
          <w:spacing w:val="-1"/>
          <w:sz w:val="23"/>
        </w:rPr>
        <w:t> </w:t>
      </w:r>
      <w:r>
        <w:rPr>
          <w:rFonts w:ascii="Leelawadee UI Semilight"/>
          <w:b w:val="0"/>
          <w:sz w:val="23"/>
        </w:rPr>
        <w:t>Customer</w:t>
      </w:r>
      <w:r>
        <w:rPr>
          <w:rFonts w:ascii="Leelawadee UI Semilight"/>
          <w:b w:val="0"/>
          <w:spacing w:val="-2"/>
          <w:sz w:val="23"/>
        </w:rPr>
        <w:t> </w:t>
      </w:r>
      <w:r>
        <w:rPr>
          <w:rFonts w:ascii="Leelawadee UI Semilight"/>
          <w:b w:val="0"/>
          <w:sz w:val="23"/>
        </w:rPr>
        <w:t>Service;</w:t>
      </w:r>
      <w:r>
        <w:rPr>
          <w:rFonts w:ascii="Leelawadee UI Semilight"/>
          <w:b w:val="0"/>
          <w:spacing w:val="-1"/>
          <w:sz w:val="23"/>
        </w:rPr>
        <w:t> </w:t>
      </w:r>
      <w:r>
        <w:rPr>
          <w:rFonts w:ascii="Leelawadee UI Semilight"/>
          <w:b w:val="0"/>
          <w:sz w:val="23"/>
        </w:rPr>
        <w:t>Transaction</w:t>
      </w:r>
      <w:r>
        <w:rPr>
          <w:rFonts w:ascii="Leelawadee UI Semilight"/>
          <w:b w:val="0"/>
          <w:spacing w:val="-1"/>
          <w:sz w:val="23"/>
        </w:rPr>
        <w:t> </w:t>
      </w:r>
      <w:r>
        <w:rPr>
          <w:rFonts w:ascii="Leelawadee UI Semilight"/>
          <w:b w:val="0"/>
          <w:spacing w:val="-2"/>
          <w:sz w:val="23"/>
        </w:rPr>
        <w:t>Services</w:t>
      </w:r>
    </w:p>
    <w:p>
      <w:pPr>
        <w:pStyle w:val="BodyText"/>
        <w:spacing w:line="247" w:lineRule="exact"/>
        <w:ind w:left="124"/>
        <w:rPr>
          <w:rFonts w:ascii="Gadugi"/>
        </w:rPr>
      </w:pPr>
      <w:r>
        <w:rPr>
          <w:rFonts w:ascii="Gadugi"/>
        </w:rPr>
        <w:t>Policy</w:t>
      </w:r>
      <w:r>
        <w:rPr>
          <w:rFonts w:ascii="Gadugi"/>
          <w:spacing w:val="-3"/>
        </w:rPr>
        <w:t> </w:t>
      </w:r>
      <w:r>
        <w:rPr>
          <w:rFonts w:ascii="Gadugi"/>
        </w:rPr>
        <w:t>Owner:</w:t>
      </w:r>
      <w:r>
        <w:rPr>
          <w:rFonts w:ascii="Gadugi"/>
          <w:spacing w:val="-2"/>
        </w:rPr>
        <w:t> iCreditWorks</w:t>
      </w:r>
    </w:p>
    <w:p>
      <w:pPr>
        <w:pStyle w:val="BodyText"/>
        <w:ind w:left="124" w:right="6452"/>
        <w:rPr>
          <w:rFonts w:ascii="Gadugi"/>
        </w:rPr>
      </w:pPr>
      <w:r>
        <w:rPr>
          <w:rFonts w:ascii="Gadugi"/>
        </w:rPr>
        <w:t>Servicing</w:t>
      </w:r>
      <w:r>
        <w:rPr>
          <w:rFonts w:ascii="Gadugi"/>
          <w:spacing w:val="-9"/>
        </w:rPr>
        <w:t> </w:t>
      </w:r>
      <w:r>
        <w:rPr>
          <w:rFonts w:ascii="Gadugi"/>
        </w:rPr>
        <w:t>Agent:</w:t>
      </w:r>
      <w:r>
        <w:rPr>
          <w:rFonts w:ascii="Gadugi"/>
          <w:spacing w:val="-10"/>
        </w:rPr>
        <w:t> </w:t>
      </w:r>
      <w:r>
        <w:rPr>
          <w:rFonts w:ascii="Gadugi"/>
        </w:rPr>
        <w:t>Total</w:t>
      </w:r>
      <w:r>
        <w:rPr>
          <w:rFonts w:ascii="Gadugi"/>
          <w:spacing w:val="-10"/>
        </w:rPr>
        <w:t> </w:t>
      </w:r>
      <w:r>
        <w:rPr>
          <w:rFonts w:ascii="Gadugi"/>
        </w:rPr>
        <w:t>Card,</w:t>
      </w:r>
      <w:r>
        <w:rPr>
          <w:rFonts w:ascii="Gadugi"/>
          <w:spacing w:val="-10"/>
        </w:rPr>
        <w:t> </w:t>
      </w:r>
      <w:r>
        <w:rPr>
          <w:rFonts w:ascii="Gadugi"/>
        </w:rPr>
        <w:t>Inc. Product: </w:t>
      </w:r>
      <w:r>
        <w:rPr>
          <w:rFonts w:ascii="Gadugi"/>
          <w:color w:val="0000FF"/>
          <w:u w:val="single" w:color="0000FF"/>
        </w:rPr>
        <w:t>iCreditWorks</w:t>
      </w:r>
    </w:p>
    <w:p>
      <w:pPr>
        <w:pStyle w:val="BodyText"/>
        <w:ind w:left="124"/>
        <w:rPr>
          <w:rFonts w:ascii="Gadugi"/>
        </w:rPr>
      </w:pPr>
      <w:r>
        <w:rPr>
          <w:rFonts w:ascii="Gadugi"/>
          <w:spacing w:val="-4"/>
        </w:rPr>
        <w:t>BIN:</w:t>
      </w:r>
    </w:p>
    <w:p>
      <w:pPr>
        <w:pStyle w:val="BodyText"/>
        <w:rPr>
          <w:rFonts w:ascii="Gadugi"/>
        </w:rPr>
      </w:pPr>
    </w:p>
    <w:p>
      <w:pPr>
        <w:pStyle w:val="BodyText"/>
        <w:spacing w:before="183"/>
        <w:rPr>
          <w:rFonts w:ascii="Gadugi"/>
        </w:rPr>
      </w:pPr>
    </w:p>
    <w:p>
      <w:pPr>
        <w:pStyle w:val="Heading1"/>
        <w:spacing w:before="1"/>
        <w:ind w:left="110"/>
      </w:pPr>
      <w:r>
        <w:rPr>
          <w:spacing w:val="-2"/>
        </w:rPr>
        <w:t>Background</w:t>
      </w:r>
    </w:p>
    <w:p>
      <w:pPr>
        <w:pStyle w:val="BodyText"/>
        <w:spacing w:line="261" w:lineRule="auto" w:before="20"/>
        <w:ind w:left="109" w:right="101"/>
      </w:pPr>
      <w:r>
        <w:rPr/>
        <w:t>Amendments to the Fair Credit Reporting Act allow any members of the military who are deployed from their regular posting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place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"active</w:t>
      </w:r>
      <w:r>
        <w:rPr>
          <w:spacing w:val="-2"/>
        </w:rPr>
        <w:t> </w:t>
      </w:r>
      <w:r>
        <w:rPr/>
        <w:t>duty</w:t>
      </w:r>
      <w:r>
        <w:rPr>
          <w:spacing w:val="-2"/>
        </w:rPr>
        <w:t> </w:t>
      </w:r>
      <w:r>
        <w:rPr/>
        <w:t>alert"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credit</w:t>
      </w:r>
      <w:r>
        <w:rPr>
          <w:spacing w:val="-2"/>
        </w:rPr>
        <w:t> </w:t>
      </w:r>
      <w:r>
        <w:rPr/>
        <w:t>reports.</w:t>
      </w:r>
      <w:r>
        <w:rPr>
          <w:spacing w:val="40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2"/>
        </w:rPr>
        <w:t> </w:t>
      </w:r>
      <w:r>
        <w:rPr/>
        <w:t>measure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help</w:t>
      </w:r>
      <w:r>
        <w:rPr>
          <w:spacing w:val="-2"/>
        </w:rPr>
        <w:t> </w:t>
      </w:r>
      <w:r>
        <w:rPr/>
        <w:t>protect</w:t>
      </w:r>
      <w:r>
        <w:rPr>
          <w:spacing w:val="-2"/>
        </w:rPr>
        <w:t> </w:t>
      </w:r>
      <w:r>
        <w:rPr/>
        <w:t>against</w:t>
      </w:r>
      <w:r>
        <w:rPr>
          <w:spacing w:val="-2"/>
        </w:rPr>
        <w:t> </w:t>
      </w:r>
      <w:r>
        <w:rPr/>
        <w:t>identity</w:t>
      </w:r>
      <w:r>
        <w:rPr>
          <w:spacing w:val="-2"/>
        </w:rPr>
        <w:t> </w:t>
      </w:r>
      <w:r>
        <w:rPr/>
        <w:t>theft for deployed military personnel because they might not be aware of problems occurring while they are overseas.</w:t>
      </w:r>
    </w:p>
    <w:p>
      <w:pPr>
        <w:pStyle w:val="BodyText"/>
        <w:spacing w:line="261" w:lineRule="auto" w:before="197"/>
        <w:ind w:left="109"/>
      </w:pPr>
      <w:r>
        <w:rPr/>
        <w:t>In</w:t>
      </w:r>
      <w:r>
        <w:rPr>
          <w:spacing w:val="-2"/>
        </w:rPr>
        <w:t> </w:t>
      </w:r>
      <w:r>
        <w:rPr/>
        <w:t>order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place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alert,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military</w:t>
      </w:r>
      <w:r>
        <w:rPr>
          <w:spacing w:val="-2"/>
        </w:rPr>
        <w:t> </w:t>
      </w:r>
      <w:r>
        <w:rPr/>
        <w:t>personnel</w:t>
      </w:r>
      <w:r>
        <w:rPr>
          <w:spacing w:val="-2"/>
        </w:rPr>
        <w:t> </w:t>
      </w:r>
      <w:r>
        <w:rPr/>
        <w:t>and/or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designated</w:t>
      </w:r>
      <w:r>
        <w:rPr>
          <w:spacing w:val="-2"/>
        </w:rPr>
        <w:t> </w:t>
      </w:r>
      <w:r>
        <w:rPr/>
        <w:t>representative</w:t>
      </w:r>
      <w:r>
        <w:rPr>
          <w:spacing w:val="-2"/>
        </w:rPr>
        <w:t> </w:t>
      </w:r>
      <w:r>
        <w:rPr/>
        <w:t>need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>
          <w:color w:val="0000FF"/>
          <w:u w:val="single" w:color="0000FF"/>
        </w:rPr>
        <w:t>contact</w:t>
      </w:r>
      <w:r>
        <w:rPr>
          <w:color w:val="0000FF"/>
          <w:spacing w:val="-2"/>
          <w:u w:val="single" w:color="0000FF"/>
        </w:rPr>
        <w:t> </w:t>
      </w:r>
      <w:r>
        <w:rPr/>
        <w:t>of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three major credit reporting companies and request an active duty alert.</w:t>
      </w:r>
    </w:p>
    <w:p>
      <w:pPr>
        <w:pStyle w:val="BodyText"/>
        <w:spacing w:line="261" w:lineRule="auto" w:before="199"/>
        <w:ind w:left="109" w:right="101"/>
      </w:pPr>
      <w:r>
        <w:rPr/>
        <w:t>Any business</w:t>
      </w:r>
      <w:r>
        <w:rPr>
          <w:spacing w:val="-1"/>
        </w:rPr>
        <w:t> </w:t>
      </w:r>
      <w:r>
        <w:rPr/>
        <w:t>that is</w:t>
      </w:r>
      <w:r>
        <w:rPr>
          <w:spacing w:val="-1"/>
        </w:rPr>
        <w:t> </w:t>
      </w:r>
      <w:r>
        <w:rPr/>
        <w:t>approached about granting credit in a name on the Active Duty List must verify the identity before issuing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credit.</w:t>
      </w:r>
      <w:r>
        <w:rPr>
          <w:spacing w:val="40"/>
        </w:rPr>
        <w:t> </w:t>
      </w:r>
      <w:r>
        <w:rPr/>
        <w:t>Credit</w:t>
      </w:r>
      <w:r>
        <w:rPr>
          <w:spacing w:val="-3"/>
        </w:rPr>
        <w:t> </w:t>
      </w:r>
      <w:r>
        <w:rPr/>
        <w:t>reporting</w:t>
      </w:r>
      <w:r>
        <w:rPr>
          <w:spacing w:val="-3"/>
        </w:rPr>
        <w:t> </w:t>
      </w:r>
      <w:r>
        <w:rPr/>
        <w:t>agencies</w:t>
      </w:r>
      <w:r>
        <w:rPr>
          <w:spacing w:val="-4"/>
        </w:rPr>
        <w:t> </w:t>
      </w:r>
      <w:r>
        <w:rPr/>
        <w:t>must</w:t>
      </w:r>
      <w:r>
        <w:rPr>
          <w:spacing w:val="-3"/>
        </w:rPr>
        <w:t> </w:t>
      </w:r>
      <w:r>
        <w:rPr/>
        <w:t>also</w:t>
      </w:r>
      <w:r>
        <w:rPr>
          <w:spacing w:val="-3"/>
        </w:rPr>
        <w:t> </w:t>
      </w:r>
      <w:r>
        <w:rPr/>
        <w:t>remove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military</w:t>
      </w:r>
      <w:r>
        <w:rPr>
          <w:spacing w:val="-3"/>
        </w:rPr>
        <w:t> </w:t>
      </w:r>
      <w:r>
        <w:rPr/>
        <w:t>personnel</w:t>
      </w:r>
      <w:r>
        <w:rPr>
          <w:spacing w:val="-3"/>
        </w:rPr>
        <w:t> </w:t>
      </w:r>
      <w:r>
        <w:rPr/>
        <w:t>from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prescreened</w:t>
      </w:r>
      <w:r>
        <w:rPr>
          <w:spacing w:val="-3"/>
        </w:rPr>
        <w:t> </w:t>
      </w:r>
      <w:r>
        <w:rPr/>
        <w:t>marketing lists for credit cards and insurance for two years.</w:t>
      </w:r>
      <w:r>
        <w:rPr>
          <w:spacing w:val="40"/>
        </w:rPr>
        <w:t> </w:t>
      </w:r>
      <w:r>
        <w:rPr/>
        <w:t>The active duty alert generally lasts for a one-year period; it can be extended if deployment lasts longer than one year.</w:t>
      </w:r>
    </w:p>
    <w:p>
      <w:pPr>
        <w:pStyle w:val="BodyText"/>
      </w:pPr>
    </w:p>
    <w:p>
      <w:pPr>
        <w:pStyle w:val="BodyText"/>
        <w:spacing w:before="187"/>
      </w:pPr>
    </w:p>
    <w:p>
      <w:pPr>
        <w:pStyle w:val="Heading1"/>
      </w:pPr>
      <w:r>
        <w:rPr>
          <w:spacing w:val="-2"/>
        </w:rPr>
        <w:t>Policy</w:t>
      </w:r>
    </w:p>
    <w:p>
      <w:pPr>
        <w:pStyle w:val="BodyText"/>
        <w:spacing w:line="261" w:lineRule="auto" w:before="20"/>
        <w:ind w:left="109" w:right="101"/>
      </w:pPr>
      <w:r>
        <w:rPr/>
        <w:t>When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person</w:t>
      </w:r>
      <w:r>
        <w:rPr>
          <w:spacing w:val="-2"/>
        </w:rPr>
        <w:t> </w:t>
      </w:r>
      <w:r>
        <w:rPr/>
        <w:t>applies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an</w:t>
      </w:r>
      <w:r>
        <w:rPr>
          <w:spacing w:val="-2"/>
        </w:rPr>
        <w:t> </w:t>
      </w:r>
      <w:r>
        <w:rPr/>
        <w:t>iCreditWorks</w:t>
      </w:r>
      <w:r>
        <w:rPr>
          <w:spacing w:val="-3"/>
        </w:rPr>
        <w:t> </w:t>
      </w:r>
      <w:r>
        <w:rPr/>
        <w:t>installment</w:t>
      </w:r>
      <w:r>
        <w:rPr>
          <w:spacing w:val="-2"/>
        </w:rPr>
        <w:t> </w:t>
      </w:r>
      <w:r>
        <w:rPr/>
        <w:t>loan,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consumer</w:t>
      </w:r>
      <w:r>
        <w:rPr>
          <w:spacing w:val="-2"/>
        </w:rPr>
        <w:t> </w:t>
      </w:r>
      <w:r>
        <w:rPr/>
        <w:t>initiated</w:t>
      </w:r>
      <w:r>
        <w:rPr>
          <w:spacing w:val="-2"/>
        </w:rPr>
        <w:t> </w:t>
      </w:r>
      <w:r>
        <w:rPr/>
        <w:t>Active</w:t>
      </w:r>
      <w:r>
        <w:rPr>
          <w:spacing w:val="-2"/>
        </w:rPr>
        <w:t> </w:t>
      </w:r>
      <w:r>
        <w:rPr/>
        <w:t>Duty</w:t>
      </w:r>
      <w:r>
        <w:rPr>
          <w:spacing w:val="-2"/>
        </w:rPr>
        <w:t> </w:t>
      </w:r>
      <w:r>
        <w:rPr/>
        <w:t>Alert,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/>
        <w:t>placed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the applicant's credit report, is reported through Experian's statement codes.</w:t>
      </w:r>
      <w:r>
        <w:rPr>
          <w:spacing w:val="40"/>
        </w:rPr>
        <w:t> </w:t>
      </w:r>
      <w:r>
        <w:rPr/>
        <w:t>It is coded as "29" and defined as "ACTIVE DUTY ALERT STATEMENT."</w:t>
      </w:r>
    </w:p>
    <w:p>
      <w:pPr>
        <w:pStyle w:val="BodyText"/>
        <w:spacing w:line="261" w:lineRule="auto" w:before="198"/>
        <w:ind w:left="109"/>
      </w:pPr>
      <w:r>
        <w:rPr/>
        <w:t>The</w:t>
      </w:r>
      <w:r>
        <w:rPr>
          <w:spacing w:val="-3"/>
        </w:rPr>
        <w:t> </w:t>
      </w:r>
      <w:r>
        <w:rPr/>
        <w:t>application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pended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becomes</w:t>
      </w:r>
      <w:r>
        <w:rPr>
          <w:spacing w:val="-4"/>
        </w:rPr>
        <w:t> </w:t>
      </w:r>
      <w:r>
        <w:rPr/>
        <w:t>subject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remediation</w:t>
      </w:r>
      <w:r>
        <w:rPr>
          <w:spacing w:val="-3"/>
        </w:rPr>
        <w:t> </w:t>
      </w:r>
      <w:r>
        <w:rPr/>
        <w:t>requirements</w:t>
      </w:r>
      <w:r>
        <w:rPr>
          <w:spacing w:val="-4"/>
        </w:rPr>
        <w:t> </w:t>
      </w:r>
      <w:r>
        <w:rPr/>
        <w:t>for</w:t>
      </w:r>
      <w:r>
        <w:rPr>
          <w:spacing w:val="-3"/>
        </w:rPr>
        <w:t> </w:t>
      </w:r>
      <w:r>
        <w:rPr/>
        <w:t>applications</w:t>
      </w:r>
      <w:r>
        <w:rPr>
          <w:spacing w:val="-4"/>
        </w:rPr>
        <w:t> </w:t>
      </w:r>
      <w:r>
        <w:rPr/>
        <w:t>that</w:t>
      </w:r>
      <w:r>
        <w:rPr>
          <w:spacing w:val="-3"/>
        </w:rPr>
        <w:t> </w:t>
      </w:r>
      <w:r>
        <w:rPr/>
        <w:t>require</w:t>
      </w:r>
      <w:r>
        <w:rPr>
          <w:spacing w:val="-3"/>
        </w:rPr>
        <w:t> </w:t>
      </w:r>
      <w:r>
        <w:rPr/>
        <w:t>additional documentation or a verification follow-up phone call.</w:t>
      </w:r>
    </w:p>
    <w:p>
      <w:pPr>
        <w:pStyle w:val="BodyText"/>
      </w:pPr>
    </w:p>
    <w:p>
      <w:pPr>
        <w:pStyle w:val="BodyText"/>
        <w:spacing w:before="181"/>
      </w:pPr>
    </w:p>
    <w:tbl>
      <w:tblPr>
        <w:tblW w:w="0" w:type="auto"/>
        <w:jc w:val="left"/>
        <w:tblInd w:w="1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5"/>
        <w:gridCol w:w="1305"/>
        <w:gridCol w:w="5880"/>
        <w:gridCol w:w="1305"/>
      </w:tblGrid>
      <w:tr>
        <w:trPr>
          <w:trHeight w:val="360" w:hRule="atLeast"/>
        </w:trPr>
        <w:tc>
          <w:tcPr>
            <w:tcW w:w="1305" w:type="dxa"/>
            <w:tcBorders>
              <w:right w:val="nil"/>
            </w:tcBorders>
          </w:tcPr>
          <w:p>
            <w:pPr>
              <w:pStyle w:val="TableParagraph"/>
              <w:spacing w:before="72"/>
              <w:ind w:left="356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Version</w:t>
            </w:r>
          </w:p>
        </w:tc>
        <w:tc>
          <w:tcPr>
            <w:tcW w:w="1305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72"/>
              <w:ind w:left="233"/>
              <w:rPr>
                <w:b/>
                <w:sz w:val="18"/>
              </w:rPr>
            </w:pPr>
            <w:r>
              <w:rPr>
                <w:b/>
                <w:sz w:val="18"/>
              </w:rPr>
              <w:t>Revised </w:t>
            </w:r>
            <w:r>
              <w:rPr>
                <w:b/>
                <w:spacing w:val="-5"/>
                <w:sz w:val="18"/>
              </w:rPr>
              <w:t>By</w:t>
            </w:r>
          </w:p>
        </w:tc>
        <w:tc>
          <w:tcPr>
            <w:tcW w:w="5880" w:type="dxa"/>
            <w:tcBorders>
              <w:left w:val="nil"/>
              <w:right w:val="nil"/>
            </w:tcBorders>
          </w:tcPr>
          <w:p>
            <w:pPr>
              <w:pStyle w:val="TableParagraph"/>
              <w:spacing w:before="72"/>
              <w:ind w:left="1900"/>
              <w:rPr>
                <w:b/>
                <w:sz w:val="18"/>
              </w:rPr>
            </w:pPr>
            <w:r>
              <w:rPr>
                <w:b/>
                <w:sz w:val="18"/>
              </w:rPr>
              <w:t>Brief Summary of </w:t>
            </w:r>
            <w:r>
              <w:rPr>
                <w:b/>
                <w:spacing w:val="-2"/>
                <w:sz w:val="18"/>
              </w:rPr>
              <w:t>Changes</w:t>
            </w:r>
          </w:p>
        </w:tc>
        <w:tc>
          <w:tcPr>
            <w:tcW w:w="1305" w:type="dxa"/>
            <w:tcBorders>
              <w:left w:val="nil"/>
            </w:tcBorders>
          </w:tcPr>
          <w:p>
            <w:pPr>
              <w:pStyle w:val="TableParagraph"/>
              <w:spacing w:before="72"/>
              <w:ind w:left="123"/>
              <w:rPr>
                <w:b/>
                <w:sz w:val="18"/>
              </w:rPr>
            </w:pPr>
            <w:r>
              <w:rPr>
                <w:b/>
                <w:sz w:val="18"/>
              </w:rPr>
              <w:t>Revision </w:t>
            </w:r>
            <w:r>
              <w:rPr>
                <w:b/>
                <w:spacing w:val="-4"/>
                <w:sz w:val="18"/>
              </w:rPr>
              <w:t>Date</w:t>
            </w:r>
          </w:p>
        </w:tc>
      </w:tr>
      <w:tr>
        <w:trPr>
          <w:trHeight w:val="330" w:hRule="atLeast"/>
        </w:trPr>
        <w:tc>
          <w:tcPr>
            <w:tcW w:w="1305" w:type="dxa"/>
          </w:tcPr>
          <w:p>
            <w:pPr>
              <w:pStyle w:val="TableParagraph"/>
              <w:ind w:left="82"/>
              <w:rPr>
                <w:sz w:val="16"/>
              </w:rPr>
            </w:pPr>
            <w:r>
              <w:rPr>
                <w:spacing w:val="-10"/>
                <w:sz w:val="16"/>
              </w:rPr>
              <w:t>1</w:t>
            </w:r>
          </w:p>
        </w:tc>
        <w:tc>
          <w:tcPr>
            <w:tcW w:w="1305" w:type="dxa"/>
          </w:tcPr>
          <w:p>
            <w:pPr>
              <w:pStyle w:val="TableParagraph"/>
              <w:ind w:left="83"/>
              <w:rPr>
                <w:sz w:val="16"/>
              </w:rPr>
            </w:pPr>
            <w:r>
              <w:rPr>
                <w:sz w:val="16"/>
              </w:rPr>
              <w:t>Paul</w:t>
            </w:r>
            <w:r>
              <w:rPr>
                <w:spacing w:val="-1"/>
                <w:sz w:val="16"/>
              </w:rPr>
              <w:t> </w:t>
            </w:r>
            <w:r>
              <w:rPr>
                <w:spacing w:val="-2"/>
                <w:sz w:val="16"/>
              </w:rPr>
              <w:t>Fretham</w:t>
            </w:r>
          </w:p>
        </w:tc>
        <w:tc>
          <w:tcPr>
            <w:tcW w:w="5880" w:type="dxa"/>
          </w:tcPr>
          <w:p>
            <w:pPr>
              <w:pStyle w:val="TableParagraph"/>
              <w:ind w:left="84"/>
              <w:rPr>
                <w:sz w:val="16"/>
              </w:rPr>
            </w:pPr>
            <w:r>
              <w:rPr>
                <w:sz w:val="16"/>
              </w:rPr>
              <w:t>New</w:t>
            </w:r>
            <w:r>
              <w:rPr>
                <w:spacing w:val="-2"/>
                <w:sz w:val="16"/>
              </w:rPr>
              <w:t> policy</w:t>
            </w:r>
          </w:p>
        </w:tc>
        <w:tc>
          <w:tcPr>
            <w:tcW w:w="1305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spacing w:val="-2"/>
                <w:sz w:val="16"/>
              </w:rPr>
              <w:t>5/6/18</w:t>
            </w:r>
          </w:p>
        </w:tc>
      </w:tr>
    </w:tbl>
    <w:p>
      <w:pPr>
        <w:pStyle w:val="BodyText"/>
        <w:spacing w:before="10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781050</wp:posOffset>
                </wp:positionH>
                <wp:positionV relativeFrom="paragraph">
                  <wp:posOffset>228600</wp:posOffset>
                </wp:positionV>
                <wp:extent cx="6229350" cy="19050"/>
                <wp:effectExtent l="0" t="0" r="0" b="0"/>
                <wp:wrapTopAndBottom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6229350" cy="19050"/>
                          <a:chExt cx="6229350" cy="1905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12"/>
                            <a:ext cx="62293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9350" h="19050">
                                <a:moveTo>
                                  <a:pt x="6229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9050"/>
                                </a:lnTo>
                                <a:lnTo>
                                  <a:pt x="9525" y="9525"/>
                                </a:lnTo>
                                <a:lnTo>
                                  <a:pt x="6219825" y="9525"/>
                                </a:lnTo>
                                <a:lnTo>
                                  <a:pt x="6229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9696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0" y="12"/>
                            <a:ext cx="622935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229350" h="19050">
                                <a:moveTo>
                                  <a:pt x="6229350" y="0"/>
                                </a:moveTo>
                                <a:lnTo>
                                  <a:pt x="6219825" y="9525"/>
                                </a:lnTo>
                                <a:lnTo>
                                  <a:pt x="9525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6229350" y="19050"/>
                                </a:lnTo>
                                <a:lnTo>
                                  <a:pt x="62293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FEFE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1.5pt;margin-top:18.000015pt;width:490.5pt;height:1.5pt;mso-position-horizontal-relative:page;mso-position-vertical-relative:paragraph;z-index:-15728640;mso-wrap-distance-left:0;mso-wrap-distance-right:0" id="docshapegroup1" coordorigin="1230,360" coordsize="9810,30">
                <v:shape style="position:absolute;left:1230;top:360;width:9810;height:30" id="docshape2" coordorigin="1230,360" coordsize="9810,30" path="m11040,360l1230,360,1230,390,1245,375,11025,375,11040,360xe" filled="true" fillcolor="#696969" stroked="false">
                  <v:path arrowok="t"/>
                  <v:fill type="solid"/>
                </v:shape>
                <v:shape style="position:absolute;left:1230;top:360;width:9810;height:30" id="docshape3" coordorigin="1230,360" coordsize="9810,30" path="m11040,360l11025,375,1245,375,1230,390,11040,390,11040,360xe" filled="true" fillcolor="#efefef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line="261" w:lineRule="auto" w:before="97"/>
        <w:ind w:left="109" w:right="6452"/>
      </w:pPr>
      <w:r>
        <w:rPr/>
        <w:t>Last</w:t>
      </w:r>
      <w:r>
        <w:rPr>
          <w:spacing w:val="-6"/>
        </w:rPr>
        <w:t> </w:t>
      </w:r>
      <w:r>
        <w:rPr/>
        <w:t>Annual</w:t>
      </w:r>
      <w:r>
        <w:rPr>
          <w:spacing w:val="-6"/>
        </w:rPr>
        <w:t> </w:t>
      </w:r>
      <w:r>
        <w:rPr/>
        <w:t>Review</w:t>
      </w:r>
      <w:r>
        <w:rPr>
          <w:spacing w:val="-6"/>
        </w:rPr>
        <w:t> </w:t>
      </w:r>
      <w:r>
        <w:rPr/>
        <w:t>Completed</w:t>
      </w:r>
      <w:r>
        <w:rPr>
          <w:spacing w:val="-6"/>
        </w:rPr>
        <w:t> </w:t>
      </w:r>
      <w:r>
        <w:rPr/>
        <w:t>by</w:t>
      </w:r>
      <w:r>
        <w:rPr>
          <w:spacing w:val="80"/>
        </w:rPr>
        <w:t> </w:t>
      </w:r>
      <w:r>
        <w:rPr/>
        <w:t>on Next Review Date: 6/1/2020</w:t>
      </w:r>
    </w:p>
    <w:sectPr>
      <w:type w:val="continuous"/>
      <w:pgSz w:w="12240" w:h="15840"/>
      <w:pgMar w:top="1040" w:bottom="280" w:left="112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eelawadee UI Semilight">
    <w:altName w:val="Leelawadee UI Semilight"/>
    <w:charset w:val="0"/>
    <w:family w:val="swiss"/>
    <w:pitch w:val="variable"/>
  </w:font>
  <w:font w:name="Gadugi">
    <w:altName w:val="Gadug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9"/>
      <w:outlineLvl w:val="1"/>
    </w:pPr>
    <w:rPr>
      <w:rFonts w:ascii="Times New Roman" w:hAnsi="Times New Roman" w:eastAsia="Times New Roman" w:cs="Times New Roman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2" w:line="379" w:lineRule="exact"/>
      <w:ind w:left="124"/>
    </w:pPr>
    <w:rPr>
      <w:rFonts w:ascii="Leelawadee UI Semilight" w:hAnsi="Leelawadee UI Semilight" w:eastAsia="Leelawadee UI Semilight" w:cs="Leelawadee UI Semilight"/>
      <w:sz w:val="29"/>
      <w:szCs w:val="2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0"/>
      <w:ind w:left="81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pfretham</dc:creator>
  <dc:title>https://knowledgebase.totalcardinc.com/PoliciesProcedures/Pages</dc:title>
  <dcterms:created xsi:type="dcterms:W3CDTF">2024-05-23T16:49:55Z</dcterms:created>
  <dcterms:modified xsi:type="dcterms:W3CDTF">2024-05-23T16:49:55Z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2019-05-10T00:00:00Z</vt:filetime>
  </property>
  <property fmtid="{D5CDD505-2E9C-101B-9397-08002B2CF9AE}" pid="3" name="LastSaved">
    <vt:filetime>2024-05-23T00:00:00Z</vt:filetime>
  </property>
  <property fmtid="{D5CDD505-2E9C-101B-9397-08002B2CF9AE}" pid="4" name="Producer">
    <vt:lpwstr>Microsoft: Print To PDF</vt:lpwstr>
  </property>
</Properties>
</file>