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8E04" w14:textId="77777777" w:rsidR="000A2483" w:rsidRDefault="000A2483">
      <w:pPr>
        <w:pStyle w:val="BodyText"/>
        <w:spacing w:before="8"/>
        <w:rPr>
          <w:sz w:val="23"/>
        </w:rPr>
      </w:pPr>
    </w:p>
    <w:p w14:paraId="3A1A2E15" w14:textId="77777777" w:rsidR="000A2483" w:rsidRDefault="00084DD8">
      <w:pPr>
        <w:spacing w:before="85" w:line="276" w:lineRule="auto"/>
        <w:ind w:left="160" w:right="2750"/>
        <w:rPr>
          <w:b/>
          <w:sz w:val="36"/>
        </w:rPr>
      </w:pPr>
      <w:r>
        <w:rPr>
          <w:b/>
          <w:sz w:val="36"/>
        </w:rPr>
        <w:t>Monitoring of Websites Procedure – Marketplace Lending Platform Partnership</w:t>
      </w:r>
    </w:p>
    <w:p w14:paraId="1966B46C" w14:textId="77777777" w:rsidR="000A2483" w:rsidRDefault="000A2483">
      <w:pPr>
        <w:pStyle w:val="BodyText"/>
        <w:spacing w:before="10"/>
        <w:rPr>
          <w:b/>
          <w:sz w:val="36"/>
        </w:rPr>
      </w:pPr>
    </w:p>
    <w:p w14:paraId="14245014" w14:textId="77777777" w:rsidR="000A2483" w:rsidRDefault="00084DD8">
      <w:pPr>
        <w:pStyle w:val="Heading1"/>
        <w:spacing w:before="1"/>
        <w:jc w:val="left"/>
        <w:rPr>
          <w:u w:val="none"/>
        </w:rPr>
      </w:pPr>
      <w:r>
        <w:rPr>
          <w:u w:val="thick"/>
        </w:rPr>
        <w:t>General Procedure Statement:</w:t>
      </w:r>
    </w:p>
    <w:p w14:paraId="5020D59F" w14:textId="77777777" w:rsidR="000A2483" w:rsidRDefault="000A2483">
      <w:pPr>
        <w:pStyle w:val="BodyText"/>
        <w:spacing w:before="1"/>
        <w:rPr>
          <w:b/>
          <w:sz w:val="14"/>
        </w:rPr>
      </w:pPr>
    </w:p>
    <w:p w14:paraId="16B0241C" w14:textId="6B36FB8D" w:rsidR="000A2483" w:rsidRDefault="008A4B79">
      <w:pPr>
        <w:pStyle w:val="BodyText"/>
        <w:spacing w:before="91"/>
        <w:ind w:left="159" w:right="132"/>
        <w:jc w:val="both"/>
      </w:pPr>
      <w:r>
        <w:t>iCreditWorks</w:t>
      </w:r>
      <w:r w:rsidR="00084DD8">
        <w:t xml:space="preserve"> (“</w:t>
      </w:r>
      <w:r>
        <w:t>iCW</w:t>
      </w:r>
      <w:bookmarkStart w:id="0" w:name="_GoBack"/>
      <w:bookmarkEnd w:id="0"/>
      <w:r w:rsidR="00084DD8">
        <w:t xml:space="preserve">”) credit products offered through its strategic marketplace lending platform partners (“MPL”) are issued pursuant to agreements with </w:t>
      </w:r>
      <w:r>
        <w:t>ICW</w:t>
      </w:r>
      <w:r w:rsidR="00084DD8">
        <w:t xml:space="preserve">, pursuant to which </w:t>
      </w:r>
      <w:r>
        <w:t>ICW</w:t>
      </w:r>
      <w:r w:rsidR="00084DD8">
        <w:t xml:space="preserve"> originates such credit as the lender of record in accordance wi</w:t>
      </w:r>
      <w:r w:rsidR="00084DD8">
        <w:t xml:space="preserve">th its credit criteria. In connection </w:t>
      </w:r>
      <w:proofErr w:type="gramStart"/>
      <w:r w:rsidR="00084DD8">
        <w:t>with  these</w:t>
      </w:r>
      <w:proofErr w:type="gramEnd"/>
      <w:r w:rsidR="00084DD8">
        <w:t xml:space="preserve"> credit products, </w:t>
      </w:r>
      <w:r>
        <w:t>ICW</w:t>
      </w:r>
      <w:r w:rsidR="00084DD8">
        <w:t xml:space="preserve">’s MPL partners process all applications for credit, and services the accounts, on an ongoing basis, on behalf of and with direct oversight by </w:t>
      </w:r>
      <w:r>
        <w:t>ICW</w:t>
      </w:r>
      <w:r w:rsidR="00084DD8">
        <w:t xml:space="preserve">. </w:t>
      </w:r>
      <w:r>
        <w:t>ICW</w:t>
      </w:r>
      <w:r w:rsidR="00084DD8">
        <w:t xml:space="preserve"> has approved this procedure, and </w:t>
      </w:r>
      <w:r>
        <w:t>ICW</w:t>
      </w:r>
      <w:r w:rsidR="00084DD8">
        <w:t>’s Vice President of MPL Compliance (“</w:t>
      </w:r>
      <w:r>
        <w:t>ICW</w:t>
      </w:r>
      <w:r w:rsidR="00084DD8">
        <w:t xml:space="preserve"> MPL Compliance Officer”) or his/her designee will be responsible for overseeing this procedure on behalf of the</w:t>
      </w:r>
      <w:r w:rsidR="00084DD8">
        <w:rPr>
          <w:spacing w:val="-21"/>
        </w:rPr>
        <w:t xml:space="preserve"> </w:t>
      </w:r>
      <w:r w:rsidR="00084DD8">
        <w:t>Bank.</w:t>
      </w:r>
    </w:p>
    <w:p w14:paraId="7E65F67F" w14:textId="77777777" w:rsidR="000A2483" w:rsidRDefault="000A2483">
      <w:pPr>
        <w:pStyle w:val="BodyText"/>
        <w:spacing w:before="2"/>
      </w:pPr>
    </w:p>
    <w:p w14:paraId="28AE6C69" w14:textId="77777777" w:rsidR="000A2483" w:rsidRDefault="00084DD8">
      <w:pPr>
        <w:pStyle w:val="Heading1"/>
        <w:ind w:left="159"/>
        <w:rPr>
          <w:u w:val="none"/>
        </w:rPr>
      </w:pPr>
      <w:r>
        <w:rPr>
          <w:u w:val="thick"/>
        </w:rPr>
        <w:t>Purpose:</w:t>
      </w:r>
    </w:p>
    <w:p w14:paraId="4681BECD" w14:textId="77777777" w:rsidR="000A2483" w:rsidRDefault="00084DD8">
      <w:pPr>
        <w:pStyle w:val="BodyText"/>
        <w:spacing w:before="198"/>
        <w:ind w:left="160" w:right="135" w:hanging="1"/>
        <w:jc w:val="both"/>
      </w:pPr>
      <w:r>
        <w:t xml:space="preserve">The purpose of this document is to outline the ongoing review of our MPLs’ websites </w:t>
      </w:r>
      <w:r>
        <w:t>for factually or legally questionable information that could lead to consumer harm or a regulatory violation.</w:t>
      </w:r>
    </w:p>
    <w:p w14:paraId="7A81A353" w14:textId="77777777" w:rsidR="000A2483" w:rsidRDefault="00084DD8">
      <w:pPr>
        <w:pStyle w:val="Heading1"/>
        <w:spacing w:before="200"/>
        <w:rPr>
          <w:u w:val="none"/>
        </w:rPr>
      </w:pPr>
      <w:r>
        <w:rPr>
          <w:u w:val="thick"/>
        </w:rPr>
        <w:t>Procedure:</w:t>
      </w:r>
    </w:p>
    <w:p w14:paraId="5A6393B9" w14:textId="2E1D7673" w:rsidR="000A2483" w:rsidRDefault="00084DD8">
      <w:pPr>
        <w:pStyle w:val="BodyText"/>
        <w:spacing w:before="198"/>
        <w:ind w:left="159" w:right="134"/>
        <w:jc w:val="both"/>
      </w:pPr>
      <w:r>
        <w:t xml:space="preserve">The </w:t>
      </w:r>
      <w:r w:rsidR="008A4B79">
        <w:t>ICW</w:t>
      </w:r>
      <w:r>
        <w:t xml:space="preserve"> MPL Compliance Group (“</w:t>
      </w:r>
      <w:r w:rsidR="008A4B79">
        <w:t>ICW</w:t>
      </w:r>
      <w:r>
        <w:t xml:space="preserve"> MPL Compliance”) will ensure every active MPL’s website is reviewed monthly. This review is not mean</w:t>
      </w:r>
      <w:r>
        <w:t xml:space="preserve">t to take the place of an </w:t>
      </w:r>
      <w:proofErr w:type="gramStart"/>
      <w:r>
        <w:t>external  auditor’s</w:t>
      </w:r>
      <w:proofErr w:type="gramEnd"/>
      <w:r>
        <w:t xml:space="preserve">  review  of regulatory disclosures (</w:t>
      </w:r>
      <w:r>
        <w:rPr>
          <w:i/>
        </w:rPr>
        <w:t xml:space="preserve">i.e. </w:t>
      </w:r>
      <w:r>
        <w:t>Review of Truth in Lending Act advertisement disclosures as stated in 12 CFR 1026.24, etc.) or review of marketing website for compliance with applicable regulations.</w:t>
      </w:r>
    </w:p>
    <w:p w14:paraId="392701B1" w14:textId="68B5457F" w:rsidR="000A2483" w:rsidRDefault="00084DD8">
      <w:pPr>
        <w:pStyle w:val="BodyText"/>
        <w:spacing w:before="200" w:line="427" w:lineRule="auto"/>
        <w:ind w:left="160" w:right="2771" w:hanging="1"/>
      </w:pPr>
      <w:r>
        <w:rPr>
          <w:b/>
        </w:rPr>
        <w:t>St</w:t>
      </w:r>
      <w:r>
        <w:rPr>
          <w:b/>
        </w:rPr>
        <w:t xml:space="preserve">age 1 </w:t>
      </w:r>
      <w:r>
        <w:t xml:space="preserve">– </w:t>
      </w:r>
      <w:r w:rsidR="008A4B79">
        <w:t>ICW</w:t>
      </w:r>
      <w:r>
        <w:t xml:space="preserve"> MPL Compliance performs review of the MPLs’ website(s). The review will include the following:</w:t>
      </w:r>
    </w:p>
    <w:p w14:paraId="2878A2D7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8" w:line="269" w:lineRule="exact"/>
        <w:ind w:hanging="362"/>
      </w:pPr>
      <w:r>
        <w:t>Is there any information that is factually inaccurate?  This includes, but is not limited</w:t>
      </w:r>
      <w:r>
        <w:rPr>
          <w:spacing w:val="-22"/>
        </w:rPr>
        <w:t xml:space="preserve"> </w:t>
      </w:r>
      <w:r>
        <w:t>to:</w:t>
      </w:r>
    </w:p>
    <w:p w14:paraId="370BED25" w14:textId="77777777" w:rsidR="000A2483" w:rsidRDefault="00084DD8">
      <w:pPr>
        <w:pStyle w:val="ListParagraph"/>
        <w:numPr>
          <w:ilvl w:val="1"/>
          <w:numId w:val="1"/>
        </w:numPr>
        <w:tabs>
          <w:tab w:val="left" w:pos="1600"/>
          <w:tab w:val="left" w:pos="1601"/>
        </w:tabs>
        <w:spacing w:line="262" w:lineRule="exact"/>
        <w:ind w:hanging="360"/>
      </w:pPr>
      <w:r>
        <w:t>Rates, payment terms, and</w:t>
      </w:r>
      <w:r>
        <w:rPr>
          <w:spacing w:val="-8"/>
        </w:rPr>
        <w:t xml:space="preserve"> </w:t>
      </w:r>
      <w:r>
        <w:t>fees;</w:t>
      </w:r>
    </w:p>
    <w:p w14:paraId="5F957284" w14:textId="77777777" w:rsidR="000A2483" w:rsidRDefault="00084DD8">
      <w:pPr>
        <w:pStyle w:val="ListParagraph"/>
        <w:numPr>
          <w:ilvl w:val="1"/>
          <w:numId w:val="1"/>
        </w:numPr>
        <w:tabs>
          <w:tab w:val="left" w:pos="1601"/>
          <w:tab w:val="left" w:pos="1602"/>
        </w:tabs>
        <w:spacing w:line="253" w:lineRule="exact"/>
        <w:ind w:left="1601" w:hanging="360"/>
      </w:pPr>
      <w:r>
        <w:t>Misleading or unsubstantiated claims, including pricing, rates, or</w:t>
      </w:r>
      <w:r>
        <w:rPr>
          <w:spacing w:val="-21"/>
        </w:rPr>
        <w:t xml:space="preserve"> </w:t>
      </w:r>
      <w:r>
        <w:t>promises;</w:t>
      </w:r>
    </w:p>
    <w:p w14:paraId="03571623" w14:textId="77777777" w:rsidR="000A2483" w:rsidRDefault="00084DD8">
      <w:pPr>
        <w:pStyle w:val="ListParagraph"/>
        <w:numPr>
          <w:ilvl w:val="1"/>
          <w:numId w:val="1"/>
        </w:numPr>
        <w:tabs>
          <w:tab w:val="left" w:pos="1601"/>
          <w:tab w:val="left" w:pos="1602"/>
        </w:tabs>
        <w:spacing w:line="252" w:lineRule="exact"/>
        <w:ind w:left="1601" w:hanging="360"/>
      </w:pPr>
      <w:r>
        <w:t>Free offers;</w:t>
      </w:r>
      <w:r>
        <w:rPr>
          <w:spacing w:val="-11"/>
        </w:rPr>
        <w:t xml:space="preserve"> </w:t>
      </w:r>
      <w:r>
        <w:t>and/or</w:t>
      </w:r>
    </w:p>
    <w:p w14:paraId="3EF8EA92" w14:textId="77777777" w:rsidR="000A2483" w:rsidRDefault="00084DD8">
      <w:pPr>
        <w:pStyle w:val="ListParagraph"/>
        <w:numPr>
          <w:ilvl w:val="1"/>
          <w:numId w:val="1"/>
        </w:numPr>
        <w:tabs>
          <w:tab w:val="left" w:pos="1601"/>
          <w:tab w:val="left" w:pos="1602"/>
        </w:tabs>
        <w:spacing w:line="254" w:lineRule="exact"/>
        <w:ind w:left="1601" w:hanging="360"/>
      </w:pPr>
      <w:r>
        <w:t>Unclear</w:t>
      </w:r>
      <w:r>
        <w:rPr>
          <w:spacing w:val="-4"/>
        </w:rPr>
        <w:t xml:space="preserve"> </w:t>
      </w:r>
      <w:r>
        <w:t>verbiage.</w:t>
      </w:r>
    </w:p>
    <w:p w14:paraId="6E4BC32B" w14:textId="36F84C6A" w:rsidR="000A2483" w:rsidRDefault="00084DD8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61" w:lineRule="exact"/>
        <w:ind w:left="881" w:hanging="360"/>
      </w:pPr>
      <w:r>
        <w:t>Is there a promotional rate offered that was not disclosed to/approved by</w:t>
      </w:r>
      <w:r>
        <w:rPr>
          <w:spacing w:val="-23"/>
        </w:rPr>
        <w:t xml:space="preserve"> </w:t>
      </w:r>
      <w:r w:rsidR="008A4B79">
        <w:t>ICW</w:t>
      </w:r>
      <w:r>
        <w:t>?</w:t>
      </w:r>
    </w:p>
    <w:p w14:paraId="6B8B4A8B" w14:textId="65290403" w:rsidR="000A2483" w:rsidRDefault="00084DD8">
      <w:pPr>
        <w:pStyle w:val="ListParagraph"/>
        <w:numPr>
          <w:ilvl w:val="1"/>
          <w:numId w:val="1"/>
        </w:numPr>
        <w:tabs>
          <w:tab w:val="left" w:pos="1601"/>
          <w:tab w:val="left" w:pos="1603"/>
        </w:tabs>
        <w:spacing w:before="3" w:line="252" w:lineRule="exact"/>
        <w:ind w:left="1602" w:right="133"/>
      </w:pPr>
      <w:r>
        <w:t xml:space="preserve">If yes, did </w:t>
      </w:r>
      <w:r w:rsidR="008A4B79">
        <w:t>ICW</w:t>
      </w:r>
      <w:r>
        <w:t xml:space="preserve"> receive confirmation that the MPL’s legal and/</w:t>
      </w:r>
      <w:r>
        <w:t>or compliance staff approved the</w:t>
      </w:r>
      <w:r>
        <w:rPr>
          <w:spacing w:val="-3"/>
        </w:rPr>
        <w:t xml:space="preserve"> </w:t>
      </w:r>
      <w:r>
        <w:t>promotion?</w:t>
      </w:r>
    </w:p>
    <w:p w14:paraId="59B7B580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ind w:right="132" w:hanging="360"/>
      </w:pPr>
      <w:r>
        <w:t>When using terms such as “pre-approved,” “guaranteed,” or “fixed rates,” does the MPL clearly disclose any limitations, conditions, or restrictions on the</w:t>
      </w:r>
      <w:r>
        <w:rPr>
          <w:spacing w:val="-17"/>
        </w:rPr>
        <w:t xml:space="preserve"> </w:t>
      </w:r>
      <w:r>
        <w:t>offer?</w:t>
      </w:r>
    </w:p>
    <w:p w14:paraId="77BAC4D7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"/>
        <w:ind w:right="135" w:hanging="360"/>
      </w:pPr>
      <w:r>
        <w:t>Does the website have instructions on how consumer</w:t>
      </w:r>
      <w:r>
        <w:t>s can contact the MPL’s customer service center regarding service problems, complaints, suspected misuse of accounts,</w:t>
      </w:r>
      <w:r>
        <w:rPr>
          <w:spacing w:val="-24"/>
        </w:rPr>
        <w:t xml:space="preserve"> </w:t>
      </w:r>
      <w:r>
        <w:t>etc.?</w:t>
      </w:r>
    </w:p>
    <w:p w14:paraId="531E6809" w14:textId="77777777" w:rsidR="000A2483" w:rsidRDefault="000A2483">
      <w:pPr>
        <w:pStyle w:val="BodyText"/>
        <w:spacing w:before="2"/>
      </w:pPr>
    </w:p>
    <w:p w14:paraId="508A0BE4" w14:textId="1B4CA6ED" w:rsidR="000A2483" w:rsidRDefault="00084DD8">
      <w:pPr>
        <w:pStyle w:val="BodyText"/>
        <w:spacing w:before="1"/>
        <w:ind w:left="162"/>
        <w:jc w:val="both"/>
      </w:pPr>
      <w:r>
        <w:rPr>
          <w:b/>
        </w:rPr>
        <w:t xml:space="preserve">Stage 2 </w:t>
      </w:r>
      <w:r>
        <w:t xml:space="preserve">– If issues are noted during the review, </w:t>
      </w:r>
      <w:r w:rsidR="008A4B79">
        <w:t>ICW</w:t>
      </w:r>
      <w:r>
        <w:t xml:space="preserve"> MPL Compliance will take the following steps:</w:t>
      </w:r>
    </w:p>
    <w:p w14:paraId="5AF715E0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99" w:line="269" w:lineRule="exact"/>
        <w:ind w:hanging="360"/>
      </w:pPr>
      <w:r>
        <w:t>Memorialize the issue(s) detected for communication to the</w:t>
      </w:r>
      <w:r>
        <w:rPr>
          <w:spacing w:val="-18"/>
        </w:rPr>
        <w:t xml:space="preserve"> </w:t>
      </w:r>
      <w:r>
        <w:t>MPLs;</w:t>
      </w:r>
    </w:p>
    <w:p w14:paraId="540F095E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line="269" w:lineRule="exact"/>
        <w:ind w:hanging="360"/>
      </w:pPr>
      <w:r>
        <w:t>Transmit the issues to the MPL Underwriting Team for distribution to the</w:t>
      </w:r>
      <w:r>
        <w:rPr>
          <w:spacing w:val="-24"/>
        </w:rPr>
        <w:t xml:space="preserve"> </w:t>
      </w:r>
      <w:r>
        <w:t>MPLs;</w:t>
      </w:r>
    </w:p>
    <w:p w14:paraId="5FE73091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line="268" w:lineRule="exact"/>
        <w:ind w:left="883" w:hanging="360"/>
      </w:pPr>
      <w:r>
        <w:t>Provide the MPLs with one week in which to provide a resolution</w:t>
      </w:r>
      <w:r>
        <w:rPr>
          <w:spacing w:val="-19"/>
        </w:rPr>
        <w:t xml:space="preserve"> </w:t>
      </w:r>
      <w:r>
        <w:t>plan;</w:t>
      </w:r>
    </w:p>
    <w:p w14:paraId="433F0736" w14:textId="77777777" w:rsidR="000A2483" w:rsidRDefault="00084DD8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line="268" w:lineRule="exact"/>
        <w:ind w:left="883" w:hanging="360"/>
      </w:pPr>
      <w:r>
        <w:t>Track the progress of each action item through resolution;</w:t>
      </w:r>
      <w:r>
        <w:rPr>
          <w:spacing w:val="-21"/>
        </w:rPr>
        <w:t xml:space="preserve"> </w:t>
      </w:r>
      <w:r>
        <w:t>and</w:t>
      </w:r>
    </w:p>
    <w:p w14:paraId="640488F8" w14:textId="77777777" w:rsidR="000A2483" w:rsidRDefault="000A2483">
      <w:pPr>
        <w:spacing w:line="268" w:lineRule="exact"/>
        <w:sectPr w:rsidR="000A2483">
          <w:headerReference w:type="default" r:id="rId7"/>
          <w:footerReference w:type="default" r:id="rId8"/>
          <w:type w:val="continuous"/>
          <w:pgSz w:w="12240" w:h="15840"/>
          <w:pgMar w:top="1080" w:right="1300" w:bottom="1000" w:left="1280" w:header="730" w:footer="803" w:gutter="0"/>
          <w:pgNumType w:start="1"/>
          <w:cols w:space="720"/>
        </w:sectPr>
      </w:pPr>
    </w:p>
    <w:p w14:paraId="1D077095" w14:textId="77777777" w:rsidR="000A2483" w:rsidRDefault="000A2483">
      <w:pPr>
        <w:pStyle w:val="BodyText"/>
        <w:spacing w:before="3"/>
      </w:pPr>
    </w:p>
    <w:p w14:paraId="4176B97A" w14:textId="239130B4" w:rsidR="000A2483" w:rsidRDefault="00084DD8">
      <w:pPr>
        <w:pStyle w:val="ListParagraph"/>
        <w:numPr>
          <w:ilvl w:val="0"/>
          <w:numId w:val="1"/>
        </w:numPr>
        <w:tabs>
          <w:tab w:val="left" w:pos="881"/>
        </w:tabs>
        <w:spacing w:before="101"/>
        <w:ind w:left="879" w:right="135" w:hanging="359"/>
        <w:jc w:val="both"/>
      </w:pPr>
      <w:r>
        <w:t xml:space="preserve">If not resolved within one month, the </w:t>
      </w:r>
      <w:r w:rsidR="008A4B79">
        <w:t>ICW</w:t>
      </w:r>
      <w:r>
        <w:t xml:space="preserve"> MPL Compliance Officer may escalate the matter to </w:t>
      </w:r>
      <w:r w:rsidR="008A4B79">
        <w:t>ICW</w:t>
      </w:r>
      <w:r>
        <w:t xml:space="preserve">’s senior management. </w:t>
      </w:r>
      <w:r w:rsidR="008A4B79">
        <w:t>ICW</w:t>
      </w:r>
      <w:r>
        <w:t xml:space="preserve"> MPL Compliance Officer has discretion to m</w:t>
      </w:r>
      <w:r>
        <w:t>ake exceptions to this escalation process on a case-by-case</w:t>
      </w:r>
      <w:r>
        <w:rPr>
          <w:spacing w:val="-13"/>
        </w:rPr>
        <w:t xml:space="preserve"> </w:t>
      </w:r>
      <w:r>
        <w:t>basis.</w:t>
      </w:r>
    </w:p>
    <w:p w14:paraId="02B663C0" w14:textId="4B1530BB" w:rsidR="000A2483" w:rsidRDefault="00084DD8">
      <w:pPr>
        <w:pStyle w:val="BodyText"/>
        <w:spacing w:before="198"/>
        <w:ind w:left="159" w:right="132"/>
        <w:jc w:val="both"/>
      </w:pPr>
      <w:r>
        <w:rPr>
          <w:b/>
        </w:rPr>
        <w:t xml:space="preserve">Stage 3 </w:t>
      </w:r>
      <w:r>
        <w:t xml:space="preserve">– The </w:t>
      </w:r>
      <w:r w:rsidR="008A4B79">
        <w:t>ICW</w:t>
      </w:r>
      <w:r>
        <w:t xml:space="preserve"> MPL Compliance Officer or his/her delegate will review weekly reports produced by an automatic website change detection program (G2 – a third-party provider</w:t>
      </w:r>
      <w:proofErr w:type="gramStart"/>
      <w:r>
        <w:t>), and</w:t>
      </w:r>
      <w:proofErr w:type="gramEnd"/>
      <w:r>
        <w:t xml:space="preserve"> take fol</w:t>
      </w:r>
      <w:r>
        <w:t>low up action with the MPL as required. The automatic website change detection program detects and reports any changes made to an MPL’s website on a weekly basis.</w:t>
      </w:r>
    </w:p>
    <w:p w14:paraId="2A1D7BD7" w14:textId="77777777" w:rsidR="000A2483" w:rsidRDefault="00084DD8">
      <w:pPr>
        <w:pStyle w:val="Heading1"/>
        <w:spacing w:before="201"/>
        <w:rPr>
          <w:u w:val="none"/>
        </w:rPr>
      </w:pPr>
      <w:r>
        <w:rPr>
          <w:u w:val="thick"/>
        </w:rPr>
        <w:t>Reporting</w:t>
      </w:r>
    </w:p>
    <w:p w14:paraId="4824BEB3" w14:textId="745DD782" w:rsidR="000A2483" w:rsidRDefault="00084DD8">
      <w:pPr>
        <w:pStyle w:val="BodyText"/>
        <w:spacing w:before="198"/>
        <w:ind w:left="160" w:right="134"/>
        <w:jc w:val="both"/>
      </w:pPr>
      <w:r>
        <w:t xml:space="preserve">To ensure board oversight, the </w:t>
      </w:r>
      <w:r w:rsidR="008A4B79">
        <w:t>ICW</w:t>
      </w:r>
      <w:r>
        <w:t xml:space="preserve"> MPL Compliance Officer will report the monitorin</w:t>
      </w:r>
      <w:r>
        <w:t>g results at the quarterly Audit Committee meeting.</w:t>
      </w:r>
    </w:p>
    <w:p w14:paraId="44B4B078" w14:textId="77777777" w:rsidR="000A2483" w:rsidRDefault="000A2483">
      <w:pPr>
        <w:pStyle w:val="BodyText"/>
      </w:pPr>
    </w:p>
    <w:p w14:paraId="62E2C475" w14:textId="77777777" w:rsidR="000A2483" w:rsidRDefault="00084DD8">
      <w:pPr>
        <w:pStyle w:val="Heading1"/>
        <w:rPr>
          <w:u w:val="none"/>
        </w:rPr>
      </w:pPr>
      <w:r>
        <w:rPr>
          <w:u w:val="thick"/>
        </w:rPr>
        <w:t>Record Retention:</w:t>
      </w:r>
    </w:p>
    <w:p w14:paraId="3097A6AE" w14:textId="77777777" w:rsidR="000A2483" w:rsidRDefault="000A2483">
      <w:pPr>
        <w:pStyle w:val="BodyText"/>
        <w:rPr>
          <w:b/>
          <w:sz w:val="14"/>
        </w:rPr>
      </w:pPr>
    </w:p>
    <w:p w14:paraId="44E22373" w14:textId="576F41E1" w:rsidR="000A2483" w:rsidRDefault="00084DD8">
      <w:pPr>
        <w:pStyle w:val="BodyText"/>
        <w:spacing w:before="92"/>
        <w:ind w:left="160" w:right="188"/>
      </w:pPr>
      <w:r>
        <w:t xml:space="preserve">The </w:t>
      </w:r>
      <w:r w:rsidR="008A4B79">
        <w:t>ICW</w:t>
      </w:r>
      <w:r>
        <w:t xml:space="preserve"> MPL Compliance Group maintains documentation of the monitoring performed the </w:t>
      </w:r>
      <w:proofErr w:type="gramStart"/>
      <w:r>
        <w:t>issues  noted</w:t>
      </w:r>
      <w:proofErr w:type="gramEnd"/>
      <w:r>
        <w:t xml:space="preserve"> related to the</w:t>
      </w:r>
      <w:r>
        <w:rPr>
          <w:spacing w:val="-6"/>
        </w:rPr>
        <w:t xml:space="preserve"> </w:t>
      </w:r>
      <w:r>
        <w:t>review.</w:t>
      </w:r>
    </w:p>
    <w:sectPr w:rsidR="000A2483">
      <w:pgSz w:w="12240" w:h="15840"/>
      <w:pgMar w:top="1080" w:right="1300" w:bottom="1000" w:left="1280" w:header="730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7273" w14:textId="77777777" w:rsidR="00084DD8" w:rsidRDefault="00084DD8">
      <w:r>
        <w:separator/>
      </w:r>
    </w:p>
  </w:endnote>
  <w:endnote w:type="continuationSeparator" w:id="0">
    <w:p w14:paraId="2FA57A96" w14:textId="77777777" w:rsidR="00084DD8" w:rsidRDefault="0008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6B44B" w14:textId="54CD8CC8" w:rsidR="000A2483" w:rsidRDefault="008A4B79">
    <w:pPr>
      <w:pStyle w:val="BodyText"/>
      <w:spacing w:line="14" w:lineRule="auto"/>
      <w:rPr>
        <w:sz w:val="20"/>
      </w:rPr>
    </w:pPr>
    <w:r>
      <w:pict w14:anchorId="0DCB81A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2.75pt;width:245.8pt;height:15.25pt;z-index:-3088;mso-position-horizontal-relative:page;mso-position-vertical-relative:page" filled="f" stroked="f">
          <v:textbox style="mso-next-textbox:#_x0000_s2050" inset="0,0,0,0">
            <w:txbxContent>
              <w:p w14:paraId="622F8AF8" w14:textId="7CD5C08A" w:rsidR="000A2483" w:rsidRDefault="00084DD8">
                <w:pPr>
                  <w:pStyle w:val="BodyText"/>
                  <w:spacing w:before="11"/>
                  <w:ind w:left="20"/>
                </w:pPr>
                <w:r>
                  <w:t xml:space="preserve">Ownership: </w:t>
                </w:r>
                <w:r w:rsidR="008A4B79">
                  <w:t xml:space="preserve">Chief </w:t>
                </w:r>
                <w:r>
                  <w:t>Compliance</w:t>
                </w:r>
                <w:r w:rsidR="008A4B79">
                  <w:t xml:space="preserve"> </w:t>
                </w:r>
                <w:r>
                  <w:t>Officer</w:t>
                </w:r>
              </w:p>
            </w:txbxContent>
          </v:textbox>
          <w10:wrap anchorx="page" anchory="page"/>
        </v:shape>
      </w:pict>
    </w:r>
    <w:r w:rsidR="00084DD8">
      <w:pict w14:anchorId="044C1D2E">
        <v:line id="_x0000_s2052" style="position:absolute;z-index:-3136;mso-position-horizontal-relative:page;mso-position-vertical-relative:page" from="70.55pt,741.8pt" to="539.65pt,741.8pt" strokecolor="#622423" strokeweight="3pt">
          <w10:wrap anchorx="page" anchory="page"/>
        </v:line>
      </w:pict>
    </w:r>
    <w:r w:rsidR="00084DD8">
      <w:pict w14:anchorId="77082049">
        <v:line id="_x0000_s2051" style="position:absolute;z-index:-3112;mso-position-horizontal-relative:page;mso-position-vertical-relative:page" from="70.55pt,739.2pt" to="539.65pt,739.2pt" strokecolor="#622423" strokeweight=".72pt">
          <w10:wrap anchorx="page" anchory="page"/>
        </v:line>
      </w:pict>
    </w:r>
    <w:r w:rsidR="00084DD8">
      <w:pict w14:anchorId="533A1506">
        <v:shape id="_x0000_s2049" type="#_x0000_t202" style="position:absolute;margin-left:503pt;margin-top:742.75pt;width:38.15pt;height:14.25pt;z-index:-3064;mso-position-horizontal-relative:page;mso-position-vertical-relative:page" filled="f" stroked="f">
          <v:textbox inset="0,0,0,0">
            <w:txbxContent>
              <w:p w14:paraId="104DA4A0" w14:textId="77777777" w:rsidR="000A2483" w:rsidRDefault="00084DD8">
                <w:pPr>
                  <w:pStyle w:val="BodyText"/>
                  <w:spacing w:before="11"/>
                  <w:ind w:left="20"/>
                </w:pPr>
                <w:r>
                  <w:t>07/2017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ED4E8" w14:textId="77777777" w:rsidR="00084DD8" w:rsidRDefault="00084DD8">
      <w:r>
        <w:separator/>
      </w:r>
    </w:p>
  </w:footnote>
  <w:footnote w:type="continuationSeparator" w:id="0">
    <w:p w14:paraId="7437414C" w14:textId="77777777" w:rsidR="00084DD8" w:rsidRDefault="0008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4845" w14:textId="77777777" w:rsidR="000A2483" w:rsidRDefault="00084DD8">
    <w:pPr>
      <w:pStyle w:val="BodyText"/>
      <w:spacing w:line="14" w:lineRule="auto"/>
      <w:rPr>
        <w:sz w:val="20"/>
      </w:rPr>
    </w:pPr>
    <w:r>
      <w:pict w14:anchorId="78236CE9">
        <v:line id="_x0000_s2056" style="position:absolute;z-index:-3232;mso-position-horizontal-relative:page;mso-position-vertical-relative:page" from="70.55pt,50.05pt" to="539.65pt,50.05pt" strokecolor="#622423" strokeweight=".72pt">
          <w10:wrap anchorx="page" anchory="page"/>
        </v:line>
      </w:pict>
    </w:r>
    <w:r>
      <w:pict w14:anchorId="02162594">
        <v:line id="_x0000_s2055" style="position:absolute;z-index:-3208;mso-position-horizontal-relative:page;mso-position-vertical-relative:page" from="70.55pt,52.6pt" to="539.65pt,52.6pt" strokecolor="#622423" strokeweight="3pt">
          <w10:wrap anchorx="page" anchory="page"/>
        </v:line>
      </w:pict>
    </w:r>
    <w:r>
      <w:pict w14:anchorId="26AC46D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5.5pt;width:80.4pt;height:14.25pt;z-index:-3184;mso-position-horizontal-relative:page;mso-position-vertical-relative:page" filled="f" stroked="f">
          <v:textbox inset="0,0,0,0">
            <w:txbxContent>
              <w:p w14:paraId="76455ED8" w14:textId="46FF07A9" w:rsidR="000A2483" w:rsidRDefault="008A4B79">
                <w:pPr>
                  <w:pStyle w:val="BodyText"/>
                  <w:spacing w:before="11"/>
                  <w:ind w:left="20"/>
                </w:pPr>
                <w:r>
                  <w:t>iCreditWorks</w:t>
                </w:r>
              </w:p>
            </w:txbxContent>
          </v:textbox>
          <w10:wrap anchorx="page" anchory="page"/>
        </v:shape>
      </w:pict>
    </w:r>
    <w:r>
      <w:pict w14:anchorId="3A26F9DB">
        <v:shape id="_x0000_s2053" type="#_x0000_t202" style="position:absolute;margin-left:489.2pt;margin-top:35.5pt;width:51.95pt;height:14.25pt;z-index:-3160;mso-position-horizontal-relative:page;mso-position-vertical-relative:page" filled="f" stroked="f">
          <v:textbox inset="0,0,0,0">
            <w:txbxContent>
              <w:p w14:paraId="68AF6C0B" w14:textId="77777777" w:rsidR="000A2483" w:rsidRDefault="00084DD8">
                <w:pPr>
                  <w:spacing w:before="11"/>
                  <w:ind w:left="20"/>
                  <w:rPr>
                    <w:b/>
                  </w:rPr>
                </w:pPr>
                <w:r>
                  <w:t xml:space="preserve">Page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 xml:space="preserve">of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08D"/>
    <w:multiLevelType w:val="hybridMultilevel"/>
    <w:tmpl w:val="F7E4A98A"/>
    <w:lvl w:ilvl="0" w:tplc="7D92BD1A">
      <w:numFmt w:val="bullet"/>
      <w:lvlText w:val=""/>
      <w:lvlJc w:val="left"/>
      <w:pPr>
        <w:ind w:left="882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5025C50">
      <w:numFmt w:val="bullet"/>
      <w:lvlText w:val="o"/>
      <w:lvlJc w:val="left"/>
      <w:pPr>
        <w:ind w:left="160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0428AA26">
      <w:numFmt w:val="bullet"/>
      <w:lvlText w:val="•"/>
      <w:lvlJc w:val="left"/>
      <w:pPr>
        <w:ind w:left="2495" w:hanging="361"/>
      </w:pPr>
      <w:rPr>
        <w:rFonts w:hint="default"/>
      </w:rPr>
    </w:lvl>
    <w:lvl w:ilvl="3" w:tplc="14544A36">
      <w:numFmt w:val="bullet"/>
      <w:lvlText w:val="•"/>
      <w:lvlJc w:val="left"/>
      <w:pPr>
        <w:ind w:left="3391" w:hanging="361"/>
      </w:pPr>
      <w:rPr>
        <w:rFonts w:hint="default"/>
      </w:rPr>
    </w:lvl>
    <w:lvl w:ilvl="4" w:tplc="4E5206C2">
      <w:numFmt w:val="bullet"/>
      <w:lvlText w:val="•"/>
      <w:lvlJc w:val="left"/>
      <w:pPr>
        <w:ind w:left="4286" w:hanging="361"/>
      </w:pPr>
      <w:rPr>
        <w:rFonts w:hint="default"/>
      </w:rPr>
    </w:lvl>
    <w:lvl w:ilvl="5" w:tplc="833AB5FC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0EB80252">
      <w:numFmt w:val="bullet"/>
      <w:lvlText w:val="•"/>
      <w:lvlJc w:val="left"/>
      <w:pPr>
        <w:ind w:left="6077" w:hanging="361"/>
      </w:pPr>
      <w:rPr>
        <w:rFonts w:hint="default"/>
      </w:rPr>
    </w:lvl>
    <w:lvl w:ilvl="7" w:tplc="4D9005A8">
      <w:numFmt w:val="bullet"/>
      <w:lvlText w:val="•"/>
      <w:lvlJc w:val="left"/>
      <w:pPr>
        <w:ind w:left="6973" w:hanging="361"/>
      </w:pPr>
      <w:rPr>
        <w:rFonts w:hint="default"/>
      </w:rPr>
    </w:lvl>
    <w:lvl w:ilvl="8" w:tplc="692E662E">
      <w:numFmt w:val="bullet"/>
      <w:lvlText w:val="•"/>
      <w:lvlJc w:val="left"/>
      <w:pPr>
        <w:ind w:left="786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483"/>
    <w:rsid w:val="00084DD8"/>
    <w:rsid w:val="000A2483"/>
    <w:rsid w:val="008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FB3A583"/>
  <w15:docId w15:val="{B4376896-D850-4D8D-BDD0-397E008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jc w:val="both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4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4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Oseguera</dc:creator>
  <cp:lastModifiedBy>Jason Wallace</cp:lastModifiedBy>
  <cp:revision>2</cp:revision>
  <dcterms:created xsi:type="dcterms:W3CDTF">2019-04-30T19:36:00Z</dcterms:created>
  <dcterms:modified xsi:type="dcterms:W3CDTF">2019-04-30T19:36:00Z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2018-11-30T00:00:00Z</vt:filetime>
  </property>
</Properties>
</file>