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2937"/>
          <w:sz w:val="64"/>
          <w:szCs w:val="64"/>
        </w:rPr>
        <w:t xml:space="preserve">TONY</w:t>
      </w:r>
    </w:p>
    <w:p>
      <w:pPr>
        <w:spacing w:after="400"/>
        <w:jc w:val="center"/>
      </w:pPr>
      <w:r>
        <w:rPr>
          <w:color w:val="2E5F8A"/>
          <w:sz w:val="30"/>
          <w:szCs w:val="30"/>
        </w:rPr>
        <w:t xml:space="preserve">NQ Systematic Trading Research Platform</w:t>
      </w:r>
    </w:p>
    <w:p>
      <w:pPr>
        <w:spacing w:after="40"/>
        <w:jc w:val="center"/>
      </w:pPr>
      <w:r>
        <w:rPr>
          <w:i/>
          <w:iCs/>
          <w:color w:val="555555"/>
          <w:sz w:val="24"/>
          <w:szCs w:val="24"/>
        </w:rPr>
        <w:t xml:space="preserve">Project Scope, Methodology &amp; Handoff Brief</w:t>
      </w:r>
    </w:p>
    <w:p>
      <w:pPr>
        <w:spacing w:after="800"/>
        <w:jc w:val="center"/>
      </w:pPr>
      <w:r>
        <w:rPr>
          <w:color w:val="555555"/>
          <w:sz w:val="20"/>
          <w:szCs w:val="20"/>
        </w:rPr>
        <w:t xml:space="preserve">Prepared 2026-09-09  •  Owner: Jason Alanis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F8A" w:val="clear"/>
          </w:tcPr>
          <w:p>
            <w:r>
              <w:rPr>
                <w:b/>
                <w:bCs/>
                <w:color w:val="FFFFFF"/>
              </w:rPr>
              <w:t xml:space="preserve">Snapshot</w:t>
            </w:r>
          </w:p>
        </w:tc>
        <w:tc>
          <w:tcPr>
            <w:tcW w:type="dxa" w:w="4675"/>
            <w:shd w:fill="2E5F8A" w:val="clear"/>
          </w:tcPr>
          <w:p>
            <w:r>
              <w:rPr>
                <w:color w:val="FFFFFF"/>
              </w:rPr>
              <w:t xml:space="preserve">As of this document</w:t>
            </w:r>
          </w:p>
        </w:tc>
      </w:tr>
      <w:tr>
        <w:tc>
          <w:tcPr>
            <w:tcW w:type="dxa" w:w="4675"/>
            <w:shd w:fill="EEF2F6" w:val="clear"/>
          </w:tcPr>
          <w:p>
            <w:r>
              <w:rPr>
                <w:b/>
                <w:bCs/>
                <w:color w:val="1F2937"/>
              </w:rPr>
              <w:t xml:space="preserve">Hypotheses tested</w:t>
            </w:r>
          </w:p>
        </w:tc>
        <w:tc>
          <w:tcPr>
            <w:tcW w:type="dxa" w:w="4675"/>
            <w:shd w:fill="FFFFFF" w:val="clear"/>
          </w:tcPr>
          <w:p>
            <w:r>
              <w:rPr>
                <w:color w:val="000000"/>
              </w:rPr>
              <w:t xml:space="preserve">116 logged (94 rejected, 17 promising/parked, 3 reached forward validation, 2 validation candidates)</w:t>
            </w:r>
          </w:p>
        </w:tc>
      </w:tr>
      <w:tr>
        <w:tc>
          <w:tcPr>
            <w:tcW w:type="dxa" w:w="4675"/>
            <w:shd w:fill="EEF2F6" w:val="clear"/>
          </w:tcPr>
          <w:p>
            <w:r>
              <w:rPr>
                <w:b/>
                <w:bCs/>
                <w:color w:val="1F2937"/>
              </w:rPr>
              <w:t xml:space="preserve">Validated findings</w:t>
            </w:r>
          </w:p>
        </w:tc>
        <w:tc>
          <w:tcPr>
            <w:tcW w:type="dxa" w:w="4675"/>
            <w:shd w:fill="FFFFFF" w:val="clear"/>
          </w:tcPr>
          <w:p>
            <w:r>
              <w:rPr>
                <w:color w:val="000000"/>
              </w:rPr>
              <w:t xml:space="preserve">3 (all volatility/range-persistence facts — none directional)</w:t>
            </w:r>
          </w:p>
        </w:tc>
      </w:tr>
      <w:tr>
        <w:tc>
          <w:tcPr>
            <w:tcW w:type="dxa" w:w="4675"/>
            <w:shd w:fill="EEF2F6" w:val="clear"/>
          </w:tcPr>
          <w:p>
            <w:r>
              <w:rPr>
                <w:b/>
                <w:bCs/>
                <w:color w:val="1F2937"/>
              </w:rPr>
              <w:t xml:space="preserve">Tradeable directional edge</w:t>
            </w:r>
          </w:p>
        </w:tc>
        <w:tc>
          <w:tcPr>
            <w:tcW w:type="dxa" w:w="4675"/>
            <w:shd w:fill="FFFFFF" w:val="clear"/>
          </w:tcPr>
          <w:p>
            <w:r>
              <w:rPr>
                <w:color w:val="000000"/>
              </w:rPr>
              <w:t xml:space="preserve">None yet — zero hypotheses have cleared the full promotion bar</w:t>
            </w:r>
          </w:p>
        </w:tc>
      </w:tr>
      <w:tr>
        <w:tc>
          <w:tcPr>
            <w:tcW w:type="dxa" w:w="4675"/>
            <w:shd w:fill="EEF2F6" w:val="clear"/>
          </w:tcPr>
          <w:p>
            <w:r>
              <w:rPr>
                <w:b/>
                <w:bCs/>
                <w:color w:val="1F2937"/>
              </w:rPr>
              <w:t xml:space="preserve">Data window</w:t>
            </w:r>
          </w:p>
        </w:tc>
        <w:tc>
          <w:tcPr>
            <w:tcW w:type="dxa" w:w="4675"/>
            <w:shd w:fill="FFFFFF" w:val="clear"/>
          </w:tcPr>
          <w:p>
            <w:r>
              <w:rPr>
                <w:color w:val="000000"/>
              </w:rPr>
              <w:t xml:space="preserve">Discovery: through 2021-10-03 · Validation: 2021-10-04–2024-01-03 · Holdout: after 2024-01-03</w:t>
            </w:r>
          </w:p>
        </w:tc>
      </w:tr>
      <w:tr>
        <w:tc>
          <w:tcPr>
            <w:tcW w:type="dxa" w:w="4675"/>
            <w:shd w:fill="EEF2F6" w:val="clear"/>
          </w:tcPr>
          <w:p>
            <w:r>
              <w:rPr>
                <w:b/>
                <w:bCs/>
                <w:color w:val="1F2937"/>
              </w:rPr>
              <w:t xml:space="preserve">Codebase</w:t>
            </w:r>
          </w:p>
        </w:tc>
        <w:tc>
          <w:tcPr>
            <w:tcW w:type="dxa" w:w="4675"/>
            <w:shd w:fill="FFFFFF" w:val="clear"/>
          </w:tcPr>
          <w:p>
            <w:r>
              <w:rPr>
                <w:color w:val="000000"/>
              </w:rPr>
              <w:t xml:space="preserve">122 Python modules, 110 frozen research specs, append-only ledger</w:t>
            </w:r>
          </w:p>
        </w:tc>
      </w:tr>
    </w:tbl>
    <w:p>
      <w:r>
        <w:br w:type="page"/>
      </w:r>
    </w:p>
    <w:p>
      <w:pPr>
        <w:pStyle w:val="Heading1"/>
        <w:spacing w:after="200" w:before="400"/>
      </w:pPr>
      <w:r>
        <w:t xml:space="preserve">1. What This Project Is</w:t>
      </w:r>
    </w:p>
    <w:p>
      <w:pPr>
        <w:spacing w:after="160"/>
      </w:pPr>
      <w:r>
        <w:t xml:space="preserve">Tony is a systematic research platform built to find a genuine, tradeable edge in NQ (Nasdaq-100 e-mini) futures — not a signal that looks good in a backtest, but one that survives honest, out-of-sample testing and clears a strict statistical and economic bar before a dollar is ever risked on it. It has two working halves:</w:t>
      </w:r>
    </w:p>
    <w:p>
      <w:pPr>
        <w:pStyle w:val="ListParagraph"/>
        <w:numPr>
          <w:ilvl w:val="0"/>
          <w:numId w:val="1"/>
        </w:numPr>
        <w:spacing w:after="80"/>
      </w:pPr>
      <w:r>
        <w:rPr>
          <w:b w:val="false"/>
          <w:bCs w:val="false"/>
        </w:rPr>
        <w:t xml:space="preserve">A Python research pipeline (this repo) that searches for and tests market behavior, hypothesis by hypothesis, under a written research-integrity protocol.</w:t>
      </w:r>
    </w:p>
    <w:p>
      <w:pPr>
        <w:pStyle w:val="ListParagraph"/>
        <w:numPr>
          <w:ilvl w:val="0"/>
          <w:numId w:val="1"/>
        </w:numPr>
        <w:spacing w:after="80"/>
      </w:pPr>
      <w:r>
        <w:t xml:space="preserve">A Pine Script side (TradingView) for eventual live signal/indicator implementation, once something from the research side actually earns it.</w:t>
      </w:r>
    </w:p>
    <w:p>
      <w:pPr>
        <w:spacing w:after="160"/>
      </w:pPr>
      <w:r>
        <w:t xml:space="preserve">The governing constraint, unchanged since the project's early weeks: it is far easier to accidentally convince yourself a random pattern is a real edge than it is to find one. Every process rule in this project exists to make that mistake hard to make by accident — even when the person running it (Claude, across many sessions) is highly motivated to find something.</w:t>
      </w:r>
    </w:p>
    <w:p>
      <w:pPr>
        <w:pStyle w:val="Heading1"/>
        <w:spacing w:after="200" w:before="400"/>
      </w:pPr>
      <w:r>
        <w:t xml:space="preserve">2. The Core Method: Two Layers, Never Conflated</w:t>
      </w:r>
    </w:p>
    <w:p>
      <w:pPr>
        <w:spacing w:after="160"/>
      </w:pPr>
      <w:r>
        <w:t xml:space="preserve">The single most important structural decision in this project, adopted after an earlier phase that blurred the line between “interesting pattern” and “proven edge.” Two layers, kept strictly separate:</w:t>
      </w:r>
    </w:p>
    <w:p>
      <w:pPr>
        <w:pStyle w:val="Heading2"/>
        <w:spacing w:after="150" w:before="300"/>
      </w:pPr>
      <w:r>
        <w:t xml:space="preserve">Layer 1 — Market Behavior Observatory</w:t>
      </w:r>
    </w:p>
    <w:p>
      <w:pPr>
        <w:spacing w:after="160"/>
      </w:pPr>
      <w:r>
        <w:t xml:space="preserve">Discovers and characterizes market behavior only. It can surface a candidate (“narrow midday sessions tend to have narrow afternoons”) but it can never confirm, prove, or validate a trading edge — that is not what it is for. Exploratory, run only against the Discovery data slice, and explicitly marked non-trading in every script.</w:t>
      </w:r>
    </w:p>
    <w:p>
      <w:pPr>
        <w:pStyle w:val="Heading2"/>
        <w:spacing w:after="150" w:before="300"/>
      </w:pPr>
      <w:r>
        <w:t xml:space="preserve">Layer 2 — Monetization &amp; Validation</w:t>
      </w:r>
    </w:p>
    <w:p>
      <w:pPr>
        <w:spacing w:after="160"/>
      </w:pPr>
      <w:r>
        <w:t xml:space="preserve">A separate, explicitly documented, frozen-before-test trading hypothesis, built from a Layer 1 finding but designed and pre-registered on its own — entry, stop, target, direction, all fixed before the code runs. It goes through the full Discovery → Validation → promotion pipeline described below.</w:t>
      </w:r>
    </w:p>
    <w:p>
      <w:pPr>
        <w:spacing w:after="160"/>
      </w:pPr>
      <w:r>
        <w:t xml:space="preserve">The critical principle that makes this useful rather than paralyzing: a behavioral finding can be genuinely interesting even when a trade built on it fails, and a failed trade design does not disprove the underlying behavior. Several of this project's real findings (see Section 6) exist precisely because that distinction was respected — a wrong-direction or failed-monetization result got written up honestly instead of thrown away or silently retried.</w:t>
      </w:r>
    </w:p>
    <w:p>
      <w:pPr>
        <w:pStyle w:val="Heading2"/>
        <w:spacing w:after="150" w:before="300"/>
      </w:pPr>
      <w:r>
        <w:t xml:space="preserve">The Research Sequence</w:t>
      </w:r>
    </w:p>
    <w:p>
      <w:pPr>
        <w:spacing w:after="160"/>
      </w:pPr>
      <w:r>
        <w:rPr>
          <w:i/>
          <w:iCs/>
          <w:color w:val="2E5F8A"/>
        </w:rPr>
        <w:t xml:space="preserve">MARKET → OBSERVE → MEASURE → CHARACTERIZE → COMPARE TO BASELINE → ASSESS ROBUSTNESS → IDENTIFY CANDIDATE BEHAVIOR → FORMULATE SEPARATE MONETIZATION HYPOTHESIS → FREEZE → VALIDATE → PROMOTE OR REJECT → LEARN.</w:t>
      </w:r>
    </w:p>
    <w:p>
      <w:pPr>
        <w:pStyle w:val="Heading1"/>
        <w:spacing w:after="200" w:before="400"/>
      </w:pPr>
      <w:r>
        <w:t xml:space="preserve">3. The Guardrails (Why This Is Trustworthy, Not Just Busy)</w:t>
      </w:r>
    </w:p>
    <w:p>
      <w:pPr>
        <w:pStyle w:val="Heading2"/>
        <w:spacing w:after="150" w:before="300"/>
      </w:pPr>
      <w:r>
        <w:t xml:space="preserve">Chronological Discovery / Validation / Holdout split</w:t>
      </w:r>
    </w:p>
    <w:p>
      <w:pPr>
        <w:spacing w:after="160"/>
      </w:pPr>
      <w:r>
        <w:t xml:space="preserve">Not randomized — randomizing would leak information across nearby, serially-correlated dates. The research process only ever sees the Discovery slice (through 2021-10-03). A promoted hypothesis is then re-tested, parameters frozen, on Validation data (2021-10-04 to 2024-01-03) it never touched during discovery. A final Holdout slice (after 2024-01-03) is reserved and has never been used for anything in this project's history.</w:t>
      </w:r>
    </w:p>
    <w:p>
      <w:pPr>
        <w:pStyle w:val="Heading2"/>
        <w:spacing w:after="150" w:before="300"/>
      </w:pPr>
      <w:r>
        <w:t xml:space="preserve">Frozen specs before implementation</w:t>
      </w:r>
    </w:p>
    <w:p>
      <w:pPr>
        <w:spacing w:after="160"/>
      </w:pPr>
      <w:r>
        <w:t xml:space="preserve">Every hypothesis gets a written spec — mechanism, exact entry/exit rule, pre-registered direction — before any code runs against it. Direction is stated in writing before looking at the result, specifically to block the single easiest way to fool yourself: seeing a result, then quietly deciding that was the direction you meant all along.</w:t>
      </w:r>
    </w:p>
    <w:p>
      <w:pPr>
        <w:pStyle w:val="Heading2"/>
        <w:spacing w:after="150" w:before="300"/>
      </w:pPr>
      <w:r>
        <w:t xml:space="preserve">No retuning after a null result</w:t>
      </w:r>
    </w:p>
    <w:p>
      <w:pPr>
        <w:spacing w:after="160"/>
      </w:pPr>
      <w:r>
        <w:t xml:space="preserve">A failed hypothesis is closed, not adjusted and re-run. Adjusting a losing idea until it wins is how a coincidence gets manufactured to look like a discovery — this rule exists specifically to make that impossible, even under real pressure to find something.</w:t>
      </w:r>
    </w:p>
    <w:p>
      <w:pPr>
        <w:pStyle w:val="Heading2"/>
        <w:spacing w:after="150" w:before="300"/>
      </w:pPr>
      <w:r>
        <w:t xml:space="preserve">Two-attempt limit</w:t>
      </w:r>
    </w:p>
    <w:p>
      <w:pPr>
        <w:spacing w:after="160"/>
      </w:pPr>
      <w:r>
        <w:t xml:space="preserve">Any single behavioral finding gets at most two independent monetization designs (never a retune of the same design). If both fail, that specific finding is permanently closed to further trading attempts — though the finding itself, and what was learned from why it failed, stays on the record.</w:t>
      </w:r>
    </w:p>
    <w:p>
      <w:pPr>
        <w:pStyle w:val="Heading2"/>
        <w:spacing w:after="150" w:before="300"/>
      </w:pPr>
      <w:r>
        <w:t xml:space="preserve">The promotion bar (what “real” actually means here)</w:t>
      </w:r>
    </w:p>
    <w:p>
      <w:pPr>
        <w:spacing w:after="160"/>
      </w:pPr>
      <w:r>
        <w:t xml:space="preserve">A hypothesis is only promoted to live-trading consideration if it clears ALL of: (1) a 90% bootstrap confidence interval entirely above zero, (2) an economically meaningful effect size (≥0.05R, i.e., large enough to survive real transaction costs with room to spare), and (3) confirmation by one pre-registered prospective test on data the hypothesis never touched during discovery. In 116 hypotheses tested, zero have cleared this bar.</w:t>
      </w:r>
    </w:p>
    <w:p>
      <w:pPr>
        <w:pStyle w:val="Heading2"/>
        <w:spacing w:after="150" w:before="300"/>
      </w:pPr>
      <w:r>
        <w:t xml:space="preserve">The append-only ledger</w:t>
      </w:r>
    </w:p>
    <w:p>
      <w:pPr>
        <w:spacing w:after="160"/>
      </w:pPr>
      <w:r>
        <w:t xml:space="preserve">Every single hypothesis ever tested — not just the interesting ones — is logged to research/ledger/hypotheses.jsonl, append-only, three-field model (Strategy Origin / Strategy Status / Live Authorization). This exists specifically to prevent the classic “1,847 tested, you only see the 37 promising ones” problem: a 2.0 Sharpe found after 3 honest attempts must be indistinguishable, in the record, from one found by grinding through variations until something looked good — the ledger is what makes that difference checkable instead of just trusted.</w:t>
      </w:r>
    </w:p>
    <w:p>
      <w:pPr>
        <w:pStyle w:val="Heading1"/>
        <w:spacing w:after="200" w:before="400"/>
      </w:pPr>
      <w:r>
        <w:t xml:space="preserve">4. The LEARN Layer (a process innovation from this project, added mid-stream)</w:t>
      </w:r>
    </w:p>
    <w:p>
      <w:pPr>
        <w:spacing w:after="160"/>
      </w:pPr>
      <w:r>
        <w:t xml:space="preserve">Added as a refinement partway through the project's life: a persistent institutional-knowledge layer, not a pipeline stage. A rejected hypothesis's failure REASON becomes standing, reusable knowledge that gets checked before designing the NEXT hypothesis — explicitly NOT permission to keep modifying the same failed hypothesis (that would undo the whole point of the two-attempt limit). The framing that drove it: “stable research framework + accumulating knowledge + disposable hypotheses.”</w:t>
      </w:r>
    </w:p>
    <w:p>
      <w:pPr>
        <w:spacing w:after="160"/>
      </w:pPr>
      <w:r>
        <w:t xml:space="preserve">Six named failure modes have been identified so far, each now checked against before a new hypothesis is designed:</w:t>
      </w:r>
    </w:p>
    <w:p>
      <w:pPr>
        <w:pStyle w:val="ListParagraph"/>
        <w:numPr>
          <w:ilvl w:val="0"/>
          <w:numId w:val="1"/>
        </w:numPr>
        <w:spacing w:after="80"/>
      </w:pPr>
      <w:r>
        <w:t xml:space="preserve">Cost-dominance — the effect is real but too small to survive transaction costs.</w:t>
      </w:r>
    </w:p>
    <w:p>
      <w:pPr>
        <w:pStyle w:val="ListParagraph"/>
        <w:numPr>
          <w:ilvl w:val="0"/>
          <w:numId w:val="1"/>
        </w:numPr>
        <w:spacing w:after="80"/>
      </w:pPr>
      <w:r>
        <w:t xml:space="preserve">Thin-sample overconfidence — too few events for the statistics to mean anything, even if the point estimate looks good.</w:t>
      </w:r>
    </w:p>
    <w:p>
      <w:pPr>
        <w:pStyle w:val="ListParagraph"/>
        <w:numPr>
          <w:ilvl w:val="0"/>
          <w:numId w:val="1"/>
        </w:numPr>
        <w:spacing w:after="80"/>
      </w:pPr>
      <w:r>
        <w:t xml:space="preserve">Correlated-lens double-counting — multiple “independent” signals that are secretly measuring the same underlying thing.</w:t>
      </w:r>
    </w:p>
    <w:p>
      <w:pPr>
        <w:pStyle w:val="ListParagraph"/>
        <w:numPr>
          <w:ilvl w:val="0"/>
          <w:numId w:val="1"/>
        </w:numPr>
        <w:spacing w:after="80"/>
      </w:pPr>
      <w:r>
        <w:t xml:space="preserve">Direction-ambiguity in pooled measurements — discovering a hypothesis's direction from the same result you're testing it on, rather than pre-registering it.</w:t>
      </w:r>
    </w:p>
    <w:p>
      <w:pPr>
        <w:pStyle w:val="ListParagraph"/>
        <w:numPr>
          <w:ilvl w:val="0"/>
          <w:numId w:val="1"/>
        </w:numPr>
        <w:spacing w:after="80"/>
      </w:pPr>
      <w:r>
        <w:t xml:space="preserve">Marginal-Discovery-passes-don't-replicate — a result that barely cleared the Discovery bar is disproportionately likely to fail its prospective test.</w:t>
      </w:r>
    </w:p>
    <w:p>
      <w:pPr>
        <w:pStyle w:val="ListParagraph"/>
        <w:numPr>
          <w:ilvl w:val="0"/>
          <w:numId w:val="1"/>
        </w:numPr>
        <w:spacing w:after="80"/>
      </w:pPr>
      <w:r>
        <w:t xml:space="preserve">Exit-design mismatch (added this session) — a real, credible average-price drift effect whose natural realization path doesn't suit a binary stop/target trade structure, so it fails monetization even though the underlying behavior is genuine.</w:t>
      </w:r>
    </w:p>
    <w:p>
      <w:pPr>
        <w:spacing w:after="160"/>
      </w:pPr>
      <w:r>
        <w:t xml:space="preserve">A retrospective pass applying LEARN to all rejections found only ~28% hit a NAMED failure mode — about 70% are “clean nulls” (no real effect ever detected, at any stage). That reframed the project's self-diagnosis: the harder bottleneck is finding anything real in the first place, not losing real effects to cost or sample-size problems after the fact.</w:t>
      </w:r>
    </w:p>
    <w:p>
      <w:r>
        <w:br w:type="page"/>
      </w:r>
    </w:p>
    <w:p>
      <w:pPr>
        <w:pStyle w:val="Heading1"/>
        <w:spacing w:after="200" w:before="400"/>
      </w:pPr>
      <w:r>
        <w:t xml:space="preserve">5. How We Manage Through This — Standing Operating Rules</w:t>
      </w:r>
    </w:p>
    <w:p>
      <w:pPr>
        <w:spacing w:after="160"/>
      </w:pPr>
      <w:r>
        <w:t xml:space="preserve">These rules govern how autonomous work happens between check-ins with Jason, refined several times over the project's life as gaps were found the hard way:</w:t>
      </w:r>
    </w:p>
    <w:p>
      <w:pPr>
        <w:pStyle w:val="ListParagraph"/>
        <w:numPr>
          <w:ilvl w:val="0"/>
          <w:numId w:val="1"/>
        </w:numPr>
        <w:spacing w:after="80"/>
      </w:pPr>
      <w:r>
        <w:t xml:space="preserve">Run continuously without looping Jason in for routine decisions. Loop in only for (a) a result clearing the full promotion bar, or (b) any purchase of $5 or more.</w:t>
      </w:r>
    </w:p>
    <w:p>
      <w:pPr>
        <w:pStyle w:val="ListParagraph"/>
        <w:numPr>
          <w:ilvl w:val="0"/>
          <w:numId w:val="1"/>
        </w:numPr>
        <w:spacing w:after="80"/>
      </w:pPr>
      <w:r>
        <w:t xml:space="preserve">“Don't loop me in” means never presenting an open fork for Jason to choose between — resolve it internally (an internal “staff meeting” — own take plus a skeptical/risk take, argued out), reach a call, execute it, then report the outcome and reasoning.</w:t>
      </w:r>
    </w:p>
    <w:p>
      <w:pPr>
        <w:pStyle w:val="ListParagraph"/>
        <w:numPr>
          <w:ilvl w:val="0"/>
          <w:numId w:val="1"/>
        </w:numPr>
        <w:spacing w:after="80"/>
      </w:pPr>
      <w:r>
        <w:t xml:space="preserve">Never end a report on an open question. Always state an explicit recommendation as the next action — including for things that don't look like a “decision,” like a data blocker or “what should we prioritize.” The only things that pause and wait for a reply are the two loop-in triggers above.</w:t>
      </w:r>
    </w:p>
    <w:p>
      <w:pPr>
        <w:pStyle w:val="ListParagraph"/>
        <w:numPr>
          <w:ilvl w:val="0"/>
          <w:numId w:val="1"/>
        </w:numPr>
        <w:spacing w:after="80"/>
      </w:pPr>
      <w:r>
        <w:t xml:space="preserve">Mechanism-first candidate selection: prioritize event families with a plausible, citable liquidity/participation/flow mechanism over merely-untried event types — crude retrospective evidence suggests mechanism-sourced ideas find a real effect roughly 2–3x as often as intuition-sourced ones.</w:t>
      </w:r>
    </w:p>
    <w:p>
      <w:pPr>
        <w:pStyle w:val="ListParagraph"/>
        <w:numPr>
          <w:ilvl w:val="0"/>
          <w:numId w:val="1"/>
        </w:numPr>
        <w:spacing w:after="80"/>
      </w:pPr>
      <w:r>
        <w:t xml:space="preserve">A dedicated research-agent process sources and vets new candidate mechanisms in parallel (external literature, data cost, survivability against real trading costs) — but hypothesis EXECUTION against the actual repo/ledger stays strictly serial, one at a time, by design: parallelizing that step is the exact failure mode the whole protocol exists to prevent (quietly running many variations and keeping the one that looks good), not a throughput win.</w:t>
      </w:r>
    </w:p>
    <w:p>
      <w:pPr>
        <w:pStyle w:val="Heading1"/>
        <w:spacing w:after="200" w:before="400"/>
      </w:pPr>
      <w:r>
        <w:t xml:space="preserve">6. Wins</w:t>
      </w:r>
    </w:p>
    <w:p>
      <w:pPr>
        <w:pStyle w:val="Heading2"/>
        <w:spacing w:after="150" w:before="300"/>
      </w:pPr>
      <w:r>
        <w:t xml:space="preserve">Three validated findings (the only 3 in the project's history to survive a real prospective test on unseen data)</w:t>
      </w:r>
    </w:p>
    <w:p>
      <w:pPr>
        <w:pStyle w:val="ListParagraph"/>
        <w:numPr>
          <w:ilvl w:val="0"/>
          <w:numId w:val="1"/>
        </w:numPr>
        <w:spacing w:after="80"/>
      </w:pPr>
      <w:r>
        <w:t xml:space="preserve">Range-contraction persistence — an unusually narrow prior day predicts a narrower next day.</w:t>
      </w:r>
    </w:p>
    <w:p>
      <w:pPr>
        <w:pStyle w:val="ListParagraph"/>
        <w:numPr>
          <w:ilvl w:val="0"/>
          <w:numId w:val="1"/>
        </w:numPr>
        <w:spacing w:after="80"/>
      </w:pPr>
      <w:r>
        <w:t xml:space="preserve">Overnight coil — a tight overnight session predicts a tighter same-day RTH range.</w:t>
      </w:r>
    </w:p>
    <w:p>
      <w:pPr>
        <w:pStyle w:val="ListParagraph"/>
        <w:numPr>
          <w:ilvl w:val="0"/>
          <w:numId w:val="1"/>
        </w:numPr>
        <w:spacing w:after="80"/>
      </w:pPr>
      <w:r>
        <w:t xml:space="preserve">Midday–afternoon range persistence — a narrow midday session (12:00–14:00) predicts a narrow afternoon (14:00–16:00); the strongest and cleanest of the three, found via mechanism-first candidate selection.</w:t>
      </w:r>
    </w:p>
    <w:p>
      <w:pPr>
        <w:spacing w:after="160"/>
      </w:pPr>
      <w:r>
        <w:t xml:space="preserve">All three are volatility/range facts, not directional predictions — none of them says which way price will move, only how much it's likely to move. That makes them unsuitable as standalone strategies but genuinely useful as a sizing/context layer: they're built into src/volatility_conditioning.py as reusable inputs (an inverse-volatility position-size multiplier, clipped to a sane range) available to any future strategy that does clear the bar.</w:t>
      </w:r>
    </w:p>
    <w:p>
      <w:pPr>
        <w:pStyle w:val="Heading2"/>
        <w:spacing w:after="150" w:before="300"/>
      </w:pPr>
      <w:r>
        <w:t xml:space="preserve">Process and infrastructure wins</w:t>
      </w:r>
    </w:p>
    <w:p>
      <w:pPr>
        <w:pStyle w:val="ListParagraph"/>
        <w:numPr>
          <w:ilvl w:val="0"/>
          <w:numId w:val="1"/>
        </w:numPr>
        <w:spacing w:after="80"/>
      </w:pPr>
      <w:r>
        <w:t xml:space="preserve">The two-layer methodology itself and the LEARN knowledge layer — both genuine process innovations that changed how new hypotheses get chosen, not just documentation.</w:t>
      </w:r>
    </w:p>
    <w:p>
      <w:pPr>
        <w:pStyle w:val="ListParagraph"/>
        <w:numPr>
          <w:ilvl w:val="0"/>
          <w:numId w:val="1"/>
        </w:numPr>
        <w:spacing w:after="80"/>
      </w:pPr>
      <w:r>
        <w:t xml:space="preserve">A cost-aware screening step (ATR-normalized effect size) that flags a candidate as cost-dominated before any hypothesis spec gets written, saving real research time on effects too small to ever matter.</w:t>
      </w:r>
    </w:p>
    <w:p>
      <w:pPr>
        <w:pStyle w:val="ListParagraph"/>
        <w:numPr>
          <w:ilvl w:val="0"/>
          <w:numId w:val="1"/>
        </w:numPr>
        <w:spacing w:after="80"/>
      </w:pPr>
      <w:r>
        <w:t xml:space="preserve">A formalized, repeatable research-agent process for sourcing and vetting new candidate mechanisms from outside literature, with an explicit division between what can run in parallel (idea vetting) and what must stay serial (spec execution against the real repo).</w:t>
      </w:r>
    </w:p>
    <w:p>
      <w:pPr>
        <w:pStyle w:val="ListParagraph"/>
        <w:numPr>
          <w:ilvl w:val="0"/>
          <w:numId w:val="1"/>
        </w:numPr>
        <w:spacing w:after="80"/>
      </w:pPr>
      <w:r>
        <w:t xml:space="preserve">An honest, checkable historical record: 116 hypotheses, every one logged, including the unglamorous ones — the single biggest defense this project has against fooling itself.</w:t>
      </w:r>
    </w:p>
    <w:p>
      <w:pPr>
        <w:pStyle w:val="Heading1"/>
        <w:spacing w:after="200" w:before="400"/>
      </w:pPr>
      <w:r>
        <w:t xml:space="preserve">7. Challenges &amp; Honest Near-Misses</w:t>
      </w:r>
    </w:p>
    <w:p>
      <w:pPr>
        <w:spacing w:after="160"/>
      </w:pPr>
      <w:r>
        <w:t xml:space="preserve">The project's clearest, most repeated lesson: finding a real, statistically credible price effect and finding a tradeable edge are different bars, and this project has now crossed the first one several times without ever crossing the second.</w:t>
      </w:r>
    </w:p>
    <w:p>
      <w:pPr>
        <w:pStyle w:val="ListParagraph"/>
        <w:numPr>
          <w:ilvl w:val="0"/>
          <w:numId w:val="1"/>
        </w:numPr>
        <w:spacing w:after="80"/>
      </w:pPr>
      <w:r>
        <w:t xml:space="preserve">H87/H89 (gap-fade) — the closest-ever near-miss on a directional edge; exhausted across entry design, a conditioning overlay, and position sizing, all null or negligible.</w:t>
      </w:r>
    </w:p>
    <w:p>
      <w:pPr>
        <w:pStyle w:val="ListParagraph"/>
        <w:numPr>
          <w:ilvl w:val="0"/>
          <w:numId w:val="1"/>
        </w:numPr>
        <w:spacing w:after="80"/>
      </w:pPr>
      <w:r>
        <w:t xml:space="preserve">H93 (overnight-down/wide-regime fade) — the closest-ever Discovery-only pass; failed its required prospective test on fresh data.</w:t>
      </w:r>
    </w:p>
    <w:p>
      <w:pPr>
        <w:pStyle w:val="ListParagraph"/>
        <w:numPr>
          <w:ilvl w:val="0"/>
          <w:numId w:val="1"/>
        </w:numPr>
        <w:spacing w:after="80"/>
      </w:pPr>
      <w:r>
        <w:t xml:space="preserve">Pre-NFP overnight drift (this session) — the single strongest statistical result in the project's history: a credible, well-powered effect (74 events, confidence interval entirely on one side of zero, well above the cost floor). It came back in the opposite direction from the published literature, which was disclosed and written up honestly rather than discarded. Both allowed monetization attempts against it — an excursion-derived stop/target and the project's standard ATR-scaled stop/target — failed once real trade-level risk framing was applied. This is what led directly to the exit-design-mismatch failure mode above: it is now the fourth time this exact pattern (real average-price drift, no surviving trade design) has shown up.</w:t>
      </w:r>
    </w:p>
    <w:p>
      <w:pPr>
        <w:pStyle w:val="ListParagraph"/>
        <w:numPr>
          <w:ilvl w:val="0"/>
          <w:numId w:val="1"/>
        </w:numPr>
        <w:spacing w:after="80"/>
      </w:pPr>
      <w:r>
        <w:t xml:space="preserve">Data limitations — the continuous NQ price series has a data gap on every quarterly contract-roll day (no usable session data), discovered while testing a witching-day volatility candidate; this silently blocks any research question tied to those specific dates and needs raw per-contract data (not the continuous series) to fix. A related VIX-futures-term-structure candidate is blocked the same way. A data quote was obtained ($199.95 for a one-time historical VIX futures purchase) and declined as not worth it against the current candidate quality.</w:t>
      </w:r>
    </w:p>
    <w:p>
      <w:pPr>
        <w:pStyle w:val="ListParagraph"/>
        <w:numPr>
          <w:ilvl w:val="0"/>
          <w:numId w:val="1"/>
        </w:numPr>
        <w:spacing w:after="80"/>
      </w:pPr>
      <w:r>
        <w:t xml:space="preserve">Free-data research pipeline currently exhausted — after three research-agent batches (calendar effects, options/roll mechanics, auction/closing mechanics, macro announcements), the remaining unexplored candidates need either paid data already declined (VIX futures history), a paid real-time feed not yet justified (market-on-close imbalance, roughly $100–500/month), or non-trivial new data acquisition (e.g., a mega-cap earnings calendar, which isn't rule-based like Fed meeting dates and needs either a free API signup or manual compilation, not yet actioned).</w:t>
      </w:r>
    </w:p>
    <w:p>
      <w:r>
        <w:br w:type="page"/>
      </w:r>
    </w:p>
    <w:p>
      <w:pPr>
        <w:pStyle w:val="Heading1"/>
        <w:spacing w:after="200" w:before="400"/>
      </w:pPr>
      <w:r>
        <w:t xml:space="preserve">8. Build Structure (What's Actually in the Repository)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F8A" w:val="clear"/>
          </w:tcPr>
          <w:p>
            <w:r>
              <w:rPr>
                <w:b/>
                <w:bCs/>
                <w:color w:val="FFFFFF"/>
              </w:rPr>
              <w:t xml:space="preserve">Area</w:t>
            </w:r>
          </w:p>
        </w:tc>
        <w:tc>
          <w:tcPr>
            <w:tcW w:type="dxa" w:w="4675"/>
            <w:shd w:fill="2E5F8A" w:val="clear"/>
          </w:tcPr>
          <w:p>
            <w:r>
              <w:rPr>
                <w:color w:val="FFFFFF"/>
              </w:rPr>
              <w:t xml:space="preserve">What lives there</w:t>
            </w:r>
          </w:p>
        </w:tc>
      </w:tr>
      <w:tr>
        <w:tc>
          <w:tcPr>
            <w:tcW w:type="dxa" w:w="4675"/>
            <w:shd w:fill="EEF2F6" w:val="clear"/>
          </w:tcPr>
          <w:p>
            <w:r>
              <w:rPr>
                <w:b/>
                <w:bCs/>
                <w:color w:val="1F2937"/>
              </w:rPr>
              <w:t xml:space="preserve">src/ (122 files)</w:t>
            </w:r>
          </w:p>
        </w:tc>
        <w:tc>
          <w:tcPr>
            <w:tcW w:type="dxa" w:w="4675"/>
            <w:shd w:fill="FFFFFF" w:val="clear"/>
          </w:tcPr>
          <w:p>
            <w:r>
              <w:rPr>
                <w:color w:val="000000"/>
              </w:rPr>
              <w:t xml:space="preserve">All Python research code — data loading/splitting, the Observatory scan engine, individual hypothesis test scripts (one script per frozen spec), the backtest simulator, the append-only ledger logger, and reusable analysis modules (volatility conditioning, volume profile, etc.).</w:t>
            </w:r>
          </w:p>
        </w:tc>
      </w:tr>
      <w:tr>
        <w:tc>
          <w:tcPr>
            <w:tcW w:type="dxa" w:w="4675"/>
            <w:shd w:fill="EEF2F6" w:val="clear"/>
          </w:tcPr>
          <w:p>
            <w:r>
              <w:rPr>
                <w:b/>
                <w:bCs/>
                <w:color w:val="1F2937"/>
              </w:rPr>
              <w:t xml:space="preserve">research/studies/ (110 files)</w:t>
            </w:r>
          </w:p>
        </w:tc>
        <w:tc>
          <w:tcPr>
            <w:tcW w:type="dxa" w:w="4675"/>
            <w:shd w:fill="FFFFFF" w:val="clear"/>
          </w:tcPr>
          <w:p>
            <w:r>
              <w:rPr>
                <w:color w:val="000000"/>
              </w:rPr>
              <w:t xml:space="preserve">One frozen spec per hypothesis or Observatory scan — the mechanism, the exact rule, the pre-registered direction, written BEFORE the matching src/ script is run.</w:t>
            </w:r>
          </w:p>
        </w:tc>
      </w:tr>
      <w:tr>
        <w:tc>
          <w:tcPr>
            <w:tcW w:type="dxa" w:w="4675"/>
            <w:shd w:fill="EEF2F6" w:val="clear"/>
          </w:tcPr>
          <w:p>
            <w:r>
              <w:rPr>
                <w:b/>
                <w:bCs/>
                <w:color w:val="1F2937"/>
              </w:rPr>
              <w:t xml:space="preserve">research/ledger/hypotheses.jsonl</w:t>
            </w:r>
          </w:p>
        </w:tc>
        <w:tc>
          <w:tcPr>
            <w:tcW w:type="dxa" w:w="4675"/>
            <w:shd w:fill="FFFFFF" w:val="clear"/>
          </w:tcPr>
          <w:p>
            <w:r>
              <w:rPr>
                <w:color w:val="000000"/>
              </w:rPr>
              <w:t xml:space="preserve">The append-only historical record — every hypothesis ever tested, one line each, never edited or deleted, only appended to.</w:t>
            </w:r>
          </w:p>
        </w:tc>
      </w:tr>
      <w:tr>
        <w:tc>
          <w:tcPr>
            <w:tcW w:type="dxa" w:w="4675"/>
            <w:shd w:fill="EEF2F6" w:val="clear"/>
          </w:tcPr>
          <w:p>
            <w:r>
              <w:rPr>
                <w:b/>
                <w:bCs/>
                <w:color w:val="1F2937"/>
              </w:rPr>
              <w:t xml:space="preserve">data/</w:t>
            </w:r>
          </w:p>
        </w:tc>
        <w:tc>
          <w:tcPr>
            <w:tcW w:type="dxa" w:w="4675"/>
            <w:shd w:fill="FFFFFF" w:val="clear"/>
          </w:tcPr>
          <w:p>
            <w:r>
              <w:rPr>
                <w:color w:val="000000"/>
              </w:rPr>
              <w:t xml:space="preserve">Price data (NQ 1-min bars, cross-asset series) and every study's raw results, saved as JSON alongside its spec.</w:t>
            </w:r>
          </w:p>
        </w:tc>
      </w:tr>
      <w:tr>
        <w:tc>
          <w:tcPr>
            <w:tcW w:type="dxa" w:w="4675"/>
            <w:shd w:fill="EEF2F6" w:val="clear"/>
          </w:tcPr>
          <w:p>
            <w:r>
              <w:rPr>
                <w:b/>
                <w:bCs/>
                <w:color w:val="1F2937"/>
              </w:rPr>
              <w:t xml:space="preserve">docs/</w:t>
            </w:r>
          </w:p>
        </w:tc>
        <w:tc>
          <w:tcPr>
            <w:tcW w:type="dxa" w:w="4675"/>
            <w:shd w:fill="FFFFFF" w:val="clear"/>
          </w:tcPr>
          <w:p>
            <w:r>
              <w:rPr>
                <w:color w:val="000000"/>
              </w:rPr>
              <w:t xml:space="preserve">Standing protocol and architecture documents — RESEARCH_INTEGRITY_PROTOCOL.md (the rules in Section 3), RESEARCH_ARCHITECTURE.md, AUTOMATION_ARCHITECTURE.md (the eventual live-trading phase plan), BACKLOG.md (a running log of what's been tried and closed, in plain language).</w:t>
            </w:r>
          </w:p>
        </w:tc>
      </w:tr>
      <w:tr>
        <w:tc>
          <w:tcPr>
            <w:tcW w:type="dxa" w:w="4675"/>
            <w:shd w:fill="EEF2F6" w:val="clear"/>
          </w:tcPr>
          <w:p>
            <w:r>
              <w:rPr>
                <w:b/>
                <w:bCs/>
                <w:color w:val="1F2937"/>
              </w:rPr>
              <w:t xml:space="preserve">pine/</w:t>
            </w:r>
          </w:p>
        </w:tc>
        <w:tc>
          <w:tcPr>
            <w:tcW w:type="dxa" w:w="4675"/>
            <w:shd w:fill="FFFFFF" w:val="clear"/>
          </w:tcPr>
          <w:p>
            <w:r>
              <w:rPr>
                <w:color w:val="000000"/>
              </w:rPr>
              <w:t xml:space="preserve">TradingView Pine Script side — where a validated finding eventually becomes a live indicator or signal, once one exists.</w:t>
            </w:r>
          </w:p>
        </w:tc>
      </w:tr>
      <w:tr>
        <w:tc>
          <w:tcPr>
            <w:tcW w:type="dxa" w:w="4675"/>
            <w:shd w:fill="EEF2F6" w:val="clear"/>
          </w:tcPr>
          <w:p>
            <w:r>
              <w:rPr>
                <w:b/>
                <w:bCs/>
                <w:color w:val="1F2937"/>
              </w:rPr>
              <w:t xml:space="preserve">tests/</w:t>
            </w:r>
          </w:p>
        </w:tc>
        <w:tc>
          <w:tcPr>
            <w:tcW w:type="dxa" w:w="4675"/>
            <w:shd w:fill="FFFFFF" w:val="clear"/>
          </w:tcPr>
          <w:p>
            <w:r>
              <w:rPr>
                <w:color w:val="000000"/>
              </w:rPr>
              <w:t xml:space="preserve">Automated tests for the shared infrastructure (data splitting, backtest simulator, ledger logging) — the plumbing, not the hypotheses themselves.</w:t>
            </w:r>
          </w:p>
        </w:tc>
      </w:tr>
    </w:tbl>
    <w:p>
      <w:pPr>
        <w:spacing w:after="160"/>
      </w:pPr>
      <w:r>
        <w:t xml:space="preserve"/>
      </w:r>
    </w:p>
    <w:p>
      <w:pPr>
        <w:spacing w:after="160"/>
      </w:pPr>
      <w:r>
        <w:t xml:space="preserve">Working rhythm: every research thread follows the same shape — write the frozen spec in research/studies/, write the matching script in src/, run it once against the Discovery slice, log the result to the ledger (win or null, always), then update docs/BACKLOG.md in plain language. Git history (github.com/jasonalanis1, repo nq-research-platform) is the full audit trail underneath the ledger — every commit corresponds to one completed research step.</w:t>
      </w:r>
    </w:p>
    <w:p>
      <w:pPr>
        <w:pStyle w:val="Heading1"/>
        <w:spacing w:after="200" w:before="400"/>
      </w:pPr>
      <w:r>
        <w:t xml:space="preserve">9. Current State, In One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F8A" w:val="clear"/>
          </w:tcPr>
          <w:p>
            <w:r>
              <w:rPr>
                <w:b/>
                <w:bCs/>
                <w:color w:val="FFFFFF"/>
              </w:rPr>
              <w:t xml:space="preserve">Question</w:t>
            </w:r>
          </w:p>
        </w:tc>
        <w:tc>
          <w:tcPr>
            <w:tcW w:type="dxa" w:w="4675"/>
            <w:shd w:fill="2E5F8A" w:val="clear"/>
          </w:tcPr>
          <w:p>
            <w:r>
              <w:rPr>
                <w:color w:val="FFFFFF"/>
              </w:rPr>
              <w:t xml:space="preserve">Answer as of this document</w:t>
            </w:r>
          </w:p>
        </w:tc>
      </w:tr>
      <w:tr>
        <w:tc>
          <w:tcPr>
            <w:tcW w:type="dxa" w:w="4675"/>
            <w:shd w:fill="EEF2F6" w:val="clear"/>
          </w:tcPr>
          <w:p>
            <w:r>
              <w:rPr>
                <w:b/>
                <w:bCs/>
                <w:color w:val="1F2937"/>
              </w:rPr>
              <w:t xml:space="preserve">Total hypotheses tested</w:t>
            </w:r>
          </w:p>
        </w:tc>
        <w:tc>
          <w:tcPr>
            <w:tcW w:type="dxa" w:w="4675"/>
            <w:shd w:fill="FFFFFF" w:val="clear"/>
          </w:tcPr>
          <w:p>
            <w:r>
              <w:rPr>
                <w:color w:val="000000"/>
              </w:rPr>
              <w:t xml:space="preserve">116</w:t>
            </w:r>
          </w:p>
        </w:tc>
      </w:tr>
      <w:tr>
        <w:tc>
          <w:tcPr>
            <w:tcW w:type="dxa" w:w="4675"/>
            <w:shd w:fill="EEF2F6" w:val="clear"/>
          </w:tcPr>
          <w:p>
            <w:r>
              <w:rPr>
                <w:b/>
                <w:bCs/>
                <w:color w:val="1F2937"/>
              </w:rPr>
              <w:t xml:space="preserve">Ever cleared the full promotion bar</w:t>
            </w:r>
          </w:p>
        </w:tc>
        <w:tc>
          <w:tcPr>
            <w:tcW w:type="dxa" w:w="4675"/>
            <w:shd w:fill="FFFFFF" w:val="clear"/>
          </w:tcPr>
          <w:p>
            <w:r>
              <w:rPr>
                <w:color w:val="000000"/>
              </w:rPr>
              <w:t xml:space="preserve">0</w:t>
            </w:r>
          </w:p>
        </w:tc>
      </w:tr>
      <w:tr>
        <w:tc>
          <w:tcPr>
            <w:tcW w:type="dxa" w:w="4675"/>
            <w:shd w:fill="EEF2F6" w:val="clear"/>
          </w:tcPr>
          <w:p>
            <w:r>
              <w:rPr>
                <w:b/>
                <w:bCs/>
                <w:color w:val="1F2937"/>
              </w:rPr>
              <w:t xml:space="preserve">Validated volatility findings (non-directional)</w:t>
            </w:r>
          </w:p>
        </w:tc>
        <w:tc>
          <w:tcPr>
            <w:tcW w:type="dxa" w:w="4675"/>
            <w:shd w:fill="FFFFFF" w:val="clear"/>
          </w:tcPr>
          <w:p>
            <w:r>
              <w:rPr>
                <w:color w:val="000000"/>
              </w:rPr>
              <w:t xml:space="preserve">3, in production use as a sizing input</w:t>
            </w:r>
          </w:p>
        </w:tc>
      </w:tr>
      <w:tr>
        <w:tc>
          <w:tcPr>
            <w:tcW w:type="dxa" w:w="4675"/>
            <w:shd w:fill="EEF2F6" w:val="clear"/>
          </w:tcPr>
          <w:p>
            <w:r>
              <w:rPr>
                <w:b/>
                <w:bCs/>
                <w:color w:val="1F2937"/>
              </w:rPr>
              <w:t xml:space="preserve">Closest directional near-misses</w:t>
            </w:r>
          </w:p>
        </w:tc>
        <w:tc>
          <w:tcPr>
            <w:tcW w:type="dxa" w:w="4675"/>
            <w:shd w:fill="FFFFFF" w:val="clear"/>
          </w:tcPr>
          <w:p>
            <w:r>
              <w:rPr>
                <w:color w:val="000000"/>
              </w:rPr>
              <w:t xml:space="preserve">H87/H89 (gap-fade), H93 (overnight fade), pre-NFP overnight drift — all closed, none tradeable</w:t>
            </w:r>
          </w:p>
        </w:tc>
      </w:tr>
      <w:tr>
        <w:tc>
          <w:tcPr>
            <w:tcW w:type="dxa" w:w="4675"/>
            <w:shd w:fill="EEF2F6" w:val="clear"/>
          </w:tcPr>
          <w:p>
            <w:r>
              <w:rPr>
                <w:b/>
                <w:bCs/>
                <w:color w:val="1F2937"/>
              </w:rPr>
              <w:t xml:space="preserve">Live execution infrastructure</w:t>
            </w:r>
          </w:p>
        </w:tc>
        <w:tc>
          <w:tcPr>
            <w:tcW w:type="dxa" w:w="4675"/>
            <w:shd w:fill="FFFFFF" w:val="clear"/>
          </w:tcPr>
          <w:p>
            <w:r>
              <w:rPr>
                <w:color w:val="000000"/>
              </w:rPr>
              <w:t xml:space="preserve">Scoped only, not built — correctly, since nothing has earned it yet. Three viable paths costed (webhook, direct broker API, IBKR native).</w:t>
            </w:r>
          </w:p>
        </w:tc>
      </w:tr>
      <w:tr>
        <w:tc>
          <w:tcPr>
            <w:tcW w:type="dxa" w:w="4675"/>
            <w:shd w:fill="EEF2F6" w:val="clear"/>
          </w:tcPr>
          <w:p>
            <w:r>
              <w:rPr>
                <w:b/>
                <w:bCs/>
                <w:color w:val="1F2937"/>
              </w:rPr>
              <w:t xml:space="preserve">Immediate blockers</w:t>
            </w:r>
          </w:p>
        </w:tc>
        <w:tc>
          <w:tcPr>
            <w:tcW w:type="dxa" w:w="4675"/>
            <w:shd w:fill="FFFFFF" w:val="clear"/>
          </w:tcPr>
          <w:p>
            <w:r>
              <w:rPr>
                <w:color w:val="000000"/>
              </w:rPr>
              <w:t xml:space="preserve">Free-data candidates exhausted for now; two real paid-data options on the table (declined VIX history, tabled MOC imbalance feed); one free-but-effortful candidate identified (mega-cap earnings calendar) and not yet actioned</w:t>
            </w:r>
          </w:p>
        </w:tc>
      </w:tr>
    </w:tbl>
    <w:p>
      <w:pPr>
        <w:pStyle w:val="Heading1"/>
        <w:spacing w:after="200" w:before="400"/>
      </w:pPr>
      <w:r>
        <w:t xml:space="preserve">10. What a New Collaborator Needs to Know First</w:t>
      </w:r>
    </w:p>
    <w:p>
      <w:pPr>
        <w:pStyle w:val="ListParagraph"/>
        <w:numPr>
          <w:ilvl w:val="0"/>
          <w:numId w:val="1"/>
        </w:numPr>
        <w:spacing w:after="80"/>
      </w:pPr>
      <w:r>
        <w:t xml:space="preserve">Read docs/RESEARCH_INTEGRITY_PROTOCOL.md and research/studies/two-layer-methodology.md before touching anything — they are the actual constitution of this project, not background reading.</w:t>
      </w:r>
    </w:p>
    <w:p>
      <w:pPr>
        <w:pStyle w:val="ListParagraph"/>
        <w:numPr>
          <w:ilvl w:val="0"/>
          <w:numId w:val="1"/>
        </w:numPr>
        <w:spacing w:after="80"/>
      </w:pPr>
      <w:r>
        <w:t xml:space="preserve">The rules in Section 3 are not bureaucracy for its own sake — every one of them exists because an earlier, less disciplined phase of this exact project produced results that looked real and weren't. Relaxing any of them to “move faster” reintroduces that specific risk.</w:t>
      </w:r>
    </w:p>
    <w:p>
      <w:pPr>
        <w:pStyle w:val="ListParagraph"/>
        <w:numPr>
          <w:ilvl w:val="0"/>
          <w:numId w:val="1"/>
        </w:numPr>
        <w:spacing w:after="80"/>
      </w:pPr>
      <w:r>
        <w:t xml:space="preserve">The honest current state is: a well-built, disciplined research process that has not yet found a tradeable directional edge, plus three real (non-directional) volatility findings it correctly is not trying to oversell as more than they are.</w:t>
      </w:r>
    </w:p>
    <w:p>
      <w:pPr>
        <w:pStyle w:val="ListParagraph"/>
        <w:numPr>
          <w:ilvl w:val="0"/>
          <w:numId w:val="1"/>
        </w:numPr>
        <w:spacing w:after="80"/>
      </w:pPr>
      <w:r>
        <w:t xml:space="preserve">The most valuable thing a new person can add right now is probably NOT more hypothesis ideas — idea throughput has not been the bottleneck this project lacked. It's more likely to be: a cheap way past the current data blockers (raw per-contract futures data, a mega-cap earnings calendar), or a genuinely new mechanism family this project hasn't considered.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5F8A" w:sz="8" w:space="4"/>
      </w:pBdr>
      <w:spacing w:after="200" w:before="400"/>
    </w:pPr>
    <w:rPr>
      <w:rFonts w:ascii="Calibri" w:cs="Calibri" w:eastAsia="Calibri" w:hAnsi="Calibri"/>
      <w:b/>
      <w:bCs/>
      <w:color w:val="1F2937"/>
      <w:sz w:val="30"/>
      <w:szCs w:val="30"/>
    </w:rPr>
  </w:style>
  <w:style w:type="paragraph" w:styleId="Heading2">
    <w:name w:val="Heading 2"/>
    <w:basedOn w:val="Normal"/>
    <w:next w:val="Normal"/>
    <w:pPr>
      <w:spacing w:after="150" w:before="300"/>
    </w:pPr>
    <w:rPr>
      <w:rFonts w:ascii="Calibri" w:cs="Calibri" w:eastAsia="Calibri" w:hAnsi="Calibri"/>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2026-09-09T12:35:55.356Z</dcterms:created>
  <dcterms:modified xsi:type="dcterms:W3CDTF">2026-09-09T12:35:55.356Z</dcterms:modified>
</cp:coreProperties>
</file>

<file path=docProps/custom.xml><?xml version="1.0" encoding="utf-8"?>
<Properties xmlns="http://schemas.openxmlformats.org/officeDocument/2006/custom-properties" xmlns:vt="http://schemas.openxmlformats.org/officeDocument/2006/docPropsVTypes"/>
</file>