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80"/>
      </w:pPr>
      <w:r>
        <w:t xml:space="preserve">Tony: NQ Futures Systematic Research Platform</w:t>
      </w:r>
    </w:p>
    <w:p>
      <w:pPr>
        <w:spacing w:after="40"/>
      </w:pPr>
      <w:r>
        <w:rPr>
          <w:i/>
          <w:iCs/>
          <w:color w:val="555555"/>
          <w:sz w:val="22"/>
          <w:szCs w:val="22"/>
        </w:rPr>
        <w:t xml:space="preserve">Project overview and status — prepared for outside professional review</w:t>
      </w:r>
    </w:p>
    <w:p>
      <w:pPr>
        <w:spacing w:after="320"/>
      </w:pPr>
      <w:r>
        <w:rPr>
          <w:color w:val="777777"/>
          <w:sz w:val="20"/>
          <w:szCs w:val="20"/>
        </w:rPr>
        <w:t xml:space="preserve">September 8, 2026</w:t>
      </w:r>
    </w:p>
    <w:p>
      <w:pPr>
        <w:pStyle w:val="Heading1"/>
        <w:spacing w:after="160" w:before="320"/>
      </w:pPr>
      <w:r>
        <w:t xml:space="preserve">1. What this project is</w:t>
      </w:r>
    </w:p>
    <w:p>
      <w:pPr>
        <w:spacing w:after="120"/>
      </w:pPr>
      <w:r>
        <w:t xml:space="preserve">Tony is a systematic research program for NASDAQ-100 E-mini futures (NQ), built to find and validate repeatable, tradeable market behaviors — not to backtest a single idea, but to run a disciplined, ongoing search process with hard rules against fooling ourselves. The codebase (Python) sits alongside a live research ledger, a written integrity protocol, and two standing “advisor” roles that independently sanity-check direction and rigor.</w:t>
      </w:r>
    </w:p>
    <w:p>
      <w:pPr>
        <w:spacing w:after="120"/>
      </w:pPr>
      <w:r>
        <w:t xml:space="preserve">Primary instrument: NQ futures, 1-minute bar resolution as the base data (Databento), spanning roughly 2015–2026. Execution infrastructure (how a signal becomes a real order) is scoped but intentionally not yet built — more on that in Section 6.</w:t>
      </w:r>
    </w:p>
    <w:p>
      <w:pPr>
        <w:pStyle w:val="Heading1"/>
        <w:spacing w:after="160" w:before="320"/>
      </w:pPr>
      <w:r>
        <w:t xml:space="preserve">2. Research discipline (why the numbers below can be trusted)</w:t>
      </w:r>
    </w:p>
    <w:p>
      <w:pPr>
        <w:spacing w:after="120"/>
      </w:pPr>
      <w:r>
        <w:t xml:space="preserve">Every test in this project follows the same protocol, enforced in code, not just on paper: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Chronological, non-overlapping data splits: Discovery (through 2021-10-03, used for all hypothesis search) → Validation (2021-10-04 through 2024-01-03, used only for a single pre-registered confirmation test) → Holdout (after 2024-01-03, untouched, reserved for a genuinely final check before anything goes live).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Frozen specification before implementation: the exact detection logic, entry/stop/target rule, and statistical method are written down and committed BEFORE any code runs — no changing the rule after seeing a bad (or good) result.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Promotion bar: a 90% bootstrap confidence interval entirely above zero, an economically meaningful effect after realistic transaction cost, AND a single pre-registered prospective test on fresh out-of-sample data. Nothing is promoted on a Discovery-stage result alone.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No retuning after a null result: a rejected idea is closed. A follow-up is only run when there is a new, disclosed, structural reason — never just adjusting thresholds until a bad result becomes a good one.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Every hypothesis — tested or rejected — is logged to a permanent ledger (research/ledger/hypotheses.jsonl) with its data slice, sample size, confidence interval, and status. Nothing is quietly dropped.</w:t>
      </w:r>
    </w:p>
    <w:p>
      <w:pPr>
        <w:pStyle w:val="Heading1"/>
        <w:spacing w:after="160" w:before="320"/>
      </w:pPr>
      <w:r>
        <w:t xml:space="preserve">3. Where the numbers stand today</w:t>
      </w:r>
    </w:p>
    <w:tbl>
      <w:tblPr>
        <w:tblW w:type="dxa" w:w="8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400"/>
        <w:gridCol w:w="3500"/>
      </w:tblGrid>
      <w:tr>
        <w:tc>
          <w:tcPr>
            <w:tcW w:type="dxa" w:w="5400"/>
            <w:shd w:fill="1F2A44" w:val="clea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3500"/>
            <w:shd w:fill="1F2A44" w:val="clea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5400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Hypotheses formally logged</w:t>
            </w:r>
          </w:p>
        </w:tc>
        <w:tc>
          <w:tcPr>
            <w:tcW w:type="dxa" w:w="3500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80</w:t>
            </w:r>
          </w:p>
        </w:tc>
      </w:tr>
      <w:tr>
        <w:tc>
          <w:tcPr>
            <w:tcW w:type="dxa" w:w="5400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Rejected</w:t>
            </w:r>
          </w:p>
        </w:tc>
        <w:tc>
          <w:tcPr>
            <w:tcW w:type="dxa" w:w="3500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61</w:t>
            </w:r>
          </w:p>
        </w:tc>
      </w:tr>
      <w:tr>
        <w:tc>
          <w:tcPr>
            <w:tcW w:type="dxa" w:w="5400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Discovery-stage “promising” (pre-Validation)</w:t>
            </w:r>
          </w:p>
        </w:tc>
        <w:tc>
          <w:tcPr>
            <w:tcW w:type="dxa" w:w="3500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17</w:t>
            </w:r>
          </w:p>
        </w:tc>
      </w:tr>
      <w:tr>
        <w:tc>
          <w:tcPr>
            <w:tcW w:type="dxa" w:w="5400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Survived a Validation-slice prospective test</w:t>
            </w:r>
          </w:p>
        </w:tc>
        <w:tc>
          <w:tcPr>
            <w:tcW w:type="dxa" w:w="3500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2</w:t>
            </w:r>
          </w:p>
        </w:tc>
      </w:tr>
      <w:tr>
        <w:tc>
          <w:tcPr>
            <w:tcW w:type="dxa" w:w="5400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Cleared the 90% promotion bar for live trading</w:t>
            </w:r>
          </w:p>
        </w:tc>
        <w:tc>
          <w:tcPr>
            <w:tcW w:type="dxa" w:w="3500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0</w:t>
            </w:r>
          </w:p>
        </w:tc>
      </w:tr>
    </w:tbl>
    <w:p>
      <w:pPr>
        <w:spacing w:after="200"/>
      </w:pPr>
    </w:p>
    <w:p>
      <w:pPr>
        <w:spacing w:after="120"/>
      </w:pPr>
      <w:r>
        <w:t xml:space="preserve">The 0-for-80 headline is not a failure of process — it is the process working as designed. Two findings have survived genuine out-of-sample testing (below), and dozens of dead ends have been closed permanently rather than quietly retried.</w:t>
      </w:r>
    </w:p>
    <w:p>
      <w:pPr>
        <w:pStyle w:val="Heading1"/>
        <w:spacing w:after="160" w:before="320"/>
      </w:pPr>
      <w:r>
        <w:t xml:space="preserve">4. What has actually been confirmed</w:t>
      </w:r>
    </w:p>
    <w:p>
      <w:pPr>
        <w:pStyle w:val="Heading2"/>
        <w:spacing w:after="120" w:before="240"/>
      </w:pPr>
      <w:r>
        <w:t xml:space="preserve">4.1 Range contraction (volatility persistence)</w:t>
      </w:r>
    </w:p>
    <w:p>
      <w:pPr>
        <w:spacing w:after="120"/>
      </w:pPr>
      <w:r>
        <w:t xml:space="preserve">A narrow prior trading day predicts a narrower-than-average following day; a wide prior day predicts a wider one. Survived its Validation-slice prospective test. This is a volatility-conditioning fact, not a directional signal — it says nothing about which way price will move.</w:t>
      </w:r>
    </w:p>
    <w:p>
      <w:pPr>
        <w:pStyle w:val="Heading2"/>
        <w:spacing w:after="120" w:before="240"/>
      </w:pPr>
      <w:r>
        <w:t xml:space="preserve">4.2 Overnight / pre-open range compression (“coiling”)</w:t>
      </w:r>
    </w:p>
    <w:p>
      <w:pPr>
        <w:spacing w:after="120"/>
      </w:pPr>
      <w:r>
        <w:t xml:space="preserve">A tight overnight (Globex) range predicts a tighter regular-trading-hours range that same day. Also survived its Validation-slice prospective test. Confirms volatility persistence at a second, independent timescale — not the “coil precedes a breakout” folklore some traders expect; it predicts calm, not an explosive move.</w:t>
      </w:r>
    </w:p>
    <w:p>
      <w:pPr>
        <w:spacing w:after="120"/>
      </w:pPr>
      <w:r>
        <w:t xml:space="preserve">Both facts are combined into a single reusable module (src/volatility_conditioning.py) that outputs an expected-range multiplier for any given day, plus a position-sizing function (bigger size on quiet-expected days, smaller on wide-expected days, capped 0.5x–1.5x) built directly on top of it. This is the one concrete, usable deliverable from 8+ months of testing to date — a risk-sizing input, not a strategy.</w:t>
      </w:r>
    </w:p>
    <w:p>
      <w:pPr>
        <w:pStyle w:val="Heading1"/>
        <w:spacing w:after="160" w:before="320"/>
      </w:pPr>
      <w:r>
        <w:t xml:space="preserve">5. What has been tried and closed (the honest map of dead ends)</w:t>
      </w:r>
    </w:p>
    <w:p>
      <w:pPr>
        <w:spacing w:after="120"/>
      </w:pPr>
      <w:r>
        <w:t xml:space="preserve">Grouped by research direction, so a professional reader can see what NOT to suggest re-testing without a genuinely new angle:</w:t>
      </w:r>
    </w:p>
    <w:p>
      <w:pPr>
        <w:pStyle w:val="Heading2"/>
        <w:spacing w:after="120" w:before="240"/>
      </w:pPr>
      <w:r>
        <w:t xml:space="preserve">5.1 Daily-bar and intraday candle patterns</w:t>
      </w:r>
    </w:p>
    <w:p>
      <w:pPr>
        <w:spacing w:after="120"/>
      </w:pPr>
      <w:r>
        <w:t xml:space="preserve">Rejection wicks, failed-breakout continuation, bullish/bearish engulfing, three-bar directional sequences — tested at DAILY resolution (batches 1–2) and again at 60-MINUTE resolution (re-tested specifically to rule out “the daily timeframe is just too efficient” as the explanation). All 6 patterns failed at both resolutions, well-powered samples (n in the hundreds to low thousands). Conclusion: the bar-pattern search itself is exhausted for this instrument, not just at one timeframe.</w:t>
      </w:r>
    </w:p>
    <w:p>
      <w:pPr>
        <w:pStyle w:val="Heading2"/>
        <w:spacing w:after="120" w:before="240"/>
      </w:pPr>
      <w:r>
        <w:t xml:space="preserve">5.2 Setups with real entry/stop/target (not just next-bar-return proxies)</w:t>
      </w:r>
    </w:p>
    <w:p>
      <w:pPr>
        <w:spacing w:after="120"/>
      </w:pPr>
      <w:r>
        <w:t xml:space="preserve">Level Sweep Reversal (3 variants), FVG entry trigger, trend-structure liquidity filter, Initial Balance (IB) Breakout — 6 setups, all rejected standalone.</w:t>
      </w:r>
    </w:p>
    <w:p>
      <w:pPr>
        <w:pStyle w:val="Heading2"/>
        <w:spacing w:after="120" w:before="240"/>
      </w:pPr>
      <w:r>
        <w:t xml:space="preserve">5.3 Volatility-conditioned overlays on already-dead setups</w:t>
      </w:r>
    </w:p>
    <w:p>
      <w:pPr>
        <w:spacing w:after="120"/>
      </w:pPr>
      <w:r>
        <w:t xml:space="preserve">Tried pairing the two confirmed volatility facts (plus a CPI/NFP/FOMC release-day magnitude finding) onto the already-rejected mean-reversion setups above, and separately onto IB Breakout (a continuation setup — mechanistically a better fit for a “wide day expected” flag). All attempts: no credible effect. Conclusion: a volatility-conditioning fact can sharpen a setup that already has a real edge; it cannot resurrect one that has none.</w:t>
      </w:r>
    </w:p>
    <w:p>
      <w:pPr>
        <w:pStyle w:val="Heading2"/>
        <w:spacing w:after="120" w:before="240"/>
      </w:pPr>
      <w:r>
        <w:t xml:space="preserve">5.4 Fresh, purpose-built “pre-move behavior” setups</w:t>
      </w:r>
    </w:p>
    <w:p>
      <w:pPr>
        <w:spacing w:after="120"/>
      </w:pPr>
      <w:r>
        <w:t xml:space="preserve">Built from scratch (not conditioning old setups): opening-window signed-volume imbalance (a crude order-flow proxy from OHLCV only), multi-timeframe (15-min/60-min/day) trend alignment, thin-volume-window (“vacuum”) breakout continuation, and prior-day-close rejection. Tested in both directions, plus a two-signal confluence combination — 7 pre-registered tests total, all rejected. A follow-up cost-decomposition check showed the GROSS (pre-cost) edge on all 7 was close to zero, not negative: transaction cost against tight, short-horizon stops explains almost all of the observed loss. Reading: no detectable predictive edge at these short-horizon reactive-trigger moments, consistent with genuine market efficiency at this timeframe — not a flawed idea.</w:t>
      </w:r>
    </w:p>
    <w:p>
      <w:pPr>
        <w:pStyle w:val="Heading2"/>
        <w:spacing w:after="120" w:before="240"/>
      </w:pPr>
      <w:r>
        <w:t xml:space="preserve">5.5 Alt-data and cross-asset</w:t>
      </w:r>
    </w:p>
    <w:p>
      <w:pPr>
        <w:spacing w:after="120"/>
      </w:pPr>
      <w:r>
        <w:t xml:space="preserve">VXN level and rate-of-change, options volatility risk premium, a single-market ZN(bonds)-leads-NQ signal, currency and cross-asset weekly trend, oil lead signal — all rejected or inconclusive at Step 1.</w:t>
      </w:r>
    </w:p>
    <w:p>
      <w:pPr>
        <w:pStyle w:val="Heading2"/>
        <w:spacing w:after="120" w:before="240"/>
      </w:pPr>
      <w:r>
        <w:t xml:space="preserve">5.6 CFTC Commitment-of-Traders (COT) positioning — the most instructive failure</w:t>
      </w:r>
    </w:p>
    <w:p>
      <w:pPr>
        <w:spacing w:after="120"/>
      </w:pPr>
      <w:r>
        <w:t xml:space="preserve">Weekly change in Leveraged Money net futures positioning, using the full official 2015–2023 CFTC archive. This produced the single strongest Discovery-stage result in the project’s history — clean, statistically credible, economically meaningful (n=350 weeks). Its one pre-registered Validation-slice prospective test then FAILED outright, with the point estimate flipping sign (net loss instead of profit, n=118). This is the clearest demonstration yet of why the Validation gate exists: a genuinely excellent-looking Discovery result did not replicate.</w:t>
      </w:r>
    </w:p>
    <w:p>
      <w:pPr>
        <w:pStyle w:val="Heading2"/>
        <w:spacing w:after="120" w:before="240"/>
      </w:pPr>
      <w:r>
        <w:t xml:space="preserve">5.7 Multi-day swing structure</w:t>
      </w:r>
    </w:p>
    <w:p>
      <w:pPr>
        <w:spacing w:after="120"/>
      </w:pPr>
      <w:r>
        <w:t xml:space="preserve">A 50-day-trend + 20-day-moving-average-pullback continuation setup, held for days rather than exited same-day (the one structurally different “slow” idea tried, versus everything else above being same-day). Initial version: credible and economically meaningful, but only 15 trades — too thin to trust. A frequency-increased, pre-disclosed follow-up (allowing repeat signals, shorter windows) grew the sample to 85 trades: the apparent edge vanished (confidence interval spans zero on two independent robustness checks). Classic small-sample illusion, caught before being trusted.</w:t>
      </w:r>
    </w:p>
    <w:p>
      <w:pPr>
        <w:pStyle w:val="Heading2"/>
        <w:spacing w:after="120" w:before="240"/>
      </w:pPr>
      <w:r>
        <w:t xml:space="preserve">5.8 Combination / ensemble models</w:t>
      </w:r>
    </w:p>
    <w:p>
      <w:pPr>
        <w:spacing w:after="120"/>
      </w:pPr>
      <w:r>
        <w:t xml:space="preserve">Two attempts at a multi-factor regularized logistic regression combining several already-computed features. Both failed — the underlying features were individually too weak (mostly price-only) to combine into something useful. De-prioritized by design in favor of behavior-first research (per direction set 2026-09-08).</w:t>
      </w:r>
    </w:p>
    <w:p>
      <w:pPr>
        <w:pStyle w:val="Heading1"/>
        <w:spacing w:after="160" w:before="320"/>
      </w:pPr>
      <w:r>
        <w:t xml:space="preserve">6. Infrastructure and non-research tracks</w:t>
      </w:r>
    </w:p>
    <w:p>
      <w:pPr>
        <w:pStyle w:val="Heading2"/>
        <w:spacing w:after="120" w:before="240"/>
      </w:pPr>
      <w:r>
        <w:t xml:space="preserve">6.1 Execution infrastructure (not yet built, by design)</w:t>
      </w:r>
    </w:p>
    <w:p>
      <w:pPr>
        <w:spacing w:after="120"/>
      </w:pPr>
      <w:r>
        <w:t xml:space="preserve">Scoped three viable paths for turning a promoted signal into a real order: a TradingView/PickMyTrade webhook bridge to Tradovate (~$65–115/month, fastest to stand up, least code to maintain), a direct Tradovate API integration (~$61–66/month orders-only, more control, more of our own code to write and maintain), and Interactive Brokers’ native Python API (no platform fee, per-contract commissions, most mature option, most setup work, needs an always-on host). Deliberately parked: with nothing yet cleared for promotion, there is nothing to execute. Tradovate offers a free paper/sim account, which can be stood up any time at zero cost to prove the plumbing independent of having a live edge.</w:t>
      </w:r>
    </w:p>
    <w:p>
      <w:pPr>
        <w:pStyle w:val="Heading2"/>
        <w:spacing w:after="120" w:before="240"/>
      </w:pPr>
      <w:r>
        <w:t xml:space="preserve">6.2 Data sources considered and declined</w:t>
      </w:r>
    </w:p>
    <w:p>
      <w:pPr>
        <w:spacing w:after="120"/>
      </w:pPr>
      <w:r>
        <w:t xml:space="preserve">Real order-flow / bid-ask imbalance data was priced at roughly $54,000/year and dropped as uneconomical for the project’s current stage. CFTC COT data (free, official) was used extensively (Section 5.6). cftc.gov itself is network-blocked from this research environment; official archive files were obtained via manual download.</w:t>
      </w:r>
    </w:p>
    <w:p>
      <w:pPr>
        <w:pStyle w:val="Heading1"/>
        <w:spacing w:after="160" w:before="320"/>
      </w:pPr>
      <w:r>
        <w:t xml:space="preserve">7. Where this leaves the project — the honest read</w:t>
      </w:r>
    </w:p>
    <w:p>
      <w:pPr>
        <w:spacing w:after="120"/>
      </w:pPr>
      <w:r>
        <w:t xml:space="preserve">Roughly 80 formally logged hypotheses (over 100 individual pre-registered experiments across batches) span price-only patterns at multiple timeframes, real order-execution setups, volatility-conditioned overlays, purpose-built “pre-move” triggers in both directions, cross-asset and alt-data signals, positioning data, a multi-day swing structure, and combination models. Two genuine, out-of-sample-confirmed findings exist, both volatility-conditioning facts rather than directional edges, and both are now packaged into a usable sizing tool. Zero directional strategies have cleared the promotion bar.</w:t>
      </w:r>
    </w:p>
    <w:p>
      <w:pPr>
        <w:spacing w:after="120"/>
      </w:pPr>
      <w:r>
        <w:t xml:space="preserve">Two structurally different explanations are both consistent with the data so far, and this project has not yet distinguished between them: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NQ at this data resolution (1-minute bars, price/volume only) is close to efficient for the kinds of reactive, rules-based patterns tested here — the search has been thorough across timeframes (intraday through multi-day) and data types (price shape, volume, cross-asset, positioning) without finding a directional edge.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The RIGHT kind of signal for this instrument requires information this project does not yet have — true order flow / order-book data (priced out at ~$54k/yr), a fundamentally different holding-period structure than what's been tried, or a different instrument/venue characteristic altogether.</w:t>
      </w:r>
    </w:p>
    <w:p>
      <w:pPr>
        <w:pStyle w:val="Heading1"/>
        <w:spacing w:after="160" w:before="320"/>
      </w:pPr>
      <w:r>
        <w:t xml:space="preserve">8. Specific questions for a professional trader's review</w:t>
      </w:r>
    </w:p>
    <w:p>
      <w:pPr>
        <w:spacing w:after="120"/>
      </w:pPr>
      <w:r>
        <w:t xml:space="preserve">This is the section where outside expertise would be most valuable: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Given ~80 hypotheses across price, volume, cross-asset, and positioning data with zero directional survivors — is that itself informative (NQ may be efficient at this resolution for retail-accessible data), or does it just reflect gaps in what's been tried?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Is there a specific, well-known NQ/index-futures behavior a working trader would expect to show up in this kind of search that hasn't been tested yet?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Is the project's fixed 1.35R target (inherited from the first setup tested, reused everywhere since for consistency) a reasonable universal default, or should different setup types use different target logic?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Given the two confirmed findings are both volatility-conditioning (not directional), is there a known, professional use of that kind of signal beyond position sizing — e.g., a volatility-selling or options-based application — worth exploring instead of continuing to search for directional edges?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On execution: given nothing has cleared the promotion bar yet, does it make sense to build the sim/paper-trading pipeline now (zero cost) purely to de-risk the infrastructure question early, or wait until a real signal exists?</w:t>
      </w:r>
    </w:p>
    <w:p>
      <w:pPr>
        <w:pStyle w:val="Heading1"/>
        <w:spacing w:after="160" w:before="320"/>
      </w:pPr>
      <w:r>
        <w:t xml:space="preserve">9. Process notes (for context, not for critique)</w:t>
      </w:r>
    </w:p>
    <w:p>
      <w:pPr>
        <w:spacing w:after="120"/>
      </w:pPr>
      <w:r>
        <w:t xml:space="preserve">Two standing advisory roles run alongside the primary research: a Path-to-Profitability Advisor (independently judges pacing and rigor — is the promotion bar being enforced honestly, is the project spending effort well) and a Market Behavior Advisor (proposes new market-behavior hypotheses to test, and more recently, proposes practical uses for already-confirmed facts). Both are consulted at major direction decisions, and their views are recorded alongside the primary research lead's own, specifically so no single perspective drives the project unchecked.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2026-09-08T18:01:30.239Z</dcterms:created>
  <dcterms:modified xsi:type="dcterms:W3CDTF">2026-09-08T18:01:30.252Z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