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5,623 homes across 21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the community-based non-profits that take 100% title and operate the housing permanently: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RCHC, the platform draws on a widening network of community-rooted non-profit operators, each bringing its own community mandate, service relationships, and operating capacity. The current operator network includes:</w:t>
      </w:r>
    </w:p>
    <w:p>
      <w:pPr>
        <w:spacing w:after="120" w:line="324" w:lineRule="auto"/>
        <w:ind w:left="454"/>
      </w:pPr>
      <w:r>
        <w:rPr>
          <w:rFonts w:ascii="Georgia" w:hAnsi="Georgia"/>
          <w:b/>
          <w:i w:val="0"/>
          <w:color w:val="161210"/>
          <w:sz w:val="21"/>
        </w:rPr>
        <w:t xml:space="preserve">WoodGreen Community Services  ·  </w:t>
      </w:r>
      <w:r>
        <w:rPr>
          <w:rFonts w:ascii="Georgia" w:hAnsi="Georgia"/>
          <w:b w:val="0"/>
          <w:i w:val="0"/>
          <w:color w:val="3A2D22"/>
          <w:sz w:val="20"/>
        </w:rPr>
        <w:t>One of Toronto's largest social service organisations, with deep experience in affordable and supportive housing delivery.</w:t>
      </w:r>
    </w:p>
    <w:p>
      <w:pPr>
        <w:spacing w:after="120" w:line="324" w:lineRule="auto"/>
        <w:ind w:left="454"/>
      </w:pPr>
      <w:r>
        <w:rPr>
          <w:rFonts w:ascii="Georgia" w:hAnsi="Georgia"/>
          <w:b/>
          <w:i w:val="0"/>
          <w:color w:val="161210"/>
          <w:sz w:val="21"/>
        </w:rPr>
        <w:t xml:space="preserve">St. Clair's  ·  </w:t>
      </w:r>
      <w:r>
        <w:rPr>
          <w:rFonts w:ascii="Georgia" w:hAnsi="Georgia"/>
          <w:b w:val="0"/>
          <w:i w:val="0"/>
          <w:color w:val="3A2D22"/>
          <w:sz w:val="20"/>
        </w:rPr>
        <w:t>Community housing and services operator with established Toronto-area programmes.</w:t>
      </w:r>
    </w:p>
    <w:p>
      <w:pPr>
        <w:spacing w:after="120" w:line="324" w:lineRule="auto"/>
        <w:ind w:left="454"/>
      </w:pPr>
      <w:r>
        <w:rPr>
          <w:rFonts w:ascii="Georgia" w:hAnsi="Georgia"/>
          <w:b/>
          <w:i w:val="0"/>
          <w:color w:val="161210"/>
          <w:sz w:val="21"/>
        </w:rPr>
        <w:t xml:space="preserve">New Nakfa (Eritrean Community Network)  ·  </w:t>
      </w:r>
      <w:r>
        <w:rPr>
          <w:rFonts w:ascii="Georgia" w:hAnsi="Georgia"/>
          <w:b w:val="0"/>
          <w:i w:val="0"/>
          <w:color w:val="3A2D22"/>
          <w:sz w:val="20"/>
        </w:rPr>
        <w:t>Community-based non-profit chaired by Jonathan Okubay (MD), serving the Eritrean and broader African-Canadian community in Toronto.</w:t>
      </w:r>
    </w:p>
    <w:p>
      <w:pPr>
        <w:spacing w:after="120" w:line="324" w:lineRule="auto"/>
        <w:ind w:left="454"/>
      </w:pPr>
      <w:r>
        <w:rPr>
          <w:rFonts w:ascii="Georgia" w:hAnsi="Georgia"/>
          <w:b/>
          <w:i w:val="0"/>
          <w:color w:val="161210"/>
          <w:sz w:val="21"/>
        </w:rPr>
        <w:t xml:space="preserve">North American Muslim Foundation (NAMF)  ·  </w:t>
      </w:r>
      <w:r>
        <w:rPr>
          <w:rFonts w:ascii="Georgia" w:hAnsi="Georgia"/>
          <w:b w:val="0"/>
          <w:i w:val="0"/>
          <w:color w:val="3A2D22"/>
          <w:sz w:val="20"/>
        </w:rPr>
        <w:t>Operator and titleholder of the 4140 Finch Avenue East Cultural Centre project (profiled in Section 11 and Addendum A).</w:t>
      </w:r>
    </w:p>
    <w:p>
      <w:pPr>
        <w:spacing w:after="120" w:line="324" w:lineRule="auto"/>
        <w:ind w:left="454"/>
      </w:pPr>
      <w:r>
        <w:rPr>
          <w:rFonts w:ascii="Georgia" w:hAnsi="Georgia"/>
          <w:b/>
          <w:i w:val="0"/>
          <w:color w:val="161210"/>
          <w:sz w:val="21"/>
        </w:rPr>
        <w:t xml:space="preserve">Our Greenway Conservancy  ·  </w:t>
      </w:r>
      <w:r>
        <w:rPr>
          <w:rFonts w:ascii="Georgia" w:hAnsi="Georgia"/>
          <w:b w:val="0"/>
          <w:i w:val="0"/>
          <w:color w:val="3A2D22"/>
          <w:sz w:val="20"/>
        </w:rPr>
        <w:t>Proposed operator of the 2008 Brimley Road family-housing pilot in Scarborough.</w:t>
      </w:r>
    </w:p>
    <w:p>
      <w:pPr>
        <w:spacing w:after="120" w:line="324" w:lineRule="auto"/>
        <w:ind w:left="454"/>
      </w:pPr>
      <w:r>
        <w:rPr>
          <w:rFonts w:ascii="Georgia" w:hAnsi="Georgia"/>
          <w:b/>
          <w:i w:val="0"/>
          <w:color w:val="161210"/>
          <w:sz w:val="21"/>
        </w:rPr>
        <w:t xml:space="preserve">Tropicana Community Services  ·  </w:t>
      </w:r>
      <w:r>
        <w:rPr>
          <w:rFonts w:ascii="Georgia" w:hAnsi="Georgia"/>
          <w:b w:val="0"/>
          <w:i w:val="0"/>
          <w:color w:val="3A2D22"/>
          <w:sz w:val="20"/>
        </w:rPr>
        <w:t>Scarborough-rooted community organisation serving Black and Caribbean families across the region.</w:t>
      </w:r>
    </w:p>
    <w:p>
      <w:pPr>
        <w:spacing w:before="0" w:after="160" w:line="336" w:lineRule="auto"/>
        <w:jc w:val="both"/>
      </w:pPr>
      <w:r>
        <w:rPr>
          <w:rFonts w:ascii="Georgia" w:hAnsi="Georgia"/>
          <w:b w:val="0"/>
          <w:i w:val="0"/>
          <w:color w:val="161210"/>
          <w:sz w:val="20"/>
        </w:rPr>
        <w:t>Each operator takes 100% title from day one of occupancy and acquires the land, fee simple, at Year 20.</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Senior community leader and organisational executive with experience in faith-based leadership, governance, and community stewardship. Executive Director of Pilgrim's Feast Tabernacle Church, where she oversees organisational leadership, program delivery, and community engagement — managing governance structures, operational teams, and community-focused initiatives serving families and vulnerable populations through pastoral care, outreach, and social programming. Her leadership emphasises ethical governance, accountability, and long-term institutional sustainability. As a Director of Ubuntu LTD, Nadine contributes values-based leadership, governance insight, and a deep understanding of community dynamics essential to inclusive and sustainable housing initiatives.</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5,623 homes across 21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21</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5,623</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5,623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5,623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