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onsolas" w:hAnsi="Consolas"/>
          <w:b/>
          <w:color w:val="C89344"/>
          <w:sz w:val="22"/>
        </w:rPr>
        <w:t>UBUNTU  LAND  TRUST  &amp;  DEVELOPMENTS</w:t>
      </w:r>
    </w:p>
    <w:p>
      <w:pPr>
        <w:pBdr>
          <w:bottom w:sz="10" w:val="single" w:color="C89344"/>
        </w:pBdr>
        <w:spacing w:after="400"/>
      </w:pPr>
      <w:r>
        <w:rPr>
          <w:rFonts w:ascii="Georgia" w:hAnsi="Georgia"/>
          <w:b w:val="0"/>
          <w:i w:val="0"/>
          <w:color w:val="161210"/>
          <w:sz w:val="4"/>
        </w:rPr>
      </w:r>
    </w:p>
    <w:p>
      <w:pPr>
        <w:spacing w:before="240" w:after="360" w:line="324" w:lineRule="auto"/>
        <w:jc w:val="left"/>
      </w:pPr>
      <w:r>
        <w:rPr>
          <w:rFonts w:ascii="Georgia" w:hAnsi="Georgia"/>
          <w:b w:val="0"/>
          <w:i w:val="0"/>
          <w:color w:val="161210"/>
          <w:sz w:val="20"/>
        </w:rPr>
        <w:t>May 22, 2026</w:t>
      </w:r>
    </w:p>
    <w:p>
      <w:pPr>
        <w:spacing w:after="40"/>
      </w:pPr>
      <w:r>
        <w:rPr>
          <w:rFonts w:ascii="Georgia" w:hAnsi="Georgia"/>
          <w:b/>
          <w:i w:val="0"/>
          <w:color w:val="161210"/>
          <w:sz w:val="22"/>
        </w:rPr>
        <w:t>Douglas Allison</w:t>
      </w:r>
    </w:p>
    <w:p>
      <w:pPr>
        <w:spacing w:before="0" w:after="40" w:line="324" w:lineRule="auto"/>
        <w:jc w:val="left"/>
      </w:pPr>
      <w:r>
        <w:rPr>
          <w:rFonts w:ascii="Georgia" w:hAnsi="Georgia"/>
          <w:b w:val="0"/>
          <w:i w:val="0"/>
          <w:color w:val="161210"/>
          <w:sz w:val="20"/>
        </w:rPr>
        <w:t>Chief Executive Officer</w:t>
      </w:r>
    </w:p>
    <w:p>
      <w:pPr>
        <w:spacing w:before="0" w:after="40" w:line="324" w:lineRule="auto"/>
        <w:jc w:val="left"/>
      </w:pPr>
      <w:r>
        <w:rPr>
          <w:rFonts w:ascii="Georgia" w:hAnsi="Georgia"/>
          <w:b w:val="0"/>
          <w:i w:val="0"/>
          <w:color w:val="161210"/>
          <w:sz w:val="20"/>
        </w:rPr>
        <w:t>The Northpine Foundation</w:t>
      </w:r>
    </w:p>
    <w:p>
      <w:pPr>
        <w:spacing w:before="0" w:after="360" w:line="324" w:lineRule="auto"/>
        <w:jc w:val="left"/>
      </w:pPr>
      <w:r>
        <w:rPr>
          <w:rFonts w:ascii="Georgia" w:hAnsi="Georgia"/>
          <w:b w:val="0"/>
          <w:i w:val="0"/>
          <w:color w:val="161210"/>
          <w:sz w:val="20"/>
        </w:rPr>
        <w:t>Toronto, Ontario</w:t>
      </w:r>
    </w:p>
    <w:p>
      <w:pPr>
        <w:spacing w:after="280"/>
      </w:pPr>
      <w:r>
        <w:rPr>
          <w:rFonts w:ascii="Consolas" w:hAnsi="Consolas"/>
          <w:b/>
          <w:i w:val="0"/>
          <w:color w:val="3A2D22"/>
          <w:sz w:val="18"/>
        </w:rPr>
        <w:t xml:space="preserve">Re: </w:t>
      </w:r>
      <w:r>
        <w:rPr>
          <w:rFonts w:ascii="Georgia" w:hAnsi="Georgia"/>
          <w:b/>
          <w:i w:val="0"/>
          <w:color w:val="161210"/>
          <w:sz w:val="22"/>
        </w:rPr>
        <w:t>Ubuntu Housing Delivery Platform — Platform Infrastructure Investment</w:t>
      </w:r>
    </w:p>
    <w:p>
      <w:pPr>
        <w:spacing w:before="0" w:after="240" w:line="324" w:lineRule="auto"/>
        <w:jc w:val="left"/>
      </w:pPr>
      <w:r>
        <w:rPr>
          <w:rFonts w:ascii="Georgia" w:hAnsi="Georgia"/>
          <w:b w:val="0"/>
          <w:i w:val="0"/>
          <w:color w:val="161210"/>
          <w:sz w:val="20"/>
        </w:rPr>
        <w:t>Dear Douglas,</w:t>
      </w:r>
    </w:p>
    <w:p>
      <w:pPr>
        <w:spacing w:before="0" w:after="160" w:line="336" w:lineRule="auto"/>
        <w:jc w:val="both"/>
      </w:pPr>
      <w:r>
        <w:rPr>
          <w:rFonts w:ascii="Georgia" w:hAnsi="Georgia"/>
          <w:b w:val="0"/>
          <w:i w:val="0"/>
          <w:color w:val="161210"/>
          <w:sz w:val="20"/>
        </w:rPr>
        <w:t>Thank you for the time you and your team gave us, and for the clear direction that came out of our conversation. We have taken it seriously, and this proposal is the result.</w:t>
      </w:r>
    </w:p>
    <w:p>
      <w:pPr>
        <w:spacing w:before="0" w:after="160" w:line="336" w:lineRule="auto"/>
        <w:jc w:val="both"/>
      </w:pPr>
      <w:r>
        <w:rPr>
          <w:rFonts w:ascii="Georgia" w:hAnsi="Georgia"/>
          <w:b w:val="0"/>
          <w:i w:val="0"/>
          <w:color w:val="161210"/>
          <w:sz w:val="20"/>
        </w:rPr>
        <w:t>What follows is the Ubuntu Housing Delivery Platform — a national non-profit platform built on the Common Ground Initiative — and a one-time $2,000,000 infrastructure investment to activate it. This is the same opportunity we first brought to you: a coordinating platform that aligns stalled private land, federal housing capital, and non-profit operators into permanent affordable housing at scale. One investment activates a pipeline of thousands of homes, not a single building.</w:t>
      </w:r>
    </w:p>
    <w:p>
      <w:pPr>
        <w:spacing w:before="0" w:after="160" w:line="336" w:lineRule="auto"/>
        <w:jc w:val="both"/>
      </w:pPr>
      <w:r>
        <w:rPr>
          <w:rFonts w:ascii="Georgia" w:hAnsi="Georgia"/>
          <w:b w:val="0"/>
          <w:i w:val="0"/>
          <w:color w:val="161210"/>
          <w:sz w:val="20"/>
        </w:rPr>
        <w:t>You asked to understand the breakdown — what, exactly, the $2,000,000 supports. We have rebuilt the investment section to answer that directly. Every dollar now maps to a concrete step on the path from stalled land to delivered housing: tying down sites with landowners, bringing land to a state of readiness, and completing the pre-development and structuring work that turns a secured site into a financed one. The amount is unchanged; its purpose is now fully legible.</w:t>
      </w:r>
    </w:p>
    <w:p>
      <w:pPr>
        <w:spacing w:before="0" w:after="160" w:line="336" w:lineRule="auto"/>
        <w:jc w:val="both"/>
      </w:pPr>
      <w:r>
        <w:rPr>
          <w:rFonts w:ascii="Georgia" w:hAnsi="Georgia"/>
          <w:b w:val="0"/>
          <w:i w:val="0"/>
          <w:color w:val="161210"/>
          <w:sz w:val="20"/>
        </w:rPr>
        <w:t>You also asked who stands behind the delivery. Section 8 is new. It names our development and construction partners, the non-profit operators who take ownership, our capital partners, the landowner network, and the full Ubuntu LTD Board and Executive — a Black-led leadership team with three decades of experience in housing systems, refugee settlement, ecosystem leadership, and trusted community institutions.</w:t>
      </w:r>
    </w:p>
    <w:p>
      <w:pPr>
        <w:spacing w:before="0" w:after="160" w:line="336" w:lineRule="auto"/>
        <w:jc w:val="both"/>
      </w:pPr>
      <w:r>
        <w:rPr>
          <w:rFonts w:ascii="Georgia" w:hAnsi="Georgia"/>
          <w:b w:val="0"/>
          <w:i w:val="0"/>
          <w:color w:val="161210"/>
          <w:sz w:val="20"/>
        </w:rPr>
        <w:t>Finally, following our conversation we revisited our portfolio and identified three opportunities in Scarborough — Northpine's home geography. We have placed them where they belong: a featured section and a detailed addendum showing the platform already at work in three Scarborough sites — an example of the platform in action, not a replacement for it. Northpine funds what keeps working after the funding ends. That is what this platform is, and we are ready to start.</w:t>
      </w:r>
    </w:p>
    <w:p>
      <w:pPr>
        <w:spacing w:before="0" w:after="160" w:line="336" w:lineRule="auto"/>
        <w:jc w:val="both"/>
      </w:pPr>
      <w:r>
        <w:rPr>
          <w:rFonts w:ascii="Georgia" w:hAnsi="Georgia"/>
          <w:b w:val="0"/>
          <w:i w:val="0"/>
          <w:color w:val="161210"/>
          <w:sz w:val="20"/>
        </w:rPr>
        <w:t>Yours sincerely,</w:t>
      </w:r>
    </w:p>
    <w:p>
      <w:pPr>
        <w:spacing w:before="400" w:after="120" w:line="324" w:lineRule="auto"/>
        <w:jc w:val="left"/>
      </w:pPr>
    </w:p>
    <w:p>
      <w:pPr>
        <w:spacing w:after="40"/>
      </w:pPr>
      <w:r>
        <w:rPr>
          <w:rFonts w:ascii="Georgia" w:hAnsi="Georgia"/>
          <w:b/>
          <w:i w:val="0"/>
          <w:color w:val="161210"/>
          <w:sz w:val="24"/>
        </w:rPr>
        <w:t>Jonathan Okubay</w:t>
      </w:r>
    </w:p>
    <w:p>
      <w:pPr>
        <w:spacing w:before="0" w:after="40" w:line="324" w:lineRule="auto"/>
        <w:jc w:val="left"/>
      </w:pPr>
      <w:r>
        <w:rPr>
          <w:rFonts w:ascii="Georgia" w:hAnsi="Georgia"/>
          <w:b w:val="0"/>
          <w:i w:val="0"/>
          <w:color w:val="3A2D22"/>
          <w:sz w:val="20"/>
        </w:rPr>
        <w:t>Managing Director</w:t>
      </w:r>
    </w:p>
    <w:p>
      <w:pPr>
        <w:spacing w:before="0" w:after="80" w:line="324" w:lineRule="auto"/>
        <w:jc w:val="left"/>
      </w:pPr>
      <w:r>
        <w:rPr>
          <w:rFonts w:ascii="Georgia" w:hAnsi="Georgia"/>
          <w:b w:val="0"/>
          <w:i/>
          <w:color w:val="3A2D22"/>
          <w:sz w:val="20"/>
        </w:rPr>
        <w:t>Ubuntu Land Trust &amp; Developments</w:t>
      </w:r>
    </w:p>
    <w:p>
      <w:r>
        <w:rPr>
          <w:rFonts w:ascii="Consolas" w:hAnsi="Consolas"/>
          <w:b w:val="0"/>
          <w:i w:val="0"/>
          <w:color w:val="3A2D22"/>
          <w:sz w:val="18"/>
        </w:rPr>
        <w:t>jonathan@ubuntultd.com  ·  +1 647 740 9784</w:t>
      </w:r>
    </w:p>
    <w:p>
      <w:r>
        <w:br w:type="page"/>
      </w:r>
    </w:p>
    <w:p>
      <w:pPr>
        <w:spacing w:before="1600" w:after="120" w:line="324" w:lineRule="auto"/>
        <w:jc w:val="left"/>
      </w:pPr>
    </w:p>
    <w:p>
      <w:pPr>
        <w:spacing w:after="80"/>
        <w:jc w:val="center"/>
      </w:pPr>
      <w:r>
        <w:rPr>
          <w:rFonts w:ascii="Consolas" w:hAnsi="Consolas"/>
          <w:b/>
          <w:i w:val="0"/>
          <w:color w:val="C89344"/>
          <w:sz w:val="22"/>
        </w:rPr>
        <w:t>UBUNTU LTD  ·  THE NORTHPINE FOUNDATION</w:t>
      </w:r>
    </w:p>
    <w:p>
      <w:pPr>
        <w:spacing w:after="960"/>
        <w:jc w:val="center"/>
      </w:pPr>
      <w:r>
        <w:rPr>
          <w:rFonts w:ascii="Consolas" w:hAnsi="Consolas"/>
          <w:b w:val="0"/>
          <w:i w:val="0"/>
          <w:color w:val="3A2D22"/>
          <w:sz w:val="18"/>
        </w:rPr>
        <w:t>PLATFORM INFRASTRUCTURE INVESTMENT</w:t>
      </w:r>
    </w:p>
    <w:p>
      <w:pPr>
        <w:spacing w:after="0" w:line="252" w:lineRule="auto"/>
        <w:jc w:val="center"/>
      </w:pPr>
      <w:r>
        <w:rPr>
          <w:rFonts w:ascii="Georgia" w:hAnsi="Georgia"/>
          <w:b w:val="0"/>
          <w:i w:val="0"/>
          <w:color w:val="161210"/>
          <w:sz w:val="88"/>
        </w:rPr>
        <w:t>The Ubuntu</w:t>
      </w:r>
    </w:p>
    <w:p>
      <w:pPr>
        <w:spacing w:after="0" w:line="252" w:lineRule="auto"/>
        <w:jc w:val="center"/>
      </w:pPr>
      <w:r>
        <w:rPr>
          <w:rFonts w:ascii="Georgia" w:hAnsi="Georgia"/>
          <w:b w:val="0"/>
          <w:i w:val="0"/>
          <w:color w:val="161210"/>
          <w:sz w:val="88"/>
        </w:rPr>
        <w:t>Housing Delivery</w:t>
      </w:r>
    </w:p>
    <w:p>
      <w:pPr>
        <w:spacing w:after="0" w:line="252" w:lineRule="auto"/>
        <w:jc w:val="center"/>
      </w:pPr>
      <w:r>
        <w:rPr>
          <w:rFonts w:ascii="Georgia" w:hAnsi="Georgia"/>
          <w:b w:val="0"/>
          <w:i/>
          <w:color w:val="C89344"/>
          <w:sz w:val="88"/>
        </w:rPr>
        <w:t>Platform</w:t>
      </w:r>
    </w:p>
    <w:p>
      <w:pPr>
        <w:spacing w:before="480" w:after="120" w:line="324" w:lineRule="auto"/>
        <w:jc w:val="left"/>
      </w:pPr>
    </w:p>
    <w:p>
      <w:pPr>
        <w:spacing w:after="560"/>
        <w:jc w:val="center"/>
      </w:pPr>
      <w:r>
        <w:rPr>
          <w:rFonts w:ascii="Georgia" w:hAnsi="Georgia"/>
          <w:b w:val="0"/>
          <w:i/>
          <w:color w:val="3A2D22"/>
          <w:sz w:val="24"/>
        </w:rPr>
        <w:t>Building permanent pathways out of housing poverty for refugees, newcomers, and families at risk.</w:t>
      </w:r>
    </w:p>
    <w:tbl>
      <w:tblPr>
        <w:tblW w:type="auto" w:w="0"/>
        <w:tblLook w:firstColumn="1" w:firstRow="1" w:lastColumn="0" w:lastRow="0" w:noHBand="0" w:noVBand="1" w:val="04A0"/>
      </w:tblPr>
      <w:tblGrid>
        <w:gridCol w:w="9066"/>
      </w:tblGrid>
      <w:tr>
        <w:tc>
          <w:tcPr>
            <w:tcW w:type="dxa" w:w="9066"/>
            <w:shd w:val="clear" w:color="auto" w:fill="1f1612"/>
          </w:tcPr>
          <w:p>
            <w:pPr>
              <w:spacing w:before="320" w:after="80"/>
              <w:jc w:val="center"/>
            </w:pPr>
            <w:r>
              <w:rPr>
                <w:rFonts w:ascii="Consolas" w:hAnsi="Consolas"/>
                <w:b w:val="0"/>
                <w:i w:val="0"/>
                <w:color w:val="C89344"/>
                <w:sz w:val="18"/>
              </w:rPr>
              <w:t>ONE-TIME PLATFORM INFRASTRUCTURE INVESTMENT</w:t>
            </w:r>
          </w:p>
          <w:p>
            <w:pPr>
              <w:spacing w:after="80"/>
              <w:jc w:val="center"/>
            </w:pPr>
            <w:r>
              <w:rPr>
                <w:rFonts w:ascii="Georgia" w:hAnsi="Georgia"/>
                <w:b w:val="0"/>
                <w:i w:val="0"/>
                <w:color w:val="EBDFC4"/>
                <w:sz w:val="92"/>
              </w:rPr>
              <w:t>$2,000,000</w:t>
            </w:r>
          </w:p>
          <w:p>
            <w:pPr>
              <w:spacing w:after="320"/>
              <w:jc w:val="center"/>
            </w:pPr>
            <w:r>
              <w:rPr>
                <w:rFonts w:ascii="Georgia" w:hAnsi="Georgia"/>
                <w:b w:val="0"/>
                <w:i/>
                <w:color w:val="EBDFC4"/>
                <w:sz w:val="22"/>
              </w:rPr>
              <w:t>Activates a secured pipeline of 5,623 homes across 21 entitled sites</w:t>
            </w:r>
          </w:p>
          <w:p>
            <w:pPr>
              <w:spacing w:after="320"/>
              <w:jc w:val="center"/>
            </w:pPr>
            <w:r>
              <w:rPr>
                <w:rFonts w:ascii="Georgia" w:hAnsi="Georgia"/>
                <w:b w:val="0"/>
                <w:i/>
                <w:color w:val="EBDFC4"/>
                <w:sz w:val="22"/>
              </w:rPr>
              <w:t>Self-sustaining by Month 24</w:t>
            </w:r>
          </w:p>
        </w:tc>
      </w:tr>
    </w:tbl>
    <w:p>
      <w:pPr>
        <w:spacing w:before="960" w:after="120" w:line="324" w:lineRule="auto"/>
        <w:jc w:val="left"/>
      </w:pPr>
    </w:p>
    <w:p>
      <w:pPr>
        <w:spacing w:after="80"/>
        <w:jc w:val="center"/>
      </w:pPr>
      <w:r>
        <w:rPr>
          <w:rFonts w:ascii="Consolas" w:hAnsi="Consolas"/>
          <w:b w:val="0"/>
          <w:i w:val="0"/>
          <w:color w:val="3A2D22"/>
          <w:sz w:val="18"/>
        </w:rPr>
        <w:t>PREPARED FOR</w:t>
      </w:r>
    </w:p>
    <w:p>
      <w:pPr>
        <w:spacing w:after="80"/>
        <w:jc w:val="center"/>
      </w:pPr>
      <w:r>
        <w:rPr>
          <w:rFonts w:ascii="Georgia" w:hAnsi="Georgia"/>
          <w:b w:val="0"/>
          <w:i w:val="0"/>
          <w:color w:val="161210"/>
          <w:sz w:val="26"/>
        </w:rPr>
        <w:t>The Northpine Foundation</w:t>
      </w:r>
    </w:p>
    <w:p>
      <w:pPr>
        <w:spacing w:after="80"/>
        <w:jc w:val="center"/>
      </w:pPr>
      <w:r>
        <w:rPr>
          <w:rFonts w:ascii="Georgia" w:hAnsi="Georgia"/>
          <w:b w:val="0"/>
          <w:i w:val="0"/>
          <w:color w:val="161210"/>
          <w:sz w:val="8"/>
        </w:rPr>
      </w:r>
    </w:p>
    <w:p>
      <w:pPr>
        <w:spacing w:after="80"/>
        <w:jc w:val="center"/>
      </w:pPr>
      <w:r>
        <w:rPr>
          <w:rFonts w:ascii="Consolas" w:hAnsi="Consolas"/>
          <w:b w:val="0"/>
          <w:i w:val="0"/>
          <w:color w:val="3A2D22"/>
          <w:sz w:val="18"/>
        </w:rPr>
        <w:t>PREPARED BY</w:t>
      </w:r>
    </w:p>
    <w:p>
      <w:pPr>
        <w:spacing w:after="80"/>
        <w:jc w:val="center"/>
      </w:pPr>
      <w:r>
        <w:rPr>
          <w:rFonts w:ascii="Georgia" w:hAnsi="Georgia"/>
          <w:b w:val="0"/>
          <w:i w:val="0"/>
          <w:color w:val="161210"/>
          <w:sz w:val="24"/>
        </w:rPr>
        <w:t>Jonathan Okubay  ·  Ubuntu Land Trust &amp; Developments</w:t>
      </w:r>
    </w:p>
    <w:p>
      <w:pPr>
        <w:spacing w:after="80"/>
        <w:jc w:val="center"/>
      </w:pPr>
      <w:r>
        <w:rPr>
          <w:rFonts w:ascii="Georgia" w:hAnsi="Georgia"/>
          <w:b w:val="0"/>
          <w:i w:val="0"/>
          <w:color w:val="161210"/>
          <w:sz w:val="8"/>
        </w:rPr>
      </w:r>
    </w:p>
    <w:p>
      <w:pPr>
        <w:spacing w:after="80"/>
        <w:jc w:val="center"/>
      </w:pPr>
      <w:r>
        <w:rPr>
          <w:rFonts w:ascii="Consolas" w:hAnsi="Consolas"/>
          <w:b w:val="0"/>
          <w:i w:val="0"/>
          <w:color w:val="3A2D22"/>
          <w:sz w:val="18"/>
        </w:rPr>
        <w:t>MAY 2026  ·  CONFIDENTIAL</w:t>
      </w:r>
    </w:p>
    <w:p>
      <w:r>
        <w:br w:type="page"/>
      </w:r>
    </w:p>
    <w:p>
      <w:pPr>
        <w:spacing w:before="400" w:after="80" w:line="324" w:lineRule="auto"/>
        <w:jc w:val="left"/>
      </w:pPr>
      <w:r>
        <w:rPr>
          <w:rFonts w:ascii="Consolas" w:hAnsi="Consolas"/>
          <w:b w:val="0"/>
          <w:i w:val="0"/>
          <w:color w:val="C89344"/>
          <w:sz w:val="18"/>
        </w:rPr>
        <w:t>CONTENTS</w:t>
      </w:r>
    </w:p>
    <w:p>
      <w:pPr>
        <w:spacing w:after="160"/>
      </w:pPr>
      <w:r>
        <w:rPr>
          <w:rFonts w:ascii="Georgia" w:hAnsi="Georgia"/>
          <w:b w:val="0"/>
          <w:i w:val="0"/>
          <w:color w:val="161210"/>
          <w:sz w:val="48"/>
        </w:rPr>
        <w:t>What's in this proposal</w:t>
      </w:r>
    </w:p>
    <w:p>
      <w:pPr>
        <w:spacing w:before="0" w:after="400" w:line="324" w:lineRule="auto"/>
        <w:jc w:val="left"/>
      </w:pPr>
      <w:r>
        <w:rPr>
          <w:rFonts w:ascii="Georgia" w:hAnsi="Georgia"/>
          <w:b w:val="0"/>
          <w:i/>
          <w:color w:val="3A2D22"/>
          <w:sz w:val="22"/>
        </w:rPr>
        <w:t>Fifteen sections and a Scarborough portfolio addendum. Skim by interest — every section is built to stand alone.</w:t>
      </w:r>
    </w:p>
    <w:p>
      <w:pPr>
        <w:spacing w:before="280" w:after="120" w:line="324" w:lineRule="auto"/>
        <w:jc w:val="left"/>
      </w:pPr>
      <w:r>
        <w:rPr>
          <w:rFonts w:ascii="Consolas" w:hAnsi="Consolas"/>
          <w:b w:val="0"/>
          <w:i w:val="0"/>
          <w:color w:val="C89344"/>
          <w:sz w:val="18"/>
        </w:rPr>
        <w:t>THE PLATFORM</w:t>
      </w:r>
    </w:p>
    <w:p>
      <w:pPr>
        <w:tabs>
          <w:tab w:pos="8787" w:val="right"/>
        </w:tabs>
        <w:spacing w:after="80"/>
      </w:pPr>
      <w:r>
        <w:rPr>
          <w:rFonts w:ascii="Consolas" w:hAnsi="Consolas"/>
          <w:b w:val="0"/>
          <w:i w:val="0"/>
          <w:color w:val="C89344"/>
          <w:sz w:val="20"/>
        </w:rPr>
        <w:t xml:space="preserve">01    </w:t>
      </w:r>
      <w:r>
        <w:rPr>
          <w:rFonts w:ascii="Georgia" w:hAnsi="Georgia"/>
          <w:b w:val="0"/>
          <w:i w:val="0"/>
          <w:color w:val="161210"/>
          <w:sz w:val="22"/>
        </w:rPr>
        <w:t>Why This Investment Fits Northpine</w:t>
      </w:r>
      <w:r>
        <w:rPr>
          <w:rFonts w:ascii="Consolas" w:hAnsi="Consolas"/>
          <w:b w:val="0"/>
          <w:i w:val="0"/>
          <w:color w:val="3A2D22"/>
          <w:sz w:val="18"/>
        </w:rPr>
        <w:tab/>
        <w:t>4</w:t>
      </w:r>
    </w:p>
    <w:p>
      <w:pPr>
        <w:tabs>
          <w:tab w:pos="8787" w:val="right"/>
        </w:tabs>
        <w:spacing w:after="80"/>
      </w:pPr>
      <w:r>
        <w:rPr>
          <w:rFonts w:ascii="Consolas" w:hAnsi="Consolas"/>
          <w:b w:val="0"/>
          <w:i w:val="0"/>
          <w:color w:val="C89344"/>
          <w:sz w:val="20"/>
        </w:rPr>
        <w:t xml:space="preserve">02    </w:t>
      </w:r>
      <w:r>
        <w:rPr>
          <w:rFonts w:ascii="Georgia" w:hAnsi="Georgia"/>
          <w:b w:val="0"/>
          <w:i w:val="0"/>
          <w:color w:val="161210"/>
          <w:sz w:val="22"/>
        </w:rPr>
        <w:t>The Problem — A Coordination Failure</w:t>
      </w:r>
      <w:r>
        <w:rPr>
          <w:rFonts w:ascii="Consolas" w:hAnsi="Consolas"/>
          <w:b w:val="0"/>
          <w:i w:val="0"/>
          <w:color w:val="3A2D22"/>
          <w:sz w:val="18"/>
        </w:rPr>
        <w:tab/>
        <w:t>5</w:t>
      </w:r>
    </w:p>
    <w:p>
      <w:pPr>
        <w:tabs>
          <w:tab w:pos="8787" w:val="right"/>
        </w:tabs>
        <w:spacing w:after="80"/>
      </w:pPr>
      <w:r>
        <w:rPr>
          <w:rFonts w:ascii="Consolas" w:hAnsi="Consolas"/>
          <w:b w:val="0"/>
          <w:i w:val="0"/>
          <w:color w:val="C89344"/>
          <w:sz w:val="20"/>
        </w:rPr>
        <w:t xml:space="preserve">03    </w:t>
      </w:r>
      <w:r>
        <w:rPr>
          <w:rFonts w:ascii="Georgia" w:hAnsi="Georgia"/>
          <w:b w:val="0"/>
          <w:i w:val="0"/>
          <w:color w:val="161210"/>
          <w:sz w:val="22"/>
        </w:rPr>
        <w:t>The Mechanic — The Common Ground Initiative</w:t>
      </w:r>
      <w:r>
        <w:rPr>
          <w:rFonts w:ascii="Consolas" w:hAnsi="Consolas"/>
          <w:b w:val="0"/>
          <w:i w:val="0"/>
          <w:color w:val="3A2D22"/>
          <w:sz w:val="18"/>
        </w:rPr>
        <w:tab/>
        <w:t>6</w:t>
      </w:r>
    </w:p>
    <w:p>
      <w:pPr>
        <w:tabs>
          <w:tab w:pos="8787" w:val="right"/>
        </w:tabs>
        <w:spacing w:after="80"/>
      </w:pPr>
      <w:r>
        <w:rPr>
          <w:rFonts w:ascii="Consolas" w:hAnsi="Consolas"/>
          <w:b w:val="0"/>
          <w:i w:val="0"/>
          <w:color w:val="C89344"/>
          <w:sz w:val="20"/>
        </w:rPr>
        <w:t xml:space="preserve">04    </w:t>
      </w:r>
      <w:r>
        <w:rPr>
          <w:rFonts w:ascii="Georgia" w:hAnsi="Georgia"/>
          <w:b w:val="0"/>
          <w:i w:val="0"/>
          <w:color w:val="161210"/>
          <w:sz w:val="22"/>
        </w:rPr>
        <w:t>The Capital Stack</w:t>
      </w:r>
      <w:r>
        <w:rPr>
          <w:rFonts w:ascii="Consolas" w:hAnsi="Consolas"/>
          <w:b w:val="0"/>
          <w:i w:val="0"/>
          <w:color w:val="3A2D22"/>
          <w:sz w:val="18"/>
        </w:rPr>
        <w:tab/>
        <w:t>8</w:t>
      </w:r>
    </w:p>
    <w:p>
      <w:pPr>
        <w:tabs>
          <w:tab w:pos="8787" w:val="right"/>
        </w:tabs>
        <w:spacing w:after="80"/>
      </w:pPr>
      <w:r>
        <w:rPr>
          <w:rFonts w:ascii="Consolas" w:hAnsi="Consolas"/>
          <w:b w:val="0"/>
          <w:i w:val="0"/>
          <w:color w:val="C89344"/>
          <w:sz w:val="20"/>
        </w:rPr>
        <w:t xml:space="preserve">05    </w:t>
      </w:r>
      <w:r>
        <w:rPr>
          <w:rFonts w:ascii="Georgia" w:hAnsi="Georgia"/>
          <w:b w:val="0"/>
          <w:i w:val="0"/>
          <w:color w:val="161210"/>
          <w:sz w:val="22"/>
        </w:rPr>
        <w:t>Why Private Landowners Participate</w:t>
      </w:r>
      <w:r>
        <w:rPr>
          <w:rFonts w:ascii="Consolas" w:hAnsi="Consolas"/>
          <w:b w:val="0"/>
          <w:i w:val="0"/>
          <w:color w:val="3A2D22"/>
          <w:sz w:val="18"/>
        </w:rPr>
        <w:tab/>
        <w:t>9</w:t>
      </w:r>
    </w:p>
    <w:p>
      <w:pPr>
        <w:spacing w:before="280" w:after="120" w:line="324" w:lineRule="auto"/>
        <w:jc w:val="left"/>
      </w:pPr>
      <w:r>
        <w:rPr>
          <w:rFonts w:ascii="Consolas" w:hAnsi="Consolas"/>
          <w:b w:val="0"/>
          <w:i w:val="0"/>
          <w:color w:val="C89344"/>
          <w:sz w:val="18"/>
        </w:rPr>
        <w:t>THE PLATFORM AT WORK</w:t>
      </w:r>
    </w:p>
    <w:p>
      <w:pPr>
        <w:tabs>
          <w:tab w:pos="8787" w:val="right"/>
        </w:tabs>
        <w:spacing w:after="80"/>
      </w:pPr>
      <w:r>
        <w:rPr>
          <w:rFonts w:ascii="Consolas" w:hAnsi="Consolas"/>
          <w:b w:val="0"/>
          <w:i w:val="0"/>
          <w:color w:val="C89344"/>
          <w:sz w:val="20"/>
        </w:rPr>
        <w:t xml:space="preserve">06    </w:t>
      </w:r>
      <w:r>
        <w:rPr>
          <w:rFonts w:ascii="Georgia" w:hAnsi="Georgia"/>
          <w:b w:val="0"/>
          <w:i w:val="0"/>
          <w:color w:val="161210"/>
          <w:sz w:val="22"/>
        </w:rPr>
        <w:t>The Equity Engine</w:t>
      </w:r>
      <w:r>
        <w:rPr>
          <w:rFonts w:ascii="Consolas" w:hAnsi="Consolas"/>
          <w:b w:val="0"/>
          <w:i w:val="0"/>
          <w:color w:val="3A2D22"/>
          <w:sz w:val="18"/>
        </w:rPr>
        <w:tab/>
        <w:t>10</w:t>
      </w:r>
    </w:p>
    <w:p>
      <w:pPr>
        <w:tabs>
          <w:tab w:pos="8787" w:val="right"/>
        </w:tabs>
        <w:spacing w:after="80"/>
      </w:pPr>
      <w:r>
        <w:rPr>
          <w:rFonts w:ascii="Consolas" w:hAnsi="Consolas"/>
          <w:b w:val="0"/>
          <w:i w:val="0"/>
          <w:color w:val="C89344"/>
          <w:sz w:val="20"/>
        </w:rPr>
        <w:t xml:space="preserve">07    </w:t>
      </w:r>
      <w:r>
        <w:rPr>
          <w:rFonts w:ascii="Georgia" w:hAnsi="Georgia"/>
          <w:b w:val="0"/>
          <w:i w:val="0"/>
          <w:color w:val="161210"/>
          <w:sz w:val="22"/>
        </w:rPr>
        <w:t>Ubuntu LTD — The Coordinating Platform</w:t>
      </w:r>
      <w:r>
        <w:rPr>
          <w:rFonts w:ascii="Consolas" w:hAnsi="Consolas"/>
          <w:b w:val="0"/>
          <w:i w:val="0"/>
          <w:color w:val="3A2D22"/>
          <w:sz w:val="18"/>
        </w:rPr>
        <w:tab/>
        <w:t>11</w:t>
      </w:r>
    </w:p>
    <w:p>
      <w:pPr>
        <w:tabs>
          <w:tab w:pos="8787" w:val="right"/>
        </w:tabs>
        <w:spacing w:after="80"/>
      </w:pPr>
      <w:r>
        <w:rPr>
          <w:rFonts w:ascii="Consolas" w:hAnsi="Consolas"/>
          <w:b w:val="0"/>
          <w:i w:val="0"/>
          <w:color w:val="C89344"/>
          <w:sz w:val="20"/>
        </w:rPr>
        <w:t xml:space="preserve">08    </w:t>
      </w:r>
      <w:r>
        <w:rPr>
          <w:rFonts w:ascii="Georgia" w:hAnsi="Georgia"/>
          <w:b w:val="0"/>
          <w:i w:val="0"/>
          <w:color w:val="161210"/>
          <w:sz w:val="22"/>
        </w:rPr>
        <w:t>The Delivery Ecosystem — Who Is Behind This</w:t>
      </w:r>
      <w:r>
        <w:rPr>
          <w:rFonts w:ascii="Consolas" w:hAnsi="Consolas"/>
          <w:b w:val="0"/>
          <w:i w:val="0"/>
          <w:color w:val="3A2D22"/>
          <w:sz w:val="18"/>
        </w:rPr>
        <w:tab/>
        <w:t>12</w:t>
      </w:r>
    </w:p>
    <w:p>
      <w:pPr>
        <w:tabs>
          <w:tab w:pos="8787" w:val="right"/>
        </w:tabs>
        <w:spacing w:after="80"/>
      </w:pPr>
      <w:r>
        <w:rPr>
          <w:rFonts w:ascii="Consolas" w:hAnsi="Consolas"/>
          <w:b w:val="0"/>
          <w:i w:val="0"/>
          <w:color w:val="C89344"/>
          <w:sz w:val="20"/>
        </w:rPr>
        <w:t xml:space="preserve">09    </w:t>
      </w:r>
      <w:r>
        <w:rPr>
          <w:rFonts w:ascii="Georgia" w:hAnsi="Georgia"/>
          <w:b w:val="0"/>
          <w:i w:val="0"/>
          <w:color w:val="161210"/>
          <w:sz w:val="22"/>
        </w:rPr>
        <w:t>Who This Reaches</w:t>
      </w:r>
      <w:r>
        <w:rPr>
          <w:rFonts w:ascii="Consolas" w:hAnsi="Consolas"/>
          <w:b w:val="0"/>
          <w:i w:val="0"/>
          <w:color w:val="3A2D22"/>
          <w:sz w:val="18"/>
        </w:rPr>
        <w:tab/>
        <w:t>14</w:t>
      </w:r>
    </w:p>
    <w:p>
      <w:pPr>
        <w:spacing w:before="280" w:after="120" w:line="324" w:lineRule="auto"/>
        <w:jc w:val="left"/>
      </w:pPr>
      <w:r>
        <w:rPr>
          <w:rFonts w:ascii="Consolas" w:hAnsi="Consolas"/>
          <w:b w:val="0"/>
          <w:i w:val="0"/>
          <w:color w:val="C89344"/>
          <w:sz w:val="18"/>
        </w:rPr>
        <w:t>THE PROOF</w:t>
      </w:r>
    </w:p>
    <w:p>
      <w:pPr>
        <w:tabs>
          <w:tab w:pos="8787" w:val="right"/>
        </w:tabs>
        <w:spacing w:after="80"/>
      </w:pPr>
      <w:r>
        <w:rPr>
          <w:rFonts w:ascii="Consolas" w:hAnsi="Consolas"/>
          <w:b w:val="0"/>
          <w:i w:val="0"/>
          <w:color w:val="C89344"/>
          <w:sz w:val="20"/>
        </w:rPr>
        <w:t xml:space="preserve">10    </w:t>
      </w:r>
      <w:r>
        <w:rPr>
          <w:rFonts w:ascii="Georgia" w:hAnsi="Georgia"/>
          <w:b w:val="0"/>
          <w:i w:val="0"/>
          <w:color w:val="161210"/>
          <w:sz w:val="22"/>
        </w:rPr>
        <w:t>The National Pipeline</w:t>
      </w:r>
      <w:r>
        <w:rPr>
          <w:rFonts w:ascii="Consolas" w:hAnsi="Consolas"/>
          <w:b w:val="0"/>
          <w:i w:val="0"/>
          <w:color w:val="3A2D22"/>
          <w:sz w:val="18"/>
        </w:rPr>
        <w:tab/>
        <w:t>15</w:t>
      </w:r>
    </w:p>
    <w:p>
      <w:pPr>
        <w:tabs>
          <w:tab w:pos="8787" w:val="right"/>
        </w:tabs>
        <w:spacing w:after="80"/>
      </w:pPr>
      <w:r>
        <w:rPr>
          <w:rFonts w:ascii="Consolas" w:hAnsi="Consolas"/>
          <w:b w:val="0"/>
          <w:i w:val="0"/>
          <w:color w:val="C89344"/>
          <w:sz w:val="20"/>
        </w:rPr>
        <w:t xml:space="preserve">11    </w:t>
      </w:r>
      <w:r>
        <w:rPr>
          <w:rFonts w:ascii="Georgia" w:hAnsi="Georgia"/>
          <w:b w:val="0"/>
          <w:i w:val="0"/>
          <w:color w:val="161210"/>
          <w:sz w:val="22"/>
        </w:rPr>
        <w:t>Scarborough in Action</w:t>
      </w:r>
      <w:r>
        <w:rPr>
          <w:rFonts w:ascii="Consolas" w:hAnsi="Consolas"/>
          <w:b w:val="0"/>
          <w:i w:val="0"/>
          <w:color w:val="3A2D22"/>
          <w:sz w:val="18"/>
        </w:rPr>
        <w:tab/>
        <w:t>17</w:t>
      </w:r>
    </w:p>
    <w:p>
      <w:pPr>
        <w:spacing w:before="280" w:after="120" w:line="324" w:lineRule="auto"/>
        <w:jc w:val="left"/>
      </w:pPr>
      <w:r>
        <w:rPr>
          <w:rFonts w:ascii="Consolas" w:hAnsi="Consolas"/>
          <w:b w:val="0"/>
          <w:i w:val="0"/>
          <w:color w:val="C89344"/>
          <w:sz w:val="18"/>
        </w:rPr>
        <w:t>THE ASK</w:t>
      </w:r>
    </w:p>
    <w:p>
      <w:pPr>
        <w:tabs>
          <w:tab w:pos="8787" w:val="right"/>
        </w:tabs>
        <w:spacing w:after="80"/>
      </w:pPr>
      <w:r>
        <w:rPr>
          <w:rFonts w:ascii="Consolas" w:hAnsi="Consolas"/>
          <w:b w:val="0"/>
          <w:i w:val="0"/>
          <w:color w:val="C89344"/>
          <w:sz w:val="20"/>
        </w:rPr>
        <w:t xml:space="preserve">12    </w:t>
      </w:r>
      <w:r>
        <w:rPr>
          <w:rFonts w:ascii="Georgia" w:hAnsi="Georgia"/>
          <w:b w:val="0"/>
          <w:i w:val="0"/>
          <w:color w:val="161210"/>
          <w:sz w:val="22"/>
        </w:rPr>
        <w:t>The Investment — $2,000,000</w:t>
      </w:r>
      <w:r>
        <w:rPr>
          <w:rFonts w:ascii="Consolas" w:hAnsi="Consolas"/>
          <w:b w:val="0"/>
          <w:i w:val="0"/>
          <w:color w:val="3A2D22"/>
          <w:sz w:val="18"/>
        </w:rPr>
        <w:tab/>
        <w:t>18</w:t>
      </w:r>
    </w:p>
    <w:p>
      <w:pPr>
        <w:tabs>
          <w:tab w:pos="8787" w:val="right"/>
        </w:tabs>
        <w:spacing w:after="80"/>
      </w:pPr>
      <w:r>
        <w:rPr>
          <w:rFonts w:ascii="Consolas" w:hAnsi="Consolas"/>
          <w:b w:val="0"/>
          <w:i w:val="0"/>
          <w:color w:val="C89344"/>
          <w:sz w:val="20"/>
        </w:rPr>
        <w:t xml:space="preserve">13    </w:t>
      </w:r>
      <w:r>
        <w:rPr>
          <w:rFonts w:ascii="Georgia" w:hAnsi="Georgia"/>
          <w:b w:val="0"/>
          <w:i w:val="0"/>
          <w:color w:val="161210"/>
          <w:sz w:val="22"/>
        </w:rPr>
        <w:t>Measurable Outcomes &amp; Sustainability</w:t>
      </w:r>
      <w:r>
        <w:rPr>
          <w:rFonts w:ascii="Consolas" w:hAnsi="Consolas"/>
          <w:b w:val="0"/>
          <w:i w:val="0"/>
          <w:color w:val="3A2D22"/>
          <w:sz w:val="18"/>
        </w:rPr>
        <w:tab/>
        <w:t>20</w:t>
      </w:r>
    </w:p>
    <w:p>
      <w:pPr>
        <w:tabs>
          <w:tab w:pos="8787" w:val="right"/>
        </w:tabs>
        <w:spacing w:after="80"/>
      </w:pPr>
      <w:r>
        <w:rPr>
          <w:rFonts w:ascii="Consolas" w:hAnsi="Consolas"/>
          <w:b w:val="0"/>
          <w:i w:val="0"/>
          <w:color w:val="C89344"/>
          <w:sz w:val="20"/>
        </w:rPr>
        <w:t xml:space="preserve">14    </w:t>
      </w:r>
      <w:r>
        <w:rPr>
          <w:rFonts w:ascii="Georgia" w:hAnsi="Georgia"/>
          <w:b w:val="0"/>
          <w:i w:val="0"/>
          <w:color w:val="161210"/>
          <w:sz w:val="22"/>
        </w:rPr>
        <w:t>Risk Architecture</w:t>
      </w:r>
      <w:r>
        <w:rPr>
          <w:rFonts w:ascii="Consolas" w:hAnsi="Consolas"/>
          <w:b w:val="0"/>
          <w:i w:val="0"/>
          <w:color w:val="3A2D22"/>
          <w:sz w:val="18"/>
        </w:rPr>
        <w:tab/>
        <w:t>22</w:t>
      </w:r>
    </w:p>
    <w:p>
      <w:pPr>
        <w:tabs>
          <w:tab w:pos="8787" w:val="right"/>
        </w:tabs>
        <w:spacing w:after="80"/>
      </w:pPr>
      <w:r>
        <w:rPr>
          <w:rFonts w:ascii="Consolas" w:hAnsi="Consolas"/>
          <w:b w:val="0"/>
          <w:i w:val="0"/>
          <w:color w:val="C89344"/>
          <w:sz w:val="20"/>
        </w:rPr>
        <w:t xml:space="preserve">15    </w:t>
      </w:r>
      <w:r>
        <w:rPr>
          <w:rFonts w:ascii="Georgia" w:hAnsi="Georgia"/>
          <w:b w:val="0"/>
          <w:i w:val="0"/>
          <w:color w:val="161210"/>
          <w:sz w:val="22"/>
        </w:rPr>
        <w:t>The Close</w:t>
      </w:r>
      <w:r>
        <w:rPr>
          <w:rFonts w:ascii="Consolas" w:hAnsi="Consolas"/>
          <w:b w:val="0"/>
          <w:i w:val="0"/>
          <w:color w:val="3A2D22"/>
          <w:sz w:val="18"/>
        </w:rPr>
        <w:tab/>
        <w:t>23</w:t>
      </w:r>
    </w:p>
    <w:p>
      <w:pPr>
        <w:spacing w:before="280" w:after="120" w:line="324" w:lineRule="auto"/>
        <w:jc w:val="left"/>
      </w:pPr>
      <w:r>
        <w:rPr>
          <w:rFonts w:ascii="Consolas" w:hAnsi="Consolas"/>
          <w:b w:val="0"/>
          <w:i w:val="0"/>
          <w:color w:val="C89344"/>
          <w:sz w:val="18"/>
        </w:rPr>
        <w:t>ADDENDUM</w:t>
      </w:r>
    </w:p>
    <w:p>
      <w:pPr>
        <w:tabs>
          <w:tab w:pos="8787" w:val="right"/>
        </w:tabs>
        <w:spacing w:after="80"/>
      </w:pPr>
      <w:r>
        <w:rPr>
          <w:rFonts w:ascii="Consolas" w:hAnsi="Consolas"/>
          <w:b w:val="0"/>
          <w:i w:val="0"/>
          <w:color w:val="C89344"/>
          <w:sz w:val="20"/>
        </w:rPr>
        <w:t xml:space="preserve">A    </w:t>
      </w:r>
      <w:r>
        <w:rPr>
          <w:rFonts w:ascii="Georgia" w:hAnsi="Georgia"/>
          <w:b w:val="0"/>
          <w:i w:val="0"/>
          <w:color w:val="161210"/>
          <w:sz w:val="22"/>
        </w:rPr>
        <w:t>The Scarborough Portfolio — Three Site Profiles</w:t>
      </w:r>
      <w:r>
        <w:rPr>
          <w:rFonts w:ascii="Consolas" w:hAnsi="Consolas"/>
          <w:b w:val="0"/>
          <w:i w:val="0"/>
          <w:color w:val="3A2D22"/>
          <w:sz w:val="18"/>
        </w:rPr>
        <w:tab/>
        <w:t>24</w:t>
      </w:r>
    </w:p>
    <w:p>
      <w:r>
        <w:br w:type="page"/>
      </w:r>
    </w:p>
    <w:p>
      <w:pPr>
        <w:spacing w:before="400" w:after="120" w:line="324" w:lineRule="auto"/>
        <w:jc w:val="left"/>
      </w:pPr>
    </w:p>
    <w:p>
      <w:pPr>
        <w:spacing w:before="200" w:after="360"/>
      </w:pPr>
      <w:r>
        <w:rPr>
          <w:rFonts w:ascii="Consolas" w:hAnsi="Consolas"/>
          <w:b/>
          <w:i w:val="0"/>
          <w:color w:val="C89344"/>
          <w:sz w:val="22"/>
        </w:rPr>
        <w:t xml:space="preserve">01  ·  </w:t>
      </w:r>
      <w:r>
        <w:rPr>
          <w:rFonts w:ascii="Georgia" w:hAnsi="Georgia"/>
          <w:b w:val="0"/>
          <w:i w:val="0"/>
          <w:color w:val="161210"/>
          <w:sz w:val="48"/>
        </w:rPr>
        <w:t>Why This Investment Fits Northpine</w:t>
      </w:r>
    </w:p>
    <w:p>
      <w:pPr>
        <w:spacing w:before="0" w:after="160" w:line="336" w:lineRule="auto"/>
        <w:jc w:val="both"/>
      </w:pPr>
      <w:r>
        <w:rPr>
          <w:rFonts w:ascii="Georgia" w:hAnsi="Georgia"/>
          <w:b w:val="0"/>
          <w:i w:val="0"/>
          <w:color w:val="161210"/>
          <w:sz w:val="20"/>
        </w:rPr>
        <w:t>Northpine invests in opportunities for people at risk of poverty to build stable, fulfilling lives. You seek out promising initiatives, set clear goals, diligently track outcomes, and design investments that continue to drive change after your funding ends.</w:t>
      </w:r>
    </w:p>
    <w:p>
      <w:pPr>
        <w:spacing w:before="0" w:after="160" w:line="336" w:lineRule="auto"/>
        <w:jc w:val="both"/>
      </w:pPr>
      <w:r>
        <w:rPr>
          <w:rFonts w:ascii="Georgia" w:hAnsi="Georgia"/>
          <w:b w:val="0"/>
          <w:i w:val="0"/>
          <w:color w:val="161210"/>
          <w:sz w:val="20"/>
        </w:rPr>
        <w:t>Ubuntu Land Trust and Developments (Ubuntu LTD) is exactly that kind of investment. It is the national platform that coordinates landowners, non-profit operators, and federal capital into permanent affordable housing. The Common Ground Initiative is the mechanic through which the platform operates — acting as the structuring entity between private landowners with stalled sites and non-profit operators who own and manage the housing permanently, structured so the economics work for both sides. A single infrastructure investment activates thousands of affordable homes for the people Northpine cares most about: refugees and newcomers facing housing instability, families trapped in poverty by unaffordable rents, formerly incarcerated individuals with no housing pathway, and seniors at risk of displacement.</w:t>
      </w:r>
    </w:p>
    <w:p>
      <w:pPr>
        <w:spacing w:before="280" w:after="120"/>
      </w:pPr>
      <w:r>
        <w:rPr>
          <w:rFonts w:ascii="Georgia" w:hAnsi="Georgia"/>
          <w:b/>
          <w:i w:val="0"/>
          <w:color w:val="C89344"/>
          <w:sz w:val="24"/>
        </w:rPr>
        <w:t>Northpine alignment at a glance</w:t>
      </w:r>
    </w:p>
    <w:tbl>
      <w:tblPr>
        <w:tblW w:type="auto" w:w="0"/>
        <w:jc w:val="center"/>
        <w:tblLayout w:type="fixed"/>
        <w:tblLook w:firstColumn="1" w:firstRow="1" w:lastColumn="0" w:lastRow="0" w:noHBand="0" w:noVBand="1" w:val="04A0"/>
      </w:tblPr>
      <w:tblGrid>
        <w:gridCol w:w="4533"/>
        <w:gridCol w:w="4533"/>
      </w:tblGrid>
      <w:tr>
        <w:tc>
          <w:tcPr>
            <w:tcW w:type="dxa" w:w="2551"/>
            <w:shd w:val="clear" w:color="auto" w:fill="1f1612"/>
            <w:vAlign w:val="center"/>
          </w:tcPr>
          <w:p>
            <w:pPr>
              <w:spacing w:before="80" w:after="80"/>
            </w:pPr>
            <w:r>
              <w:rPr>
                <w:rFonts w:ascii="Consolas" w:hAnsi="Consolas"/>
                <w:b/>
                <w:color w:val="EBDFC4"/>
                <w:sz w:val="16"/>
              </w:rPr>
              <w:t>Northpine priority</w:t>
            </w:r>
          </w:p>
        </w:tc>
        <w:tc>
          <w:tcPr>
            <w:tcW w:type="dxa" w:w="6520"/>
            <w:shd w:val="clear" w:color="auto" w:fill="1f1612"/>
            <w:vAlign w:val="center"/>
          </w:tcPr>
          <w:p>
            <w:pPr>
              <w:spacing w:before="80" w:after="80"/>
            </w:pPr>
            <w:r>
              <w:rPr>
                <w:rFonts w:ascii="Consolas" w:hAnsi="Consolas"/>
                <w:b/>
                <w:color w:val="EBDFC4"/>
                <w:sz w:val="16"/>
              </w:rPr>
              <w:t>How Ubuntu LTD delivers</w:t>
            </w:r>
          </w:p>
        </w:tc>
      </w:tr>
      <w:tr>
        <w:tc>
          <w:tcPr>
            <w:tcW w:type="dxa" w:w="2551"/>
            <w:vAlign w:val="top"/>
            <w:tcBorders>
              <w:bottom w:sz="4" w:val="single" w:color="CDC1A8"/>
            </w:tcBorders>
          </w:tcPr>
          <w:p>
            <w:pPr>
              <w:spacing w:before="80" w:after="80" w:line="324" w:lineRule="auto"/>
            </w:pPr>
            <w:r>
              <w:rPr>
                <w:rFonts w:ascii="Georgia" w:hAnsi="Georgia"/>
                <w:color w:val="161210"/>
                <w:sz w:val="18"/>
              </w:rPr>
              <w:t>People at risk of poverty</w:t>
            </w:r>
          </w:p>
        </w:tc>
        <w:tc>
          <w:tcPr>
            <w:tcW w:type="dxa" w:w="6520"/>
            <w:vAlign w:val="top"/>
            <w:tcBorders>
              <w:bottom w:sz="4" w:val="single" w:color="CDC1A8"/>
            </w:tcBorders>
          </w:tcPr>
          <w:p>
            <w:pPr>
              <w:spacing w:before="80" w:after="80" w:line="324" w:lineRule="auto"/>
            </w:pPr>
            <w:r>
              <w:rPr>
                <w:rFonts w:ascii="Georgia" w:hAnsi="Georgia"/>
                <w:color w:val="161210"/>
                <w:sz w:val="18"/>
              </w:rPr>
              <w:t>A minimum of 30% of homes priced below 80% of Median Market Rent, with a meaningful share at deep affordability for households on social assistance.</w:t>
            </w:r>
          </w:p>
        </w:tc>
      </w:tr>
      <w:tr>
        <w:tc>
          <w:tcPr>
            <w:tcW w:type="dxa" w:w="2551"/>
            <w:vAlign w:val="top"/>
            <w:tcBorders>
              <w:bottom w:sz="4" w:val="single" w:color="CDC1A8"/>
            </w:tcBorders>
          </w:tcPr>
          <w:p>
            <w:pPr>
              <w:spacing w:before="80" w:after="80" w:line="324" w:lineRule="auto"/>
            </w:pPr>
            <w:r>
              <w:rPr>
                <w:rFonts w:ascii="Georgia" w:hAnsi="Georgia"/>
                <w:color w:val="161210"/>
                <w:sz w:val="18"/>
              </w:rPr>
              <w:t>Refugees &amp; newcomers</w:t>
            </w:r>
          </w:p>
        </w:tc>
        <w:tc>
          <w:tcPr>
            <w:tcW w:type="dxa" w:w="6520"/>
            <w:vAlign w:val="top"/>
            <w:tcBorders>
              <w:bottom w:sz="4" w:val="single" w:color="CDC1A8"/>
            </w:tcBorders>
          </w:tcPr>
          <w:p>
            <w:pPr>
              <w:spacing w:before="80" w:after="80" w:line="324" w:lineRule="auto"/>
            </w:pPr>
            <w:r>
              <w:rPr>
                <w:rFonts w:ascii="Georgia" w:hAnsi="Georgia"/>
                <w:color w:val="161210"/>
                <w:sz w:val="18"/>
              </w:rPr>
              <w:t>Co-founded by the Rwandan Canadian Healing Centre (RCHC), which operates 12 housing units serving African refugees with wraparound settlement support, trauma-informed care, and employment readiness — with significant capacity to scale through the platform.</w:t>
            </w:r>
          </w:p>
        </w:tc>
      </w:tr>
      <w:tr>
        <w:tc>
          <w:tcPr>
            <w:tcW w:type="dxa" w:w="2551"/>
            <w:vAlign w:val="top"/>
            <w:tcBorders>
              <w:bottom w:sz="4" w:val="single" w:color="CDC1A8"/>
            </w:tcBorders>
          </w:tcPr>
          <w:p>
            <w:pPr>
              <w:spacing w:before="80" w:after="80" w:line="324" w:lineRule="auto"/>
            </w:pPr>
            <w:r>
              <w:rPr>
                <w:rFonts w:ascii="Georgia" w:hAnsi="Georgia"/>
                <w:color w:val="161210"/>
                <w:sz w:val="18"/>
              </w:rPr>
              <w:t>Innovation &amp; risk-taking</w:t>
            </w:r>
          </w:p>
        </w:tc>
        <w:tc>
          <w:tcPr>
            <w:tcW w:type="dxa" w:w="6520"/>
            <w:vAlign w:val="top"/>
            <w:tcBorders>
              <w:bottom w:sz="4" w:val="single" w:color="CDC1A8"/>
            </w:tcBorders>
          </w:tcPr>
          <w:p>
            <w:pPr>
              <w:spacing w:before="80" w:after="80" w:line="324" w:lineRule="auto"/>
            </w:pPr>
            <w:r>
              <w:rPr>
                <w:rFonts w:ascii="Georgia" w:hAnsi="Georgia"/>
                <w:color w:val="161210"/>
                <w:sz w:val="18"/>
              </w:rPr>
              <w:t>The Common Ground Initiative structurally aligns private landowner economics with public affordability goals — a mechanic never deployed at this scale in Canada. Exactly the kind of bold, strategic risk Northpine was built to take.</w:t>
            </w:r>
          </w:p>
        </w:tc>
      </w:tr>
      <w:tr>
        <w:tc>
          <w:tcPr>
            <w:tcW w:type="dxa" w:w="2551"/>
            <w:vAlign w:val="top"/>
            <w:tcBorders>
              <w:bottom w:sz="4" w:val="single" w:color="CDC1A8"/>
            </w:tcBorders>
          </w:tcPr>
          <w:p>
            <w:pPr>
              <w:spacing w:before="80" w:after="80" w:line="324" w:lineRule="auto"/>
            </w:pPr>
            <w:r>
              <w:rPr>
                <w:rFonts w:ascii="Georgia" w:hAnsi="Georgia"/>
                <w:color w:val="161210"/>
                <w:sz w:val="18"/>
              </w:rPr>
              <w:t>Sustainability after funding</w:t>
            </w:r>
          </w:p>
        </w:tc>
        <w:tc>
          <w:tcPr>
            <w:tcW w:type="dxa" w:w="6520"/>
            <w:vAlign w:val="top"/>
            <w:tcBorders>
              <w:bottom w:sz="4" w:val="single" w:color="CDC1A8"/>
            </w:tcBorders>
          </w:tcPr>
          <w:p>
            <w:pPr>
              <w:spacing w:before="80" w:after="80" w:line="324" w:lineRule="auto"/>
            </w:pPr>
            <w:r>
              <w:rPr>
                <w:rFonts w:ascii="Georgia" w:hAnsi="Georgia"/>
                <w:color w:val="161210"/>
                <w:sz w:val="18"/>
              </w:rPr>
              <w:t>Ubuntu LTD reaches 100% earned-revenue self-sufficiency by Month 24. The $2M builds infrastructure that operates independently, permanently.</w:t>
            </w:r>
          </w:p>
        </w:tc>
      </w:tr>
      <w:tr>
        <w:tc>
          <w:tcPr>
            <w:tcW w:type="dxa" w:w="2551"/>
            <w:vAlign w:val="top"/>
            <w:tcBorders>
              <w:bottom w:sz="4" w:val="single" w:color="CDC1A8"/>
            </w:tcBorders>
          </w:tcPr>
          <w:p>
            <w:pPr>
              <w:spacing w:before="80" w:after="80" w:line="324" w:lineRule="auto"/>
            </w:pPr>
            <w:r>
              <w:rPr>
                <w:rFonts w:ascii="Georgia" w:hAnsi="Georgia"/>
                <w:color w:val="161210"/>
                <w:sz w:val="18"/>
              </w:rPr>
              <w:t>Measurable outcomes</w:t>
            </w:r>
          </w:p>
        </w:tc>
        <w:tc>
          <w:tcPr>
            <w:tcW w:type="dxa" w:w="6520"/>
            <w:vAlign w:val="top"/>
            <w:tcBorders>
              <w:bottom w:sz="4" w:val="single" w:color="CDC1A8"/>
            </w:tcBorders>
          </w:tcPr>
          <w:p>
            <w:pPr>
              <w:spacing w:before="80" w:after="80" w:line="324" w:lineRule="auto"/>
            </w:pPr>
            <w:r>
              <w:rPr>
                <w:rFonts w:ascii="Georgia" w:hAnsi="Georgia"/>
                <w:color w:val="161210"/>
                <w:sz w:val="18"/>
              </w:rPr>
              <w:t>Clear, trackable metrics at every stage — shovels in the ground, keys delivered, affordability locked in, and non-profit equity accumulated.</w:t>
            </w:r>
          </w:p>
        </w:tc>
      </w:tr>
    </w:tbl>
    <w:p>
      <w:pPr>
        <w:spacing w:before="160" w:after="160" w:line="324" w:lineRule="auto"/>
        <w:jc w:val="left"/>
      </w:pPr>
    </w:p>
    <w:p>
      <w:pPr>
        <w:spacing w:before="0" w:after="160" w:line="336" w:lineRule="auto"/>
        <w:jc w:val="both"/>
      </w:pPr>
      <w:r>
        <w:rPr>
          <w:rFonts w:ascii="Georgia" w:hAnsi="Georgia"/>
          <w:b w:val="0"/>
          <w:i w:val="0"/>
          <w:color w:val="161210"/>
          <w:sz w:val="20"/>
        </w:rPr>
        <w:t>Northpine's founders have said they want the foundation to remain ambitious, dynamic, and to do what is hard — not what is easy — with kindness and trust as root values. Ubuntu LTD embodies both: an institutional mechanic rooted in the African principle of Ubuntu — "I am because we are" — that treats housing as the foundation through which people build stable, fulfilling lives.</w:t>
      </w:r>
    </w:p>
    <w:p>
      <w:r>
        <w:br w:type="page"/>
      </w:r>
    </w:p>
    <w:p>
      <w:pPr>
        <w:spacing w:before="400" w:after="120" w:line="324" w:lineRule="auto"/>
        <w:jc w:val="left"/>
      </w:pPr>
    </w:p>
    <w:p>
      <w:pPr>
        <w:spacing w:before="200" w:after="360"/>
      </w:pPr>
      <w:r>
        <w:rPr>
          <w:rFonts w:ascii="Consolas" w:hAnsi="Consolas"/>
          <w:b/>
          <w:i w:val="0"/>
          <w:color w:val="C89344"/>
          <w:sz w:val="22"/>
        </w:rPr>
        <w:t xml:space="preserve">02  ·  </w:t>
      </w:r>
      <w:r>
        <w:rPr>
          <w:rFonts w:ascii="Georgia" w:hAnsi="Georgia"/>
          <w:b w:val="0"/>
          <w:i w:val="0"/>
          <w:color w:val="161210"/>
          <w:sz w:val="48"/>
        </w:rPr>
        <w:t>The Problem — A Coordination Failure</w:t>
      </w:r>
    </w:p>
    <w:p>
      <w:pPr>
        <w:spacing w:before="0" w:after="160" w:line="336" w:lineRule="auto"/>
        <w:jc w:val="both"/>
      </w:pPr>
      <w:r>
        <w:rPr>
          <w:rFonts w:ascii="Georgia" w:hAnsi="Georgia"/>
          <w:b w:val="0"/>
          <w:i w:val="0"/>
          <w:color w:val="161210"/>
          <w:sz w:val="20"/>
        </w:rPr>
        <w:t>Canada's housing crisis hits hardest on the people Northpine serves. Refugees wait years for stable housing. Families on social assistance cycle through shelters. People exiting incarceration have nowhere to go.</w:t>
      </w:r>
    </w:p>
    <w:p>
      <w:pPr>
        <w:spacing w:before="0" w:after="160" w:line="336" w:lineRule="auto"/>
        <w:jc w:val="both"/>
      </w:pPr>
      <w:r>
        <w:rPr>
          <w:rFonts w:ascii="Georgia" w:hAnsi="Georgia"/>
          <w:b w:val="0"/>
          <w:i w:val="0"/>
          <w:color w:val="161210"/>
          <w:sz w:val="20"/>
        </w:rPr>
        <w:t>The problem is not a shortage of land or capital. It is a structural misalignment between the three ingredients that create housing:</w:t>
      </w:r>
    </w:p>
    <w:p>
      <w:pPr>
        <w:pStyle w:val="ListBullet"/>
        <w:spacing w:after="80" w:line="324" w:lineRule="auto"/>
        <w:ind w:left="454"/>
      </w:pPr>
      <w:r>
        <w:rPr>
          <w:rFonts w:ascii="Georgia" w:hAnsi="Georgia"/>
          <w:b w:val="0"/>
          <w:i w:val="0"/>
          <w:color w:val="161210"/>
          <w:sz w:val="20"/>
        </w:rPr>
        <w:t>Land. An estimated 50,000+ privately-owned, entitled development sites across Canada sit stalled because owners face high interest rates, elevated hard and soft costs, and a collapsed market for condos and freehold homes.</w:t>
      </w:r>
    </w:p>
    <w:p>
      <w:pPr>
        <w:pStyle w:val="ListBullet"/>
        <w:spacing w:after="80" w:line="324" w:lineRule="auto"/>
        <w:ind w:left="454"/>
      </w:pPr>
      <w:r>
        <w:rPr>
          <w:rFonts w:ascii="Georgia" w:hAnsi="Georgia"/>
          <w:b w:val="0"/>
          <w:i w:val="0"/>
          <w:color w:val="161210"/>
          <w:sz w:val="20"/>
        </w:rPr>
        <w:t>Capital. Federal housing programmes have billions available but cannot deploy, because non-profits lack the land to build on.</w:t>
      </w:r>
    </w:p>
    <w:p>
      <w:pPr>
        <w:pStyle w:val="ListBullet"/>
        <w:spacing w:after="80" w:line="324" w:lineRule="auto"/>
        <w:ind w:left="454"/>
      </w:pPr>
      <w:r>
        <w:rPr>
          <w:rFonts w:ascii="Georgia" w:hAnsi="Georgia"/>
          <w:b w:val="0"/>
          <w:i w:val="0"/>
          <w:color w:val="161210"/>
          <w:sz w:val="20"/>
        </w:rPr>
        <w:t>Delivery. Non-profit housing providers lack the equity, development expertise, and construction partnerships to execute at scale.</w:t>
      </w:r>
    </w:p>
    <w:p>
      <w:pPr>
        <w:spacing w:before="80" w:after="120" w:line="324" w:lineRule="auto"/>
        <w:jc w:val="left"/>
      </w:pPr>
    </w:p>
    <w:p>
      <w:pPr>
        <w:spacing w:before="0" w:after="160" w:line="336" w:lineRule="auto"/>
        <w:jc w:val="both"/>
      </w:pPr>
      <w:r>
        <w:rPr>
          <w:rFonts w:ascii="Georgia" w:hAnsi="Georgia"/>
          <w:b w:val="0"/>
          <w:i w:val="0"/>
          <w:color w:val="161210"/>
          <w:sz w:val="20"/>
        </w:rPr>
        <w:t>The result: private landowners hold entitled sites they cannot develop. Non-profits need land they cannot afford. Government funding sits undeployed. And the people who need housing most — refugees, newcomers, families at risk of poverty — continue to wait.</w:t>
      </w:r>
    </w:p>
    <w:tbl>
      <w:tblPr>
        <w:tblW w:type="auto" w:w="0"/>
        <w:jc w:val="center"/>
        <w:tblLayout w:type="fixed"/>
        <w:tblLook w:firstColumn="1" w:firstRow="1" w:lastColumn="0" w:lastRow="0" w:noHBand="0" w:noVBand="1" w:val="04A0"/>
      </w:tblPr>
      <w:tblGrid>
        <w:gridCol w:w="4533"/>
        <w:gridCol w:w="4533"/>
      </w:tblGrid>
      <w:tr>
        <w:tc>
          <w:tcPr>
            <w:tcW w:type="dxa" w:w="6803"/>
            <w:shd w:val="clear" w:color="auto" w:fill="1f1612"/>
            <w:vAlign w:val="center"/>
          </w:tcPr>
          <w:p>
            <w:pPr>
              <w:spacing w:before="80" w:after="80"/>
            </w:pPr>
            <w:r>
              <w:rPr>
                <w:rFonts w:ascii="Consolas" w:hAnsi="Consolas"/>
                <w:b/>
                <w:color w:val="EBDFC4"/>
                <w:sz w:val="16"/>
              </w:rPr>
              <w:t>The misalignment, in numbers</w:t>
            </w:r>
          </w:p>
        </w:tc>
        <w:tc>
          <w:tcPr>
            <w:tcW w:type="dxa" w:w="2268"/>
            <w:shd w:val="clear" w:color="auto" w:fill="1f1612"/>
            <w:vAlign w:val="center"/>
          </w:tcPr>
          <w:p>
            <w:pPr>
              <w:spacing w:before="80" w:after="80"/>
            </w:pPr>
            <w:r>
              <w:rPr>
                <w:rFonts w:ascii="Consolas" w:hAnsi="Consolas"/>
                <w:b/>
                <w:color w:val="EBDFC4"/>
                <w:sz w:val="16"/>
              </w:rPr>
              <w:t>Scale</w:t>
            </w:r>
          </w:p>
        </w:tc>
      </w:tr>
      <w:tr>
        <w:tc>
          <w:tcPr>
            <w:tcW w:type="dxa" w:w="6803"/>
            <w:vAlign w:val="top"/>
            <w:tcBorders>
              <w:bottom w:sz="4" w:val="single" w:color="CDC1A8"/>
            </w:tcBorders>
          </w:tcPr>
          <w:p>
            <w:pPr>
              <w:spacing w:before="80" w:after="80" w:line="324" w:lineRule="auto"/>
            </w:pPr>
            <w:r>
              <w:rPr>
                <w:rFonts w:ascii="Georgia" w:hAnsi="Georgia"/>
                <w:color w:val="161210"/>
                <w:sz w:val="18"/>
              </w:rPr>
              <w:t>Stalled private development sites across Canada</w:t>
            </w:r>
          </w:p>
        </w:tc>
        <w:tc>
          <w:tcPr>
            <w:tcW w:type="dxa" w:w="2268"/>
            <w:vAlign w:val="top"/>
            <w:tcBorders>
              <w:bottom w:sz="4" w:val="single" w:color="CDC1A8"/>
            </w:tcBorders>
          </w:tcPr>
          <w:p>
            <w:pPr>
              <w:spacing w:before="80" w:after="80" w:line="324" w:lineRule="auto"/>
            </w:pPr>
            <w:r>
              <w:rPr>
                <w:rFonts w:ascii="Georgia" w:hAnsi="Georgia"/>
                <w:color w:val="161210"/>
                <w:sz w:val="18"/>
              </w:rPr>
              <w:t>50,000+</w:t>
            </w:r>
          </w:p>
        </w:tc>
      </w:tr>
      <w:tr>
        <w:tc>
          <w:tcPr>
            <w:tcW w:type="dxa" w:w="6803"/>
            <w:vAlign w:val="top"/>
            <w:tcBorders>
              <w:bottom w:sz="4" w:val="single" w:color="CDC1A8"/>
            </w:tcBorders>
          </w:tcPr>
          <w:p>
            <w:pPr>
              <w:spacing w:before="80" w:after="80" w:line="324" w:lineRule="auto"/>
            </w:pPr>
            <w:r>
              <w:rPr>
                <w:rFonts w:ascii="Georgia" w:hAnsi="Georgia"/>
                <w:color w:val="161210"/>
                <w:sz w:val="18"/>
              </w:rPr>
              <w:t>Federal housing capital awaiting deployment</w:t>
            </w:r>
          </w:p>
        </w:tc>
        <w:tc>
          <w:tcPr>
            <w:tcW w:type="dxa" w:w="2268"/>
            <w:vAlign w:val="top"/>
            <w:tcBorders>
              <w:bottom w:sz="4" w:val="single" w:color="CDC1A8"/>
            </w:tcBorders>
          </w:tcPr>
          <w:p>
            <w:pPr>
              <w:spacing w:before="80" w:after="80" w:line="324" w:lineRule="auto"/>
            </w:pPr>
            <w:r>
              <w:rPr>
                <w:rFonts w:ascii="Georgia" w:hAnsi="Georgia"/>
                <w:color w:val="161210"/>
                <w:sz w:val="18"/>
              </w:rPr>
              <w:t>$13B+</w:t>
            </w:r>
          </w:p>
        </w:tc>
      </w:tr>
      <w:tr>
        <w:tc>
          <w:tcPr>
            <w:tcW w:type="dxa" w:w="6803"/>
            <w:vAlign w:val="top"/>
            <w:tcBorders>
              <w:bottom w:sz="4" w:val="single" w:color="CDC1A8"/>
            </w:tcBorders>
          </w:tcPr>
          <w:p>
            <w:pPr>
              <w:spacing w:before="80" w:after="80" w:line="324" w:lineRule="auto"/>
            </w:pPr>
            <w:r>
              <w:rPr>
                <w:rFonts w:ascii="Georgia" w:hAnsi="Georgia"/>
                <w:color w:val="161210"/>
                <w:sz w:val="18"/>
              </w:rPr>
              <w:t>Existing mechanisms to unlock private land for non-profits</w:t>
            </w:r>
          </w:p>
        </w:tc>
        <w:tc>
          <w:tcPr>
            <w:tcW w:type="dxa" w:w="2268"/>
            <w:vAlign w:val="top"/>
            <w:tcBorders>
              <w:bottom w:sz="4" w:val="single" w:color="CDC1A8"/>
            </w:tcBorders>
          </w:tcPr>
          <w:p>
            <w:pPr>
              <w:spacing w:before="80" w:after="80" w:line="324" w:lineRule="auto"/>
            </w:pPr>
            <w:r>
              <w:rPr>
                <w:rFonts w:ascii="Georgia" w:hAnsi="Georgia"/>
                <w:color w:val="161210"/>
                <w:sz w:val="18"/>
              </w:rPr>
              <w:t>0</w:t>
            </w:r>
          </w:p>
        </w:tc>
      </w:tr>
    </w:tbl>
    <w:p>
      <w:pPr>
        <w:spacing w:before="160" w:after="160" w:line="324" w:lineRule="auto"/>
        <w:jc w:val="left"/>
      </w:pPr>
    </w:p>
    <w:p>
      <w:pPr>
        <w:spacing w:before="0" w:after="160" w:line="336" w:lineRule="auto"/>
        <w:jc w:val="both"/>
      </w:pPr>
      <w:r>
        <w:rPr>
          <w:rFonts w:ascii="Georgia" w:hAnsi="Georgia"/>
          <w:b w:val="0"/>
          <w:i w:val="0"/>
          <w:color w:val="161210"/>
          <w:sz w:val="20"/>
        </w:rPr>
        <w:t>Ubuntu LTD was built specifically to bridge this gap. It does not acquire land for itself or develop housing directly. Instead, it operates as the coordinating platform — the third party at the table — that structures land contributions, assembles federal capital, and pairs sites with non-profit operators who hold permanent title from day one. The Common Ground Initiative is the repeatable mechanic through which this happens.</w:t>
      </w:r>
    </w:p>
    <w:p>
      <w:r>
        <w:br w:type="page"/>
      </w:r>
    </w:p>
    <w:p>
      <w:pPr>
        <w:spacing w:before="400" w:after="120" w:line="324" w:lineRule="auto"/>
        <w:jc w:val="left"/>
      </w:pPr>
    </w:p>
    <w:p>
      <w:pPr>
        <w:spacing w:before="200" w:after="360"/>
      </w:pPr>
      <w:r>
        <w:rPr>
          <w:rFonts w:ascii="Consolas" w:hAnsi="Consolas"/>
          <w:b/>
          <w:i w:val="0"/>
          <w:color w:val="C89344"/>
          <w:sz w:val="22"/>
        </w:rPr>
        <w:t xml:space="preserve">03  ·  </w:t>
      </w:r>
      <w:r>
        <w:rPr>
          <w:rFonts w:ascii="Georgia" w:hAnsi="Georgia"/>
          <w:b w:val="0"/>
          <w:i w:val="0"/>
          <w:color w:val="161210"/>
          <w:sz w:val="48"/>
        </w:rPr>
        <w:t>The Mechanic — The Common Ground Initiative</w:t>
      </w:r>
    </w:p>
    <w:p>
      <w:pPr>
        <w:spacing w:before="0" w:after="160" w:line="336" w:lineRule="auto"/>
        <w:jc w:val="both"/>
      </w:pPr>
      <w:r>
        <w:rPr>
          <w:rFonts w:ascii="Georgia" w:hAnsi="Georgia"/>
          <w:b w:val="0"/>
          <w:i w:val="0"/>
          <w:color w:val="161210"/>
          <w:sz w:val="20"/>
        </w:rPr>
        <w:t>Ubuntu LTD's flagship programme is the Common Ground Initiative — a repeatable four-step mechanic that structurally aligns private landowner economics with public affordability goals.</w:t>
      </w:r>
    </w:p>
    <w:p>
      <w:pPr>
        <w:spacing w:before="0" w:after="160" w:line="336" w:lineRule="auto"/>
        <w:jc w:val="both"/>
      </w:pPr>
      <w:r>
        <w:rPr>
          <w:rFonts w:ascii="Georgia" w:hAnsi="Georgia"/>
          <w:b w:val="0"/>
          <w:i w:val="0"/>
          <w:color w:val="161210"/>
          <w:sz w:val="20"/>
        </w:rPr>
        <w:t>It unlocks private land for permanent affordable housing without expropriation, new legislation, or ongoing government subsidies. Every site follows the same four steps in the same order — so each successive deal is faster to close, easier to underwrite, and cleaner to govern. Repeatability is the feature.</w:t>
      </w:r>
    </w:p>
    <w:tbl>
      <w:tblPr>
        <w:tblW w:type="auto" w:w="0"/>
        <w:tblLayout w:type="fixed"/>
        <w:tblLook w:firstColumn="1" w:firstRow="1" w:lastColumn="0" w:lastRow="0" w:noHBand="0" w:noVBand="1" w:val="04A0"/>
      </w:tblPr>
      <w:tblGrid>
        <w:gridCol w:w="1247"/>
        <w:gridCol w:w="7824"/>
      </w:tblGrid>
      <w:tr>
        <w:tc>
          <w:tcPr>
            <w:tcW w:type="dxa" w:w="4533"/>
          </w:tcPr>
          <w:p>
            <w:pPr>
              <w:spacing w:before="120"/>
            </w:pPr>
            <w:r>
              <w:rPr>
                <w:rFonts w:ascii="Georgia" w:hAnsi="Georgia"/>
                <w:b w:val="0"/>
                <w:i w:val="0"/>
                <w:color w:val="C89344"/>
                <w:sz w:val="64"/>
              </w:rPr>
              <w:t>01</w:t>
            </w:r>
          </w:p>
        </w:tc>
        <w:tc>
          <w:tcPr>
            <w:tcW w:type="dxa" w:w="4533"/>
          </w:tcPr>
          <w:p>
            <w:pPr>
              <w:spacing w:before="120" w:after="80"/>
            </w:pPr>
            <w:r>
              <w:rPr>
                <w:rFonts w:ascii="Georgia" w:hAnsi="Georgia"/>
                <w:b/>
                <w:i w:val="0"/>
                <w:color w:val="161210"/>
                <w:sz w:val="24"/>
              </w:rPr>
              <w:t>Land contributed as equity</w:t>
            </w:r>
          </w:p>
          <w:p>
            <w:pPr>
              <w:spacing w:line="336" w:lineRule="auto" w:after="0"/>
              <w:jc w:val="both"/>
            </w:pPr>
            <w:r>
              <w:rPr>
                <w:rFonts w:ascii="Georgia" w:hAnsi="Georgia"/>
                <w:b w:val="0"/>
                <w:i w:val="0"/>
                <w:color w:val="161210"/>
                <w:sz w:val="20"/>
              </w:rPr>
              <w:t>A private landowner contributes an entitled site into a project-level Special Purpose Vehicle as preferred-equity contribution — not a sale, not a donation. The landowner retains economic interest with a defined redemption pathway at Year 20. At closing they receive an initial land draw of 65–75% of appraised value (immediate liquidity), while deferring capital gains until Year 20.</w:t>
            </w:r>
          </w:p>
        </w:tc>
      </w:tr>
    </w:tbl>
    <w:p>
      <w:pPr>
        <w:spacing w:before="160" w:after="120" w:line="324" w:lineRule="auto"/>
        <w:jc w:val="left"/>
      </w:pPr>
    </w:p>
    <w:tbl>
      <w:tblPr>
        <w:tblW w:type="auto" w:w="0"/>
        <w:tblLayout w:type="fixed"/>
        <w:tblLook w:firstColumn="1" w:firstRow="1" w:lastColumn="0" w:lastRow="0" w:noHBand="0" w:noVBand="1" w:val="04A0"/>
      </w:tblPr>
      <w:tblGrid>
        <w:gridCol w:w="1247"/>
        <w:gridCol w:w="7824"/>
      </w:tblGrid>
      <w:tr>
        <w:tc>
          <w:tcPr>
            <w:tcW w:type="dxa" w:w="4533"/>
          </w:tcPr>
          <w:p>
            <w:pPr>
              <w:spacing w:before="120"/>
            </w:pPr>
            <w:r>
              <w:rPr>
                <w:rFonts w:ascii="Georgia" w:hAnsi="Georgia"/>
                <w:b w:val="0"/>
                <w:i w:val="0"/>
                <w:color w:val="C89344"/>
                <w:sz w:val="64"/>
              </w:rPr>
              <w:t>02</w:t>
            </w:r>
          </w:p>
        </w:tc>
        <w:tc>
          <w:tcPr>
            <w:tcW w:type="dxa" w:w="4533"/>
          </w:tcPr>
          <w:p>
            <w:pPr>
              <w:spacing w:before="120" w:after="80"/>
            </w:pPr>
            <w:r>
              <w:rPr>
                <w:rFonts w:ascii="Georgia" w:hAnsi="Georgia"/>
                <w:b/>
                <w:i w:val="0"/>
                <w:color w:val="161210"/>
                <w:sz w:val="24"/>
              </w:rPr>
              <w:t>Non-profit owns the building</w:t>
            </w:r>
          </w:p>
          <w:p>
            <w:pPr>
              <w:spacing w:line="336" w:lineRule="auto" w:after="0"/>
              <w:jc w:val="both"/>
            </w:pPr>
            <w:r>
              <w:rPr>
                <w:rFonts w:ascii="Georgia" w:hAnsi="Georgia"/>
                <w:b w:val="0"/>
                <w:i w:val="0"/>
                <w:color w:val="161210"/>
                <w:sz w:val="20"/>
              </w:rPr>
              <w:t>A mission-aligned non-profit operator takes ownership of the building entity on day one of occupancy, with no upfront capital required. Ubuntu LTD coordinates the legal structure, the operator selection, and the alignment of mission with site context. Full ownership, complete mission control — from day one, not eventually.</w:t>
            </w:r>
          </w:p>
        </w:tc>
      </w:tr>
    </w:tbl>
    <w:p>
      <w:pPr>
        <w:spacing w:before="160" w:after="120" w:line="324" w:lineRule="auto"/>
        <w:jc w:val="left"/>
      </w:pPr>
    </w:p>
    <w:tbl>
      <w:tblPr>
        <w:tblW w:type="auto" w:w="0"/>
        <w:tblLayout w:type="fixed"/>
        <w:tblLook w:firstColumn="1" w:firstRow="1" w:lastColumn="0" w:lastRow="0" w:noHBand="0" w:noVBand="1" w:val="04A0"/>
      </w:tblPr>
      <w:tblGrid>
        <w:gridCol w:w="1247"/>
        <w:gridCol w:w="7824"/>
      </w:tblGrid>
      <w:tr>
        <w:tc>
          <w:tcPr>
            <w:tcW w:type="dxa" w:w="4533"/>
          </w:tcPr>
          <w:p>
            <w:pPr>
              <w:spacing w:before="120"/>
            </w:pPr>
            <w:r>
              <w:rPr>
                <w:rFonts w:ascii="Georgia" w:hAnsi="Georgia"/>
                <w:b w:val="0"/>
                <w:i w:val="0"/>
                <w:color w:val="C89344"/>
                <w:sz w:val="64"/>
              </w:rPr>
              <w:t>03</w:t>
            </w:r>
          </w:p>
        </w:tc>
        <w:tc>
          <w:tcPr>
            <w:tcW w:type="dxa" w:w="4533"/>
          </w:tcPr>
          <w:p>
            <w:pPr>
              <w:spacing w:before="120" w:after="80"/>
            </w:pPr>
            <w:r>
              <w:rPr>
                <w:rFonts w:ascii="Georgia" w:hAnsi="Georgia"/>
                <w:b/>
                <w:i w:val="0"/>
                <w:color w:val="161210"/>
                <w:sz w:val="24"/>
              </w:rPr>
              <w:t>CMHC + Build Canada Homes finance</w:t>
            </w:r>
          </w:p>
          <w:p>
            <w:pPr>
              <w:spacing w:line="336" w:lineRule="auto" w:after="0"/>
              <w:jc w:val="both"/>
            </w:pPr>
            <w:r>
              <w:rPr>
                <w:rFonts w:ascii="Georgia" w:hAnsi="Georgia"/>
                <w:b w:val="0"/>
                <w:i w:val="0"/>
                <w:color w:val="161210"/>
                <w:sz w:val="20"/>
              </w:rPr>
              <w:t>Construction is financed on institution-grade terms through CMHC and Build Canada Homes (BCH). The repeatable capital stack — 40% BCH forgivable loan, 50% CMHC MLI Select insured mortgage, 10–15% landowner equity plus municipal incentives — uses existing federal programmes. No new policy required.</w:t>
            </w:r>
          </w:p>
        </w:tc>
      </w:tr>
    </w:tbl>
    <w:p>
      <w:pPr>
        <w:spacing w:before="160" w:after="120" w:line="324" w:lineRule="auto"/>
        <w:jc w:val="left"/>
      </w:pPr>
    </w:p>
    <w:tbl>
      <w:tblPr>
        <w:tblW w:type="auto" w:w="0"/>
        <w:tblLayout w:type="fixed"/>
        <w:tblLook w:firstColumn="1" w:firstRow="1" w:lastColumn="0" w:lastRow="0" w:noHBand="0" w:noVBand="1" w:val="04A0"/>
      </w:tblPr>
      <w:tblGrid>
        <w:gridCol w:w="1247"/>
        <w:gridCol w:w="7824"/>
      </w:tblGrid>
      <w:tr>
        <w:tc>
          <w:tcPr>
            <w:tcW w:type="dxa" w:w="4533"/>
          </w:tcPr>
          <w:p>
            <w:pPr>
              <w:spacing w:before="120"/>
            </w:pPr>
            <w:r>
              <w:rPr>
                <w:rFonts w:ascii="Georgia" w:hAnsi="Georgia"/>
                <w:b w:val="0"/>
                <w:i w:val="0"/>
                <w:color w:val="C89344"/>
                <w:sz w:val="64"/>
              </w:rPr>
              <w:t>04</w:t>
            </w:r>
          </w:p>
        </w:tc>
        <w:tc>
          <w:tcPr>
            <w:tcW w:type="dxa" w:w="4533"/>
          </w:tcPr>
          <w:p>
            <w:pPr>
              <w:spacing w:before="120" w:after="80"/>
            </w:pPr>
            <w:r>
              <w:rPr>
                <w:rFonts w:ascii="Georgia" w:hAnsi="Georgia"/>
                <w:b/>
                <w:i w:val="0"/>
                <w:color w:val="161210"/>
                <w:sz w:val="24"/>
              </w:rPr>
              <w:t>Year-20 land purchase</w:t>
            </w:r>
          </w:p>
          <w:p>
            <w:pPr>
              <w:spacing w:line="336" w:lineRule="auto" w:after="0"/>
              <w:jc w:val="both"/>
            </w:pPr>
            <w:r>
              <w:rPr>
                <w:rFonts w:ascii="Georgia" w:hAnsi="Georgia"/>
                <w:b w:val="0"/>
                <w:i w:val="0"/>
                <w:color w:val="161210"/>
                <w:sz w:val="20"/>
              </w:rPr>
              <w:t>Twenty years of mortgage paydown together with the equity remaining in the deal cover a fair price for the landowner and leave the non-profit owning both the building and the land beneath it, fee simple. A clean exit for the contributor; a strong balance sheet for the operator going forward.</w:t>
            </w:r>
          </w:p>
        </w:tc>
      </w:tr>
    </w:tbl>
    <w:p>
      <w:pPr>
        <w:spacing w:before="160" w:after="120" w:line="324" w:lineRule="auto"/>
        <w:jc w:val="left"/>
      </w:pPr>
    </w:p>
    <w:p>
      <w:pPr>
        <w:spacing w:before="240" w:after="120" w:line="324" w:lineRule="auto"/>
        <w:jc w:val="left"/>
      </w:pPr>
    </w:p>
    <w:p>
      <w:pPr>
        <w:pBdr>
          <w:top w:sz="4" w:val="single" w:color="1F1612"/>
        </w:pBdr>
        <w:spacing w:after="0"/>
      </w:pPr>
      <w:r>
        <w:rPr>
          <w:rFonts w:ascii="Georgia" w:hAnsi="Georgia"/>
          <w:b w:val="0"/>
          <w:i w:val="0"/>
          <w:color w:val="161210"/>
          <w:sz w:val="8"/>
        </w:rPr>
      </w:r>
    </w:p>
    <w:p>
      <w:pPr>
        <w:spacing w:before="200" w:after="200" w:line="324" w:lineRule="auto"/>
        <w:jc w:val="center"/>
      </w:pPr>
      <w:r>
        <w:rPr>
          <w:rFonts w:ascii="Georgia" w:hAnsi="Georgia"/>
          <w:b w:val="0"/>
          <w:i/>
          <w:color w:val="C89344"/>
          <w:sz w:val="30"/>
        </w:rPr>
        <w:t>Land contributed as equity is land that carries the math.</w:t>
      </w:r>
    </w:p>
    <w:p>
      <w:pPr>
        <w:pBdr>
          <w:top w:sz="4" w:val="single" w:color="1F1612"/>
        </w:pBdr>
        <w:spacing w:after="200"/>
      </w:pPr>
      <w:r>
        <w:rPr>
          <w:rFonts w:ascii="Georgia" w:hAnsi="Georgia"/>
          <w:b w:val="0"/>
          <w:i w:val="0"/>
          <w:color w:val="161210"/>
          <w:sz w:val="8"/>
        </w:rPr>
      </w:r>
    </w:p>
    <w:p>
      <w:pPr>
        <w:spacing w:before="0" w:after="160" w:line="336" w:lineRule="auto"/>
        <w:jc w:val="both"/>
      </w:pPr>
      <w:r>
        <w:rPr>
          <w:rFonts w:ascii="Georgia" w:hAnsi="Georgia"/>
          <w:b w:val="0"/>
          <w:i w:val="0"/>
          <w:color w:val="161210"/>
          <w:sz w:val="20"/>
        </w:rPr>
        <w:t>Ubuntu LTD provides backstop support at every stage — from partnership structuring through operations to the Year-20 buyout. Each project is a standalone Special Purpose Vehicle with its own balance sheet; the platform does not commingle assets or hold land on its own account.</w:t>
      </w:r>
    </w:p>
    <w:p>
      <w:r>
        <w:br w:type="page"/>
      </w:r>
    </w:p>
    <w:p>
      <w:pPr>
        <w:spacing w:before="400" w:after="120" w:line="324" w:lineRule="auto"/>
        <w:jc w:val="left"/>
      </w:pPr>
    </w:p>
    <w:p>
      <w:pPr>
        <w:spacing w:before="200" w:after="360"/>
      </w:pPr>
      <w:r>
        <w:rPr>
          <w:rFonts w:ascii="Consolas" w:hAnsi="Consolas"/>
          <w:b/>
          <w:i w:val="0"/>
          <w:color w:val="C89344"/>
          <w:sz w:val="22"/>
        </w:rPr>
        <w:t xml:space="preserve">04  ·  </w:t>
      </w:r>
      <w:r>
        <w:rPr>
          <w:rFonts w:ascii="Georgia" w:hAnsi="Georgia"/>
          <w:b w:val="0"/>
          <w:i w:val="0"/>
          <w:color w:val="161210"/>
          <w:sz w:val="48"/>
        </w:rPr>
        <w:t>The Capital Stack</w:t>
      </w:r>
    </w:p>
    <w:p>
      <w:pPr>
        <w:spacing w:before="0" w:after="160" w:line="336" w:lineRule="auto"/>
        <w:jc w:val="both"/>
      </w:pPr>
      <w:r>
        <w:rPr>
          <w:rFonts w:ascii="Georgia" w:hAnsi="Georgia"/>
          <w:b w:val="0"/>
          <w:i w:val="0"/>
          <w:color w:val="161210"/>
          <w:sz w:val="20"/>
        </w:rPr>
        <w:t>Every project uses the same repeatable capital stack, aligned with existing CMHC parameters. No new programmes, policy instruments, or legislation required.</w:t>
      </w:r>
    </w:p>
    <w:tbl>
      <w:tblPr>
        <w:tblW w:type="auto" w:w="0"/>
        <w:jc w:val="center"/>
        <w:tblLayout w:type="fixed"/>
        <w:tblLook w:firstColumn="1" w:firstRow="1" w:lastColumn="0" w:lastRow="0" w:noHBand="0" w:noVBand="1" w:val="04A0"/>
      </w:tblPr>
      <w:tblGrid>
        <w:gridCol w:w="3022"/>
        <w:gridCol w:w="3022"/>
        <w:gridCol w:w="3022"/>
      </w:tblGrid>
      <w:tr>
        <w:tc>
          <w:tcPr>
            <w:tcW w:type="dxa" w:w="3118"/>
            <w:shd w:val="clear" w:color="auto" w:fill="1f1612"/>
            <w:vAlign w:val="center"/>
          </w:tcPr>
          <w:p>
            <w:pPr>
              <w:spacing w:before="80" w:after="80"/>
            </w:pPr>
            <w:r>
              <w:rPr>
                <w:rFonts w:ascii="Consolas" w:hAnsi="Consolas"/>
                <w:b/>
                <w:color w:val="EBDFC4"/>
                <w:sz w:val="16"/>
              </w:rPr>
              <w:t>Source</w:t>
            </w:r>
          </w:p>
        </w:tc>
        <w:tc>
          <w:tcPr>
            <w:tcW w:type="dxa" w:w="1134"/>
            <w:shd w:val="clear" w:color="auto" w:fill="1f1612"/>
            <w:vAlign w:val="center"/>
          </w:tcPr>
          <w:p>
            <w:pPr>
              <w:spacing w:before="80" w:after="80"/>
            </w:pPr>
            <w:r>
              <w:rPr>
                <w:rFonts w:ascii="Consolas" w:hAnsi="Consolas"/>
                <w:b/>
                <w:color w:val="EBDFC4"/>
                <w:sz w:val="16"/>
              </w:rPr>
              <w:t>Share</w:t>
            </w:r>
          </w:p>
        </w:tc>
        <w:tc>
          <w:tcPr>
            <w:tcW w:type="dxa" w:w="4819"/>
            <w:shd w:val="clear" w:color="auto" w:fill="1f1612"/>
            <w:vAlign w:val="center"/>
          </w:tcPr>
          <w:p>
            <w:pPr>
              <w:spacing w:before="80" w:after="80"/>
            </w:pPr>
            <w:r>
              <w:rPr>
                <w:rFonts w:ascii="Consolas" w:hAnsi="Consolas"/>
                <w:b/>
                <w:color w:val="EBDFC4"/>
                <w:sz w:val="16"/>
              </w:rPr>
              <w:t>Strategic function</w:t>
            </w:r>
          </w:p>
        </w:tc>
      </w:tr>
      <w:tr>
        <w:tc>
          <w:tcPr>
            <w:tcW w:type="dxa" w:w="3118"/>
            <w:vAlign w:val="top"/>
            <w:tcBorders>
              <w:bottom w:sz="4" w:val="single" w:color="CDC1A8"/>
            </w:tcBorders>
          </w:tcPr>
          <w:p>
            <w:pPr>
              <w:spacing w:before="80" w:after="80" w:line="324" w:lineRule="auto"/>
            </w:pPr>
            <w:r>
              <w:rPr>
                <w:rFonts w:ascii="Georgia" w:hAnsi="Georgia"/>
                <w:color w:val="161210"/>
                <w:sz w:val="18"/>
              </w:rPr>
              <w:t>Build Canada Homes Forgivable Loan</w:t>
            </w:r>
          </w:p>
        </w:tc>
        <w:tc>
          <w:tcPr>
            <w:tcW w:type="dxa" w:w="1134"/>
            <w:vAlign w:val="top"/>
            <w:tcBorders>
              <w:bottom w:sz="4" w:val="single" w:color="CDC1A8"/>
            </w:tcBorders>
          </w:tcPr>
          <w:p>
            <w:pPr>
              <w:spacing w:before="80" w:after="80" w:line="324" w:lineRule="auto"/>
            </w:pPr>
            <w:r>
              <w:rPr>
                <w:rFonts w:ascii="Georgia" w:hAnsi="Georgia"/>
                <w:color w:val="161210"/>
                <w:sz w:val="18"/>
              </w:rPr>
              <w:t>40%</w:t>
            </w:r>
          </w:p>
        </w:tc>
        <w:tc>
          <w:tcPr>
            <w:tcW w:type="dxa" w:w="4819"/>
            <w:vAlign w:val="top"/>
            <w:tcBorders>
              <w:bottom w:sz="4" w:val="single" w:color="CDC1A8"/>
            </w:tcBorders>
          </w:tcPr>
          <w:p>
            <w:pPr>
              <w:spacing w:before="80" w:after="80" w:line="324" w:lineRule="auto"/>
            </w:pPr>
            <w:r>
              <w:rPr>
                <w:rFonts w:ascii="Georgia" w:hAnsi="Georgia"/>
                <w:color w:val="161210"/>
                <w:sz w:val="18"/>
              </w:rPr>
              <w:t>Vests into non-profit equity over 20 years. This is the equity wedge that funds the Year-20 land purchase. Government recoups its outlay through tax revenue — an advance on future revenue, not a net subsidy.</w:t>
            </w:r>
          </w:p>
        </w:tc>
      </w:tr>
      <w:tr>
        <w:tc>
          <w:tcPr>
            <w:tcW w:type="dxa" w:w="3118"/>
            <w:vAlign w:val="top"/>
            <w:tcBorders>
              <w:bottom w:sz="4" w:val="single" w:color="CDC1A8"/>
            </w:tcBorders>
          </w:tcPr>
          <w:p>
            <w:pPr>
              <w:spacing w:before="80" w:after="80" w:line="324" w:lineRule="auto"/>
            </w:pPr>
            <w:r>
              <w:rPr>
                <w:rFonts w:ascii="Georgia" w:hAnsi="Georgia"/>
                <w:color w:val="161210"/>
                <w:sz w:val="18"/>
              </w:rPr>
              <w:t>CMHC MLI Select Mortgage</w:t>
            </w:r>
          </w:p>
        </w:tc>
        <w:tc>
          <w:tcPr>
            <w:tcW w:type="dxa" w:w="1134"/>
            <w:vAlign w:val="top"/>
            <w:tcBorders>
              <w:bottom w:sz="4" w:val="single" w:color="CDC1A8"/>
            </w:tcBorders>
          </w:tcPr>
          <w:p>
            <w:pPr>
              <w:spacing w:before="80" w:after="80" w:line="324" w:lineRule="auto"/>
            </w:pPr>
            <w:r>
              <w:rPr>
                <w:rFonts w:ascii="Georgia" w:hAnsi="Georgia"/>
                <w:color w:val="161210"/>
                <w:sz w:val="18"/>
              </w:rPr>
              <w:t>50%</w:t>
            </w:r>
          </w:p>
        </w:tc>
        <w:tc>
          <w:tcPr>
            <w:tcW w:type="dxa" w:w="4819"/>
            <w:vAlign w:val="top"/>
            <w:tcBorders>
              <w:bottom w:sz="4" w:val="single" w:color="CDC1A8"/>
            </w:tcBorders>
          </w:tcPr>
          <w:p>
            <w:pPr>
              <w:spacing w:before="80" w:after="80" w:line="324" w:lineRule="auto"/>
            </w:pPr>
            <w:r>
              <w:rPr>
                <w:rFonts w:ascii="Georgia" w:hAnsi="Georgia"/>
                <w:color w:val="161210"/>
                <w:sz w:val="18"/>
              </w:rPr>
              <w:t>Standard insured mortgage through an approved lender. Senior secured position. The ground lease is subordinated to this mortgage. CMHC routinely finances leasehold projects with lower default rates than fee-simple.</w:t>
            </w:r>
          </w:p>
        </w:tc>
      </w:tr>
      <w:tr>
        <w:tc>
          <w:tcPr>
            <w:tcW w:type="dxa" w:w="3118"/>
            <w:vAlign w:val="top"/>
            <w:tcBorders>
              <w:bottom w:sz="4" w:val="single" w:color="CDC1A8"/>
            </w:tcBorders>
          </w:tcPr>
          <w:p>
            <w:pPr>
              <w:spacing w:before="80" w:after="80" w:line="324" w:lineRule="auto"/>
            </w:pPr>
            <w:r>
              <w:rPr>
                <w:rFonts w:ascii="Georgia" w:hAnsi="Georgia"/>
                <w:color w:val="161210"/>
                <w:sz w:val="18"/>
              </w:rPr>
              <w:t>Landowner Equity &amp; Municipal Incentives</w:t>
            </w:r>
          </w:p>
        </w:tc>
        <w:tc>
          <w:tcPr>
            <w:tcW w:type="dxa" w:w="1134"/>
            <w:vAlign w:val="top"/>
            <w:tcBorders>
              <w:bottom w:sz="4" w:val="single" w:color="CDC1A8"/>
            </w:tcBorders>
          </w:tcPr>
          <w:p>
            <w:pPr>
              <w:spacing w:before="80" w:after="80" w:line="324" w:lineRule="auto"/>
            </w:pPr>
            <w:r>
              <w:rPr>
                <w:rFonts w:ascii="Georgia" w:hAnsi="Georgia"/>
                <w:color w:val="161210"/>
                <w:sz w:val="18"/>
              </w:rPr>
              <w:t>10–15%</w:t>
            </w:r>
          </w:p>
        </w:tc>
        <w:tc>
          <w:tcPr>
            <w:tcW w:type="dxa" w:w="4819"/>
            <w:vAlign w:val="top"/>
            <w:tcBorders>
              <w:bottom w:sz="4" w:val="single" w:color="CDC1A8"/>
            </w:tcBorders>
          </w:tcPr>
          <w:p>
            <w:pPr>
              <w:spacing w:before="80" w:after="80" w:line="324" w:lineRule="auto"/>
            </w:pPr>
            <w:r>
              <w:rPr>
                <w:rFonts w:ascii="Georgia" w:hAnsi="Georgia"/>
                <w:color w:val="161210"/>
                <w:sz w:val="18"/>
              </w:rPr>
              <w:t>Appraised land value contributed as equity — zero cash from the landowner — supplemented by municipal incentives such as development-charge waivers and property-tax relief.</w:t>
            </w:r>
          </w:p>
        </w:tc>
      </w:tr>
    </w:tbl>
    <w:p>
      <w:pPr>
        <w:spacing w:before="160" w:after="160" w:line="324" w:lineRule="auto"/>
        <w:jc w:val="left"/>
      </w:pPr>
    </w:p>
    <w:p>
      <w:pPr>
        <w:spacing w:before="280" w:after="120"/>
      </w:pPr>
      <w:r>
        <w:rPr>
          <w:rFonts w:ascii="Georgia" w:hAnsi="Georgia"/>
          <w:b/>
          <w:i w:val="0"/>
          <w:color w:val="C89344"/>
          <w:sz w:val="24"/>
        </w:rPr>
        <w:t>Why the 40% forgivable loan is critical</w:t>
      </w:r>
    </w:p>
    <w:p>
      <w:pPr>
        <w:spacing w:before="0" w:after="160" w:line="336" w:lineRule="auto"/>
        <w:jc w:val="both"/>
      </w:pPr>
      <w:r>
        <w:rPr>
          <w:rFonts w:ascii="Georgia" w:hAnsi="Georgia"/>
          <w:b w:val="0"/>
          <w:i w:val="0"/>
          <w:color w:val="161210"/>
          <w:sz w:val="20"/>
        </w:rPr>
        <w:t>The private landowner's land contribution is the critical enabler: it provides the financial backing that lets the non-profit access federal programmes it could not reach on its own. The forgivable loan does not flow to the landowner — it funds project affordability, reducing debt service during Years 0–20 so rents stay below market. At Year 20 the loan vests and the non-profit, having operated the building throughout, refinances and buys out the landowner's remaining equity.</w:t>
      </w:r>
    </w:p>
    <w:tbl>
      <w:tblPr>
        <w:tblW w:type="auto" w:w="0"/>
        <w:tblLook w:firstColumn="1" w:firstRow="1" w:lastColumn="0" w:lastRow="0" w:noHBand="0" w:noVBand="1" w:val="04A0"/>
      </w:tblPr>
      <w:tblGrid>
        <w:gridCol w:w="9066"/>
      </w:tblGrid>
      <w:tr>
        <w:tc>
          <w:tcPr>
            <w:tcW w:type="dxa" w:w="9066"/>
            <w:shd w:val="clear" w:color="auto" w:fill="fbf3da"/>
            <w:tcBorders>
              <w:top w:sz="4" w:val="single" w:color="C89344"/>
              <w:left w:sz="18" w:val="single" w:color="C89344"/>
              <w:bottom w:sz="4" w:val="single" w:color="C89344"/>
              <w:right w:sz="4" w:val="single" w:color="C89344"/>
            </w:tcBorders>
          </w:tcPr>
          <w:p>
            <w:pPr>
              <w:spacing w:after="80"/>
            </w:pPr>
            <w:r>
              <w:rPr>
                <w:rFonts w:ascii="Consolas" w:hAnsi="Consolas"/>
                <w:b/>
                <w:i w:val="0"/>
                <w:color w:val="C89344"/>
                <w:sz w:val="16"/>
              </w:rPr>
              <w:t>THE GOVERNMENT IS NOT LOSING MONEY</w:t>
            </w:r>
          </w:p>
          <w:p>
            <w:pPr>
              <w:spacing w:after="80" w:line="336" w:lineRule="auto"/>
            </w:pPr>
            <w:r>
              <w:rPr>
                <w:rFonts w:ascii="Georgia" w:hAnsi="Georgia"/>
                <w:b w:val="0"/>
                <w:i w:val="0"/>
                <w:color w:val="161210"/>
                <w:sz w:val="20"/>
              </w:rPr>
              <w:t>The 844 Veterans Drive pilot generates approximately $27M in tax revenue against a $21.8M forgivable loan — a 123% fiscal return by Year 20. The forgivable loan is best understood as an advance against future public revenue, repaid many times over through construction activity, employment, and ongoing economic participation.</w:t>
            </w:r>
          </w:p>
        </w:tc>
      </w:tr>
    </w:tbl>
    <w:p>
      <w:pPr>
        <w:spacing w:before="160" w:after="160" w:line="324" w:lineRule="auto"/>
        <w:jc w:val="left"/>
      </w:pPr>
    </w:p>
    <w:p>
      <w:r>
        <w:br w:type="page"/>
      </w:r>
    </w:p>
    <w:p>
      <w:pPr>
        <w:spacing w:before="400" w:after="120" w:line="324" w:lineRule="auto"/>
        <w:jc w:val="left"/>
      </w:pPr>
    </w:p>
    <w:p>
      <w:pPr>
        <w:spacing w:before="200" w:after="360"/>
      </w:pPr>
      <w:r>
        <w:rPr>
          <w:rFonts w:ascii="Consolas" w:hAnsi="Consolas"/>
          <w:b/>
          <w:i w:val="0"/>
          <w:color w:val="C89344"/>
          <w:sz w:val="22"/>
        </w:rPr>
        <w:t xml:space="preserve">05  ·  </w:t>
      </w:r>
      <w:r>
        <w:rPr>
          <w:rFonts w:ascii="Georgia" w:hAnsi="Georgia"/>
          <w:b w:val="0"/>
          <w:i w:val="0"/>
          <w:color w:val="161210"/>
          <w:sz w:val="48"/>
        </w:rPr>
        <w:t>Why Private Landowners Participate</w:t>
      </w:r>
    </w:p>
    <w:p>
      <w:pPr>
        <w:spacing w:before="0" w:after="160" w:line="336" w:lineRule="auto"/>
        <w:jc w:val="both"/>
      </w:pPr>
      <w:r>
        <w:rPr>
          <w:rFonts w:ascii="Georgia" w:hAnsi="Georgia"/>
          <w:b w:val="0"/>
          <w:i w:val="0"/>
          <w:color w:val="161210"/>
          <w:sz w:val="20"/>
        </w:rPr>
        <w:t>This is not philanthropy. The Common Ground Initiative offers landowners a rational economic alternative to traditional development — higher total returns, zero capital deployment, significantly reduced construction risk, and immediate liquidity.</w:t>
      </w:r>
    </w:p>
    <w:p>
      <w:pPr>
        <w:spacing w:before="0" w:after="160" w:line="336" w:lineRule="auto"/>
        <w:jc w:val="both"/>
      </w:pPr>
      <w:r>
        <w:rPr>
          <w:rFonts w:ascii="Georgia" w:hAnsi="Georgia"/>
          <w:b w:val="0"/>
          <w:i w:val="0"/>
          <w:color w:val="161210"/>
          <w:sz w:val="20"/>
        </w:rPr>
        <w:t>That is why 18 sites are already secured under binding agreement or Letter of Intent. The comparison below shows why.</w:t>
      </w:r>
    </w:p>
    <w:tbl>
      <w:tblPr>
        <w:tblW w:type="auto" w:w="0"/>
        <w:jc w:val="center"/>
        <w:tblLayout w:type="fixed"/>
        <w:tblLook w:firstColumn="1" w:firstRow="1" w:lastColumn="0" w:lastRow="0" w:noHBand="0" w:noVBand="1" w:val="04A0"/>
      </w:tblPr>
      <w:tblGrid>
        <w:gridCol w:w="3022"/>
        <w:gridCol w:w="3022"/>
        <w:gridCol w:w="3022"/>
      </w:tblGrid>
      <w:tr>
        <w:tc>
          <w:tcPr>
            <w:tcW w:type="dxa" w:w="2835"/>
            <w:shd w:val="clear" w:color="auto" w:fill="1f1612"/>
            <w:vAlign w:val="center"/>
          </w:tcPr>
          <w:p>
            <w:pPr>
              <w:spacing w:before="80" w:after="80"/>
            </w:pPr>
            <w:r>
              <w:rPr>
                <w:rFonts w:ascii="Consolas" w:hAnsi="Consolas"/>
                <w:b/>
                <w:color w:val="EBDFC4"/>
                <w:sz w:val="16"/>
              </w:rPr>
            </w:r>
          </w:p>
        </w:tc>
        <w:tc>
          <w:tcPr>
            <w:tcW w:type="dxa" w:w="2835"/>
            <w:shd w:val="clear" w:color="auto" w:fill="1f1612"/>
            <w:vAlign w:val="center"/>
          </w:tcPr>
          <w:p>
            <w:pPr>
              <w:spacing w:before="80" w:after="80"/>
            </w:pPr>
            <w:r>
              <w:rPr>
                <w:rFonts w:ascii="Consolas" w:hAnsi="Consolas"/>
                <w:b/>
                <w:color w:val="EBDFC4"/>
                <w:sz w:val="16"/>
              </w:rPr>
              <w:t>Build It Yourself</w:t>
            </w:r>
          </w:p>
        </w:tc>
        <w:tc>
          <w:tcPr>
            <w:tcW w:type="dxa" w:w="3402"/>
            <w:shd w:val="clear" w:color="auto" w:fill="1f1612"/>
            <w:vAlign w:val="center"/>
          </w:tcPr>
          <w:p>
            <w:pPr>
              <w:spacing w:before="80" w:after="80"/>
            </w:pPr>
            <w:r>
              <w:rPr>
                <w:rFonts w:ascii="Consolas" w:hAnsi="Consolas"/>
                <w:b/>
                <w:color w:val="EBDFC4"/>
                <w:sz w:val="16"/>
              </w:rPr>
              <w:t>Common Ground</w:t>
            </w:r>
          </w:p>
        </w:tc>
      </w:tr>
      <w:tr>
        <w:tc>
          <w:tcPr>
            <w:tcW w:type="dxa" w:w="2835"/>
            <w:vAlign w:val="top"/>
            <w:tcBorders>
              <w:bottom w:sz="4" w:val="single" w:color="CDC1A8"/>
            </w:tcBorders>
          </w:tcPr>
          <w:p>
            <w:pPr>
              <w:spacing w:before="80" w:after="80" w:line="324" w:lineRule="auto"/>
            </w:pPr>
            <w:r>
              <w:rPr>
                <w:rFonts w:ascii="Georgia" w:hAnsi="Georgia"/>
                <w:color w:val="161210"/>
                <w:sz w:val="18"/>
              </w:rPr>
              <w:t>Equity required</w:t>
            </w:r>
          </w:p>
        </w:tc>
        <w:tc>
          <w:tcPr>
            <w:tcW w:type="dxa" w:w="2835"/>
            <w:vAlign w:val="top"/>
            <w:tcBorders>
              <w:bottom w:sz="4" w:val="single" w:color="CDC1A8"/>
            </w:tcBorders>
          </w:tcPr>
          <w:p>
            <w:pPr>
              <w:spacing w:before="80" w:after="80" w:line="324" w:lineRule="auto"/>
            </w:pPr>
            <w:r>
              <w:rPr>
                <w:rFonts w:ascii="Georgia" w:hAnsi="Georgia"/>
                <w:color w:val="161210"/>
                <w:sz w:val="18"/>
              </w:rPr>
              <w:t>$3–5M</w:t>
            </w:r>
          </w:p>
        </w:tc>
        <w:tc>
          <w:tcPr>
            <w:tcW w:type="dxa" w:w="3402"/>
            <w:vAlign w:val="top"/>
            <w:tcBorders>
              <w:bottom w:sz="4" w:val="single" w:color="CDC1A8"/>
            </w:tcBorders>
          </w:tcPr>
          <w:p>
            <w:pPr>
              <w:spacing w:before="80" w:after="80" w:line="324" w:lineRule="auto"/>
            </w:pPr>
            <w:r>
              <w:rPr>
                <w:rFonts w:ascii="Georgia" w:hAnsi="Georgia"/>
                <w:color w:val="161210"/>
                <w:sz w:val="18"/>
              </w:rPr>
              <w:t>$0</w:t>
            </w:r>
          </w:p>
        </w:tc>
      </w:tr>
      <w:tr>
        <w:tc>
          <w:tcPr>
            <w:tcW w:type="dxa" w:w="2835"/>
            <w:vAlign w:val="top"/>
            <w:tcBorders>
              <w:bottom w:sz="4" w:val="single" w:color="CDC1A8"/>
            </w:tcBorders>
          </w:tcPr>
          <w:p>
            <w:pPr>
              <w:spacing w:before="80" w:after="80" w:line="324" w:lineRule="auto"/>
            </w:pPr>
            <w:r>
              <w:rPr>
                <w:rFonts w:ascii="Georgia" w:hAnsi="Georgia"/>
                <w:color w:val="161210"/>
                <w:sz w:val="18"/>
              </w:rPr>
              <w:t>Construction risk</w:t>
            </w:r>
          </w:p>
        </w:tc>
        <w:tc>
          <w:tcPr>
            <w:tcW w:type="dxa" w:w="2835"/>
            <w:vAlign w:val="top"/>
            <w:tcBorders>
              <w:bottom w:sz="4" w:val="single" w:color="CDC1A8"/>
            </w:tcBorders>
          </w:tcPr>
          <w:p>
            <w:pPr>
              <w:spacing w:before="80" w:after="80" w:line="324" w:lineRule="auto"/>
            </w:pPr>
            <w:r>
              <w:rPr>
                <w:rFonts w:ascii="Georgia" w:hAnsi="Georgia"/>
                <w:color w:val="161210"/>
                <w:sz w:val="18"/>
              </w:rPr>
              <w:t>Full exposure</w:t>
            </w:r>
          </w:p>
        </w:tc>
        <w:tc>
          <w:tcPr>
            <w:tcW w:type="dxa" w:w="3402"/>
            <w:vAlign w:val="top"/>
            <w:tcBorders>
              <w:bottom w:sz="4" w:val="single" w:color="CDC1A8"/>
            </w:tcBorders>
          </w:tcPr>
          <w:p>
            <w:pPr>
              <w:spacing w:before="80" w:after="80" w:line="324" w:lineRule="auto"/>
            </w:pPr>
            <w:r>
              <w:rPr>
                <w:rFonts w:ascii="Georgia" w:hAnsi="Georgia"/>
                <w:color w:val="161210"/>
                <w:sz w:val="18"/>
              </w:rPr>
              <w:t>Significantly reduced (fixed-price)</w:t>
            </w:r>
          </w:p>
        </w:tc>
      </w:tr>
      <w:tr>
        <w:tc>
          <w:tcPr>
            <w:tcW w:type="dxa" w:w="2835"/>
            <w:vAlign w:val="top"/>
            <w:tcBorders>
              <w:bottom w:sz="4" w:val="single" w:color="CDC1A8"/>
            </w:tcBorders>
          </w:tcPr>
          <w:p>
            <w:pPr>
              <w:spacing w:before="80" w:after="80" w:line="324" w:lineRule="auto"/>
            </w:pPr>
            <w:r>
              <w:rPr>
                <w:rFonts w:ascii="Georgia" w:hAnsi="Georgia"/>
                <w:color w:val="161210"/>
                <w:sz w:val="18"/>
              </w:rPr>
              <w:t>Personal guarantee</w:t>
            </w:r>
          </w:p>
        </w:tc>
        <w:tc>
          <w:tcPr>
            <w:tcW w:type="dxa" w:w="2835"/>
            <w:vAlign w:val="top"/>
            <w:tcBorders>
              <w:bottom w:sz="4" w:val="single" w:color="CDC1A8"/>
            </w:tcBorders>
          </w:tcPr>
          <w:p>
            <w:pPr>
              <w:spacing w:before="80" w:after="80" w:line="324" w:lineRule="auto"/>
            </w:pPr>
            <w:r>
              <w:rPr>
                <w:rFonts w:ascii="Georgia" w:hAnsi="Georgia"/>
                <w:color w:val="161210"/>
                <w:sz w:val="18"/>
              </w:rPr>
              <w:t>Unlimited, throughout</w:t>
            </w:r>
          </w:p>
        </w:tc>
        <w:tc>
          <w:tcPr>
            <w:tcW w:type="dxa" w:w="3402"/>
            <w:vAlign w:val="top"/>
            <w:tcBorders>
              <w:bottom w:sz="4" w:val="single" w:color="CDC1A8"/>
            </w:tcBorders>
          </w:tcPr>
          <w:p>
            <w:pPr>
              <w:spacing w:before="80" w:after="80" w:line="324" w:lineRule="auto"/>
            </w:pPr>
            <w:r>
              <w:rPr>
                <w:rFonts w:ascii="Georgia" w:hAnsi="Georgia"/>
                <w:color w:val="161210"/>
                <w:sz w:val="18"/>
              </w:rPr>
              <w:t>Released at stabilisation</w:t>
            </w:r>
          </w:p>
        </w:tc>
      </w:tr>
      <w:tr>
        <w:tc>
          <w:tcPr>
            <w:tcW w:type="dxa" w:w="2835"/>
            <w:vAlign w:val="top"/>
            <w:tcBorders>
              <w:bottom w:sz="4" w:val="single" w:color="CDC1A8"/>
            </w:tcBorders>
          </w:tcPr>
          <w:p>
            <w:pPr>
              <w:spacing w:before="80" w:after="80" w:line="324" w:lineRule="auto"/>
            </w:pPr>
            <w:r>
              <w:rPr>
                <w:rFonts w:ascii="Georgia" w:hAnsi="Georgia"/>
                <w:color w:val="161210"/>
                <w:sz w:val="18"/>
              </w:rPr>
              <w:t>Timeline to cash flow</w:t>
            </w:r>
          </w:p>
        </w:tc>
        <w:tc>
          <w:tcPr>
            <w:tcW w:type="dxa" w:w="2835"/>
            <w:vAlign w:val="top"/>
            <w:tcBorders>
              <w:bottom w:sz="4" w:val="single" w:color="CDC1A8"/>
            </w:tcBorders>
          </w:tcPr>
          <w:p>
            <w:pPr>
              <w:spacing w:before="80" w:after="80" w:line="324" w:lineRule="auto"/>
            </w:pPr>
            <w:r>
              <w:rPr>
                <w:rFonts w:ascii="Georgia" w:hAnsi="Georgia"/>
                <w:color w:val="161210"/>
                <w:sz w:val="18"/>
              </w:rPr>
              <w:t>24–36 months</w:t>
            </w:r>
          </w:p>
        </w:tc>
        <w:tc>
          <w:tcPr>
            <w:tcW w:type="dxa" w:w="3402"/>
            <w:vAlign w:val="top"/>
            <w:tcBorders>
              <w:bottom w:sz="4" w:val="single" w:color="CDC1A8"/>
            </w:tcBorders>
          </w:tcPr>
          <w:p>
            <w:pPr>
              <w:spacing w:before="80" w:after="80" w:line="324" w:lineRule="auto"/>
            </w:pPr>
            <w:r>
              <w:rPr>
                <w:rFonts w:ascii="Georgia" w:hAnsi="Georgia"/>
                <w:color w:val="161210"/>
                <w:sz w:val="18"/>
              </w:rPr>
              <w:t>12–18 months</w:t>
            </w:r>
          </w:p>
        </w:tc>
      </w:tr>
      <w:tr>
        <w:tc>
          <w:tcPr>
            <w:tcW w:type="dxa" w:w="2835"/>
            <w:vAlign w:val="top"/>
            <w:tcBorders>
              <w:bottom w:sz="4" w:val="single" w:color="CDC1A8"/>
            </w:tcBorders>
          </w:tcPr>
          <w:p>
            <w:pPr>
              <w:spacing w:before="80" w:after="80" w:line="324" w:lineRule="auto"/>
            </w:pPr>
            <w:r>
              <w:rPr>
                <w:rFonts w:ascii="Georgia" w:hAnsi="Georgia"/>
                <w:color w:val="161210"/>
                <w:sz w:val="18"/>
              </w:rPr>
              <w:t>20-year total return</w:t>
            </w:r>
          </w:p>
        </w:tc>
        <w:tc>
          <w:tcPr>
            <w:tcW w:type="dxa" w:w="2835"/>
            <w:vAlign w:val="top"/>
            <w:tcBorders>
              <w:bottom w:sz="4" w:val="single" w:color="CDC1A8"/>
            </w:tcBorders>
          </w:tcPr>
          <w:p>
            <w:pPr>
              <w:spacing w:before="80" w:after="80" w:line="324" w:lineRule="auto"/>
            </w:pPr>
            <w:r>
              <w:rPr>
                <w:rFonts w:ascii="Georgia" w:hAnsi="Georgia"/>
                <w:color w:val="161210"/>
                <w:sz w:val="18"/>
              </w:rPr>
              <w:t>~$14.5M (variable)</w:t>
            </w:r>
          </w:p>
        </w:tc>
        <w:tc>
          <w:tcPr>
            <w:tcW w:type="dxa" w:w="3402"/>
            <w:vAlign w:val="top"/>
            <w:tcBorders>
              <w:bottom w:sz="4" w:val="single" w:color="CDC1A8"/>
            </w:tcBorders>
          </w:tcPr>
          <w:p>
            <w:pPr>
              <w:spacing w:before="80" w:after="80" w:line="324" w:lineRule="auto"/>
            </w:pPr>
            <w:r>
              <w:rPr>
                <w:rFonts w:ascii="Georgia" w:hAnsi="Georgia"/>
                <w:color w:val="161210"/>
                <w:sz w:val="18"/>
              </w:rPr>
              <w:t>$17.1M (formula-based)</w:t>
            </w:r>
          </w:p>
        </w:tc>
      </w:tr>
      <w:tr>
        <w:tc>
          <w:tcPr>
            <w:tcW w:type="dxa" w:w="2835"/>
            <w:vAlign w:val="top"/>
            <w:tcBorders>
              <w:bottom w:sz="4" w:val="single" w:color="CDC1A8"/>
            </w:tcBorders>
          </w:tcPr>
          <w:p>
            <w:pPr>
              <w:spacing w:before="80" w:after="80" w:line="324" w:lineRule="auto"/>
            </w:pPr>
            <w:r>
              <w:rPr>
                <w:rFonts w:ascii="Georgia" w:hAnsi="Georgia"/>
                <w:color w:val="161210"/>
                <w:sz w:val="18"/>
              </w:rPr>
              <w:t>Return on equity</w:t>
            </w:r>
          </w:p>
        </w:tc>
        <w:tc>
          <w:tcPr>
            <w:tcW w:type="dxa" w:w="2835"/>
            <w:vAlign w:val="top"/>
            <w:tcBorders>
              <w:bottom w:sz="4" w:val="single" w:color="CDC1A8"/>
            </w:tcBorders>
          </w:tcPr>
          <w:p>
            <w:pPr>
              <w:spacing w:before="80" w:after="80" w:line="324" w:lineRule="auto"/>
            </w:pPr>
            <w:r>
              <w:rPr>
                <w:rFonts w:ascii="Georgia" w:hAnsi="Georgia"/>
                <w:color w:val="161210"/>
                <w:sz w:val="18"/>
              </w:rPr>
              <w:t>4.1x</w:t>
            </w:r>
          </w:p>
        </w:tc>
        <w:tc>
          <w:tcPr>
            <w:tcW w:type="dxa" w:w="3402"/>
            <w:vAlign w:val="top"/>
            <w:tcBorders>
              <w:bottom w:sz="4" w:val="single" w:color="CDC1A8"/>
            </w:tcBorders>
          </w:tcPr>
          <w:p>
            <w:pPr>
              <w:spacing w:before="80" w:after="80" w:line="324" w:lineRule="auto"/>
            </w:pPr>
            <w:r>
              <w:rPr>
                <w:rFonts w:ascii="Georgia" w:hAnsi="Georgia"/>
                <w:color w:val="161210"/>
                <w:sz w:val="18"/>
              </w:rPr>
              <w:t>Infinite ($0 deployed)</w:t>
            </w:r>
          </w:p>
        </w:tc>
      </w:tr>
    </w:tbl>
    <w:p>
      <w:pPr>
        <w:spacing w:before="160" w:after="160" w:line="324" w:lineRule="auto"/>
        <w:jc w:val="left"/>
      </w:pPr>
    </w:p>
    <w:p>
      <w:pPr>
        <w:spacing w:before="0" w:after="160" w:line="336" w:lineRule="auto"/>
        <w:jc w:val="both"/>
      </w:pPr>
      <w:r>
        <w:rPr>
          <w:rFonts w:ascii="Georgia" w:hAnsi="Georgia"/>
          <w:b w:val="0"/>
          <w:i w:val="0"/>
          <w:color w:val="161210"/>
          <w:sz w:val="20"/>
        </w:rPr>
        <w:t>Landowners with multiple sites deploy Common Ground on two or three properties, freeing $6–15M in equity for self-development elsewhere. They earn a stable 60% Net Operating Income share from Common Ground sites while pursuing market-rate projects with the freed capital. This is capital efficiency — which is why the pipeline is growing at roughly 2.75 new sites per month.</w:t>
      </w:r>
    </w:p>
    <w:p>
      <w:r>
        <w:br w:type="page"/>
      </w:r>
    </w:p>
    <w:p>
      <w:pPr>
        <w:spacing w:before="400" w:after="120" w:line="324" w:lineRule="auto"/>
        <w:jc w:val="left"/>
      </w:pPr>
    </w:p>
    <w:p>
      <w:pPr>
        <w:spacing w:before="200" w:after="360"/>
      </w:pPr>
      <w:r>
        <w:rPr>
          <w:rFonts w:ascii="Consolas" w:hAnsi="Consolas"/>
          <w:b/>
          <w:i w:val="0"/>
          <w:color w:val="C89344"/>
          <w:sz w:val="22"/>
        </w:rPr>
        <w:t xml:space="preserve">06  ·  </w:t>
      </w:r>
      <w:r>
        <w:rPr>
          <w:rFonts w:ascii="Georgia" w:hAnsi="Georgia"/>
          <w:b w:val="0"/>
          <w:i w:val="0"/>
          <w:color w:val="161210"/>
          <w:sz w:val="48"/>
        </w:rPr>
        <w:t>The Equity Engine</w:t>
      </w:r>
    </w:p>
    <w:p>
      <w:pPr>
        <w:spacing w:before="0" w:after="160" w:line="336" w:lineRule="auto"/>
        <w:jc w:val="both"/>
      </w:pPr>
      <w:r>
        <w:rPr>
          <w:rFonts w:ascii="Georgia" w:hAnsi="Georgia"/>
          <w:b w:val="0"/>
          <w:i w:val="0"/>
          <w:color w:val="161210"/>
          <w:sz w:val="20"/>
        </w:rPr>
        <w:t>The Common Ground Initiative does not just create affordable homes. It generates enduring equity for the community organisations that serve refugees, newcomers, and families at risk of poverty.</w:t>
      </w:r>
    </w:p>
    <w:p>
      <w:pPr>
        <w:spacing w:before="0" w:after="160" w:line="336" w:lineRule="auto"/>
        <w:jc w:val="both"/>
      </w:pPr>
      <w:r>
        <w:rPr>
          <w:rFonts w:ascii="Georgia" w:hAnsi="Georgia"/>
          <w:b w:val="0"/>
          <w:i w:val="0"/>
          <w:color w:val="161210"/>
          <w:sz w:val="20"/>
        </w:rPr>
        <w:t>Each completed project gives those organisations a stronger foundation to build the next one. The table below uses the 844 Veterans Drive pilot as the reference economics.</w:t>
      </w:r>
    </w:p>
    <w:tbl>
      <w:tblPr>
        <w:tblW w:type="auto" w:w="0"/>
        <w:jc w:val="center"/>
        <w:tblLayout w:type="fixed"/>
        <w:tblLook w:firstColumn="1" w:firstRow="1" w:lastColumn="0" w:lastRow="0" w:noHBand="0" w:noVBand="1" w:val="04A0"/>
      </w:tblPr>
      <w:tblGrid>
        <w:gridCol w:w="4533"/>
        <w:gridCol w:w="4533"/>
      </w:tblGrid>
      <w:tr>
        <w:tc>
          <w:tcPr>
            <w:tcW w:type="dxa" w:w="6236"/>
            <w:shd w:val="clear" w:color="auto" w:fill="1f1612"/>
            <w:vAlign w:val="center"/>
          </w:tcPr>
          <w:p>
            <w:pPr>
              <w:spacing w:before="80" w:after="80"/>
            </w:pPr>
            <w:r>
              <w:rPr>
                <w:rFonts w:ascii="Consolas" w:hAnsi="Consolas"/>
                <w:b/>
                <w:color w:val="EBDFC4"/>
                <w:sz w:val="16"/>
              </w:rPr>
              <w:t>Metric (844 Veterans reference)</w:t>
            </w:r>
          </w:p>
        </w:tc>
        <w:tc>
          <w:tcPr>
            <w:tcW w:type="dxa" w:w="2835"/>
            <w:shd w:val="clear" w:color="auto" w:fill="1f1612"/>
            <w:vAlign w:val="center"/>
          </w:tcPr>
          <w:p>
            <w:pPr>
              <w:spacing w:before="80" w:after="80"/>
            </w:pPr>
            <w:r>
              <w:rPr>
                <w:rFonts w:ascii="Consolas" w:hAnsi="Consolas"/>
                <w:b/>
                <w:color w:val="EBDFC4"/>
                <w:sz w:val="16"/>
              </w:rPr>
              <w:t>Value</w:t>
            </w:r>
          </w:p>
        </w:tc>
      </w:tr>
      <w:tr>
        <w:tc>
          <w:tcPr>
            <w:tcW w:type="dxa" w:w="6236"/>
            <w:vAlign w:val="top"/>
            <w:tcBorders>
              <w:bottom w:sz="4" w:val="single" w:color="CDC1A8"/>
            </w:tcBorders>
          </w:tcPr>
          <w:p>
            <w:pPr>
              <w:spacing w:before="80" w:after="80" w:line="324" w:lineRule="auto"/>
            </w:pPr>
            <w:r>
              <w:rPr>
                <w:rFonts w:ascii="Georgia" w:hAnsi="Georgia"/>
                <w:color w:val="161210"/>
                <w:sz w:val="18"/>
              </w:rPr>
              <w:t>Year 1 annual income (40% NOI)</w:t>
            </w:r>
          </w:p>
        </w:tc>
        <w:tc>
          <w:tcPr>
            <w:tcW w:type="dxa" w:w="2835"/>
            <w:vAlign w:val="top"/>
            <w:tcBorders>
              <w:bottom w:sz="4" w:val="single" w:color="CDC1A8"/>
            </w:tcBorders>
          </w:tcPr>
          <w:p>
            <w:pPr>
              <w:spacing w:before="80" w:after="80" w:line="324" w:lineRule="auto"/>
            </w:pPr>
            <w:r>
              <w:rPr>
                <w:rFonts w:ascii="Georgia" w:hAnsi="Georgia"/>
                <w:color w:val="161210"/>
                <w:sz w:val="18"/>
              </w:rPr>
              <w:t>$139,000</w:t>
            </w:r>
          </w:p>
        </w:tc>
      </w:tr>
      <w:tr>
        <w:tc>
          <w:tcPr>
            <w:tcW w:type="dxa" w:w="6236"/>
            <w:vAlign w:val="top"/>
            <w:tcBorders>
              <w:bottom w:sz="4" w:val="single" w:color="CDC1A8"/>
            </w:tcBorders>
          </w:tcPr>
          <w:p>
            <w:pPr>
              <w:spacing w:before="80" w:after="80" w:line="324" w:lineRule="auto"/>
            </w:pPr>
            <w:r>
              <w:rPr>
                <w:rFonts w:ascii="Georgia" w:hAnsi="Georgia"/>
                <w:color w:val="161210"/>
                <w:sz w:val="18"/>
              </w:rPr>
              <w:t>Year 10 annual income</w:t>
            </w:r>
          </w:p>
        </w:tc>
        <w:tc>
          <w:tcPr>
            <w:tcW w:type="dxa" w:w="2835"/>
            <w:vAlign w:val="top"/>
            <w:tcBorders>
              <w:bottom w:sz="4" w:val="single" w:color="CDC1A8"/>
            </w:tcBorders>
          </w:tcPr>
          <w:p>
            <w:pPr>
              <w:spacing w:before="80" w:after="80" w:line="324" w:lineRule="auto"/>
            </w:pPr>
            <w:r>
              <w:rPr>
                <w:rFonts w:ascii="Georgia" w:hAnsi="Georgia"/>
                <w:color w:val="161210"/>
                <w:sz w:val="18"/>
              </w:rPr>
              <w:t>$218,000</w:t>
            </w:r>
          </w:p>
        </w:tc>
      </w:tr>
      <w:tr>
        <w:tc>
          <w:tcPr>
            <w:tcW w:type="dxa" w:w="6236"/>
            <w:vAlign w:val="top"/>
            <w:tcBorders>
              <w:bottom w:sz="4" w:val="single" w:color="CDC1A8"/>
            </w:tcBorders>
          </w:tcPr>
          <w:p>
            <w:pPr>
              <w:spacing w:before="80" w:after="80" w:line="324" w:lineRule="auto"/>
            </w:pPr>
            <w:r>
              <w:rPr>
                <w:rFonts w:ascii="Georgia" w:hAnsi="Georgia"/>
                <w:color w:val="161210"/>
                <w:sz w:val="18"/>
              </w:rPr>
              <w:t>Year 20 annual income</w:t>
            </w:r>
          </w:p>
        </w:tc>
        <w:tc>
          <w:tcPr>
            <w:tcW w:type="dxa" w:w="2835"/>
            <w:vAlign w:val="top"/>
            <w:tcBorders>
              <w:bottom w:sz="4" w:val="single" w:color="CDC1A8"/>
            </w:tcBorders>
          </w:tcPr>
          <w:p>
            <w:pPr>
              <w:spacing w:before="80" w:after="80" w:line="324" w:lineRule="auto"/>
            </w:pPr>
            <w:r>
              <w:rPr>
                <w:rFonts w:ascii="Georgia" w:hAnsi="Georgia"/>
                <w:color w:val="161210"/>
                <w:sz w:val="18"/>
              </w:rPr>
              <w:t>$340,000</w:t>
            </w:r>
          </w:p>
        </w:tc>
      </w:tr>
      <w:tr>
        <w:tc>
          <w:tcPr>
            <w:tcW w:type="dxa" w:w="6236"/>
            <w:vAlign w:val="top"/>
            <w:tcBorders>
              <w:bottom w:sz="4" w:val="single" w:color="CDC1A8"/>
            </w:tcBorders>
          </w:tcPr>
          <w:p>
            <w:pPr>
              <w:spacing w:before="80" w:after="80" w:line="324" w:lineRule="auto"/>
            </w:pPr>
            <w:r>
              <w:rPr>
                <w:rFonts w:ascii="Georgia" w:hAnsi="Georgia"/>
                <w:color w:val="161210"/>
                <w:sz w:val="18"/>
              </w:rPr>
              <w:t>Cumulative 20-year income</w:t>
            </w:r>
          </w:p>
        </w:tc>
        <w:tc>
          <w:tcPr>
            <w:tcW w:type="dxa" w:w="2835"/>
            <w:vAlign w:val="top"/>
            <w:tcBorders>
              <w:bottom w:sz="4" w:val="single" w:color="CDC1A8"/>
            </w:tcBorders>
          </w:tcPr>
          <w:p>
            <w:pPr>
              <w:spacing w:before="80" w:after="80" w:line="324" w:lineRule="auto"/>
            </w:pPr>
            <w:r>
              <w:rPr>
                <w:rFonts w:ascii="Georgia" w:hAnsi="Georgia"/>
                <w:color w:val="161210"/>
                <w:sz w:val="18"/>
              </w:rPr>
              <w:t>$4.5M</w:t>
            </w:r>
          </w:p>
        </w:tc>
      </w:tr>
      <w:tr>
        <w:tc>
          <w:tcPr>
            <w:tcW w:type="dxa" w:w="6236"/>
            <w:vAlign w:val="top"/>
            <w:tcBorders>
              <w:bottom w:sz="4" w:val="single" w:color="CDC1A8"/>
            </w:tcBorders>
          </w:tcPr>
          <w:p>
            <w:pPr>
              <w:spacing w:before="80" w:after="80" w:line="324" w:lineRule="auto"/>
            </w:pPr>
            <w:r>
              <w:rPr>
                <w:rFonts w:ascii="Georgia" w:hAnsi="Georgia"/>
                <w:color w:val="161210"/>
                <w:sz w:val="18"/>
              </w:rPr>
              <w:t>Mortgage paydown equity</w:t>
            </w:r>
          </w:p>
        </w:tc>
        <w:tc>
          <w:tcPr>
            <w:tcW w:type="dxa" w:w="2835"/>
            <w:vAlign w:val="top"/>
            <w:tcBorders>
              <w:bottom w:sz="4" w:val="single" w:color="CDC1A8"/>
            </w:tcBorders>
          </w:tcPr>
          <w:p>
            <w:pPr>
              <w:spacing w:before="80" w:after="80" w:line="324" w:lineRule="auto"/>
            </w:pPr>
            <w:r>
              <w:rPr>
                <w:rFonts w:ascii="Georgia" w:hAnsi="Georgia"/>
                <w:color w:val="161210"/>
                <w:sz w:val="18"/>
              </w:rPr>
              <w:t>$4.1M</w:t>
            </w:r>
          </w:p>
        </w:tc>
      </w:tr>
      <w:tr>
        <w:tc>
          <w:tcPr>
            <w:tcW w:type="dxa" w:w="6236"/>
            <w:vAlign w:val="top"/>
            <w:tcBorders>
              <w:bottom w:sz="4" w:val="single" w:color="CDC1A8"/>
            </w:tcBorders>
          </w:tcPr>
          <w:p>
            <w:pPr>
              <w:spacing w:before="80" w:after="80" w:line="324" w:lineRule="auto"/>
            </w:pPr>
            <w:r>
              <w:rPr>
                <w:rFonts w:ascii="Georgia" w:hAnsi="Georgia"/>
                <w:color w:val="161210"/>
                <w:sz w:val="18"/>
              </w:rPr>
              <w:t>Vested forgivable loan</w:t>
            </w:r>
          </w:p>
        </w:tc>
        <w:tc>
          <w:tcPr>
            <w:tcW w:type="dxa" w:w="2835"/>
            <w:vAlign w:val="top"/>
            <w:tcBorders>
              <w:bottom w:sz="4" w:val="single" w:color="CDC1A8"/>
            </w:tcBorders>
          </w:tcPr>
          <w:p>
            <w:pPr>
              <w:spacing w:before="80" w:after="80" w:line="324" w:lineRule="auto"/>
            </w:pPr>
            <w:r>
              <w:rPr>
                <w:rFonts w:ascii="Georgia" w:hAnsi="Georgia"/>
                <w:color w:val="161210"/>
                <w:sz w:val="18"/>
              </w:rPr>
              <w:t>$21.8M</w:t>
            </w:r>
          </w:p>
        </w:tc>
      </w:tr>
      <w:tr>
        <w:tc>
          <w:tcPr>
            <w:tcW w:type="dxa" w:w="6236"/>
            <w:vAlign w:val="top"/>
            <w:tcBorders>
              <w:bottom w:sz="4" w:val="single" w:color="CDC1A8"/>
            </w:tcBorders>
          </w:tcPr>
          <w:p>
            <w:pPr>
              <w:spacing w:before="80" w:after="80" w:line="324" w:lineRule="auto"/>
            </w:pPr>
            <w:r>
              <w:rPr>
                <w:rFonts w:ascii="Georgia" w:hAnsi="Georgia"/>
                <w:color w:val="161210"/>
                <w:sz w:val="18"/>
              </w:rPr>
              <w:t>Total NFP equity at Year 20</w:t>
            </w:r>
          </w:p>
        </w:tc>
        <w:tc>
          <w:tcPr>
            <w:tcW w:type="dxa" w:w="2835"/>
            <w:vAlign w:val="top"/>
            <w:tcBorders>
              <w:bottom w:sz="4" w:val="single" w:color="CDC1A8"/>
            </w:tcBorders>
          </w:tcPr>
          <w:p>
            <w:pPr>
              <w:spacing w:before="80" w:after="80" w:line="324" w:lineRule="auto"/>
            </w:pPr>
            <w:r>
              <w:rPr>
                <w:rFonts w:ascii="Georgia" w:hAnsi="Georgia"/>
                <w:color w:val="161210"/>
                <w:sz w:val="18"/>
              </w:rPr>
              <w:t>$34.5M</w:t>
            </w:r>
          </w:p>
        </w:tc>
      </w:tr>
      <w:tr>
        <w:tc>
          <w:tcPr>
            <w:tcW w:type="dxa" w:w="6236"/>
            <w:vAlign w:val="top"/>
            <w:tcBorders>
              <w:bottom w:sz="4" w:val="single" w:color="CDC1A8"/>
            </w:tcBorders>
          </w:tcPr>
          <w:p>
            <w:pPr>
              <w:spacing w:before="80" w:after="80" w:line="324" w:lineRule="auto"/>
            </w:pPr>
            <w:r>
              <w:rPr>
                <w:rFonts w:ascii="Georgia" w:hAnsi="Georgia"/>
                <w:color w:val="161210"/>
                <w:sz w:val="18"/>
              </w:rPr>
              <w:t>Annual income after Year 20 (100% NOI)</w:t>
            </w:r>
          </w:p>
        </w:tc>
        <w:tc>
          <w:tcPr>
            <w:tcW w:type="dxa" w:w="2835"/>
            <w:vAlign w:val="top"/>
            <w:tcBorders>
              <w:bottom w:sz="4" w:val="single" w:color="CDC1A8"/>
            </w:tcBorders>
          </w:tcPr>
          <w:p>
            <w:pPr>
              <w:spacing w:before="80" w:after="80" w:line="324" w:lineRule="auto"/>
            </w:pPr>
            <w:r>
              <w:rPr>
                <w:rFonts w:ascii="Georgia" w:hAnsi="Georgia"/>
                <w:color w:val="161210"/>
                <w:sz w:val="18"/>
              </w:rPr>
              <w:t>$884,000+ / yr forever</w:t>
            </w:r>
          </w:p>
        </w:tc>
      </w:tr>
    </w:tbl>
    <w:p>
      <w:pPr>
        <w:spacing w:before="160" w:after="160" w:line="324" w:lineRule="auto"/>
        <w:jc w:val="left"/>
      </w:pPr>
    </w:p>
    <w:p>
      <w:pPr>
        <w:spacing w:before="280" w:after="120"/>
      </w:pPr>
      <w:r>
        <w:rPr>
          <w:rFonts w:ascii="Georgia" w:hAnsi="Georgia"/>
          <w:b/>
          <w:i w:val="0"/>
          <w:color w:val="C89344"/>
          <w:sz w:val="24"/>
        </w:rPr>
        <w:t>The self-replicating cycle</w:t>
      </w:r>
    </w:p>
    <w:p>
      <w:pPr>
        <w:spacing w:before="0" w:after="160" w:line="336" w:lineRule="auto"/>
        <w:jc w:val="both"/>
      </w:pPr>
      <w:r>
        <w:rPr>
          <w:rFonts w:ascii="Georgia" w:hAnsi="Georgia"/>
          <w:b w:val="0"/>
          <w:i w:val="0"/>
          <w:color w:val="161210"/>
          <w:sz w:val="20"/>
        </w:rPr>
        <w:t>A non-profit that has operated a building for 20 years and then completes the buyout holds a fully-owned asset generating $884,000+ per year with no remaining private obligations. That equity position anchors the next development — enabling the non-profit to participate in additional Common Ground structures or access community-bond financing without returning to government for operating subsidies. The model is self-replicating by design.</w:t>
      </w:r>
    </w:p>
    <w:tbl>
      <w:tblPr>
        <w:tblW w:type="auto" w:w="0"/>
        <w:tblLook w:firstColumn="1" w:firstRow="1" w:lastColumn="0" w:lastRow="0" w:noHBand="0" w:noVBand="1" w:val="04A0"/>
      </w:tblPr>
      <w:tblGrid>
        <w:gridCol w:w="9066"/>
      </w:tblGrid>
      <w:tr>
        <w:tc>
          <w:tcPr>
            <w:tcW w:type="dxa" w:w="9066"/>
            <w:shd w:val="clear" w:color="auto" w:fill="fbf3da"/>
            <w:tcBorders>
              <w:top w:sz="4" w:val="single" w:color="C89344"/>
              <w:left w:sz="18" w:val="single" w:color="C89344"/>
              <w:bottom w:sz="4" w:val="single" w:color="C89344"/>
              <w:right w:sz="4" w:val="single" w:color="C89344"/>
            </w:tcBorders>
          </w:tcPr>
          <w:p>
            <w:pPr>
              <w:spacing w:after="80"/>
            </w:pPr>
            <w:r>
              <w:rPr>
                <w:rFonts w:ascii="Consolas" w:hAnsi="Consolas"/>
                <w:b/>
                <w:i w:val="0"/>
                <w:color w:val="C89344"/>
                <w:sz w:val="16"/>
              </w:rPr>
              <w:t>THE LONG VIEW</w:t>
            </w:r>
          </w:p>
          <w:p>
            <w:pPr>
              <w:spacing w:after="80" w:line="336" w:lineRule="auto"/>
            </w:pPr>
            <w:r>
              <w:rPr>
                <w:rFonts w:ascii="Georgia" w:hAnsi="Georgia"/>
                <w:b w:val="0"/>
                <w:i w:val="0"/>
                <w:color w:val="161210"/>
                <w:sz w:val="20"/>
              </w:rPr>
              <w:t>The non-profit isn't just managing affordable housing — it's building a permanent endowment that generates mission-flexible income in perpetuity, with complete mission control and zero external obligations after Year 20.</w:t>
            </w:r>
          </w:p>
        </w:tc>
      </w:tr>
    </w:tbl>
    <w:p>
      <w:pPr>
        <w:spacing w:before="160" w:after="160" w:line="324" w:lineRule="auto"/>
        <w:jc w:val="left"/>
      </w:pPr>
    </w:p>
    <w:p>
      <w:r>
        <w:br w:type="page"/>
      </w:r>
    </w:p>
    <w:p>
      <w:pPr>
        <w:spacing w:before="400" w:after="120" w:line="324" w:lineRule="auto"/>
        <w:jc w:val="left"/>
      </w:pPr>
    </w:p>
    <w:p>
      <w:pPr>
        <w:spacing w:before="200" w:after="360"/>
      </w:pPr>
      <w:r>
        <w:rPr>
          <w:rFonts w:ascii="Consolas" w:hAnsi="Consolas"/>
          <w:b/>
          <w:i w:val="0"/>
          <w:color w:val="C89344"/>
          <w:sz w:val="22"/>
        </w:rPr>
        <w:t xml:space="preserve">07  ·  </w:t>
      </w:r>
      <w:r>
        <w:rPr>
          <w:rFonts w:ascii="Georgia" w:hAnsi="Georgia"/>
          <w:b w:val="0"/>
          <w:i w:val="0"/>
          <w:color w:val="161210"/>
          <w:sz w:val="48"/>
        </w:rPr>
        <w:t>Ubuntu LTD — The Coordinating Platform</w:t>
      </w:r>
    </w:p>
    <w:p>
      <w:pPr>
        <w:spacing w:before="0" w:after="160" w:line="336" w:lineRule="auto"/>
        <w:jc w:val="both"/>
      </w:pPr>
      <w:r>
        <w:rPr>
          <w:rFonts w:ascii="Georgia" w:hAnsi="Georgia"/>
          <w:b w:val="0"/>
          <w:i w:val="0"/>
          <w:color w:val="161210"/>
          <w:sz w:val="20"/>
        </w:rPr>
        <w:t>Ubuntu LTD is the national platform that coordinates the Common Ground Initiative across sites and regions. It does not acquire land for itself, develop housing directly, or hold a portfolio of properties as a fund. It is the third party at the table — the structuring entity that lets private landowners, non-profit operators, and federal capital align.</w:t>
      </w:r>
    </w:p>
    <w:p>
      <w:pPr>
        <w:spacing w:before="0" w:after="160" w:line="336" w:lineRule="auto"/>
        <w:jc w:val="both"/>
      </w:pPr>
      <w:r>
        <w:rPr>
          <w:rFonts w:ascii="Georgia" w:hAnsi="Georgia"/>
          <w:b w:val="0"/>
          <w:i w:val="0"/>
          <w:color w:val="161210"/>
          <w:sz w:val="20"/>
        </w:rPr>
        <w:t>Under the Common Ground Initiative, Ubuntu LTD provides the legal architecture, capital stack, delivery coordination, and partnership frameworks that allow community-based non-profits to become permanent owners of assets they could not have accessed independently. Each project is structured so the non-profit holds title from day one.</w:t>
      </w:r>
    </w:p>
    <w:p>
      <w:pPr>
        <w:spacing w:before="280" w:after="120"/>
      </w:pPr>
      <w:r>
        <w:rPr>
          <w:rFonts w:ascii="Georgia" w:hAnsi="Georgia"/>
          <w:b/>
          <w:i w:val="0"/>
          <w:color w:val="C89344"/>
          <w:sz w:val="24"/>
        </w:rPr>
        <w:t>The three core functions</w:t>
      </w:r>
    </w:p>
    <w:tbl>
      <w:tblPr>
        <w:tblW w:type="auto" w:w="0"/>
        <w:jc w:val="center"/>
        <w:tblLayout w:type="fixed"/>
        <w:tblLook w:firstColumn="1" w:firstRow="1" w:lastColumn="0" w:lastRow="0" w:noHBand="0" w:noVBand="1" w:val="04A0"/>
      </w:tblPr>
      <w:tblGrid>
        <w:gridCol w:w="4533"/>
        <w:gridCol w:w="4533"/>
      </w:tblGrid>
      <w:tr>
        <w:tc>
          <w:tcPr>
            <w:tcW w:type="dxa" w:w="2268"/>
            <w:shd w:val="clear" w:color="auto" w:fill="1f1612"/>
            <w:vAlign w:val="center"/>
          </w:tcPr>
          <w:p>
            <w:pPr>
              <w:spacing w:before="80" w:after="80"/>
            </w:pPr>
            <w:r>
              <w:rPr>
                <w:rFonts w:ascii="Consolas" w:hAnsi="Consolas"/>
                <w:b/>
                <w:color w:val="EBDFC4"/>
                <w:sz w:val="16"/>
              </w:rPr>
              <w:t>Function</w:t>
            </w:r>
          </w:p>
        </w:tc>
        <w:tc>
          <w:tcPr>
            <w:tcW w:type="dxa" w:w="6803"/>
            <w:shd w:val="clear" w:color="auto" w:fill="1f1612"/>
            <w:vAlign w:val="center"/>
          </w:tcPr>
          <w:p>
            <w:pPr>
              <w:spacing w:before="80" w:after="80"/>
            </w:pPr>
            <w:r>
              <w:rPr>
                <w:rFonts w:ascii="Consolas" w:hAnsi="Consolas"/>
                <w:b/>
                <w:color w:val="EBDFC4"/>
                <w:sz w:val="16"/>
              </w:rPr>
              <w:t>What Ubuntu LTD does</w:t>
            </w:r>
          </w:p>
        </w:tc>
      </w:tr>
      <w:tr>
        <w:tc>
          <w:tcPr>
            <w:tcW w:type="dxa" w:w="2268"/>
            <w:vAlign w:val="top"/>
            <w:tcBorders>
              <w:bottom w:sz="4" w:val="single" w:color="CDC1A8"/>
            </w:tcBorders>
          </w:tcPr>
          <w:p>
            <w:pPr>
              <w:spacing w:before="80" w:after="80" w:line="324" w:lineRule="auto"/>
            </w:pPr>
            <w:r>
              <w:rPr>
                <w:rFonts w:ascii="Georgia" w:hAnsi="Georgia"/>
                <w:color w:val="161210"/>
                <w:sz w:val="18"/>
              </w:rPr>
              <w:t>Land Activation</w:t>
            </w:r>
          </w:p>
        </w:tc>
        <w:tc>
          <w:tcPr>
            <w:tcW w:type="dxa" w:w="6803"/>
            <w:vAlign w:val="top"/>
            <w:tcBorders>
              <w:bottom w:sz="4" w:val="single" w:color="CDC1A8"/>
            </w:tcBorders>
          </w:tcPr>
          <w:p>
            <w:pPr>
              <w:spacing w:before="80" w:after="80" w:line="324" w:lineRule="auto"/>
            </w:pPr>
            <w:r>
              <w:rPr>
                <w:rFonts w:ascii="Georgia" w:hAnsi="Georgia"/>
                <w:color w:val="161210"/>
                <w:sz w:val="18"/>
              </w:rPr>
              <w:t>Recruits private landowners. Structures Common Ground partnerships. Manages due diligence and entitlement. 18 sites secured with binding agreements or Letters of Intent, representing approximately $3.5B in development value.</w:t>
            </w:r>
          </w:p>
        </w:tc>
      </w:tr>
      <w:tr>
        <w:tc>
          <w:tcPr>
            <w:tcW w:type="dxa" w:w="2268"/>
            <w:vAlign w:val="top"/>
            <w:tcBorders>
              <w:bottom w:sz="4" w:val="single" w:color="CDC1A8"/>
            </w:tcBorders>
          </w:tcPr>
          <w:p>
            <w:pPr>
              <w:spacing w:before="80" w:after="80" w:line="324" w:lineRule="auto"/>
            </w:pPr>
            <w:r>
              <w:rPr>
                <w:rFonts w:ascii="Georgia" w:hAnsi="Georgia"/>
                <w:color w:val="161210"/>
                <w:sz w:val="18"/>
              </w:rPr>
              <w:t>Capital Structuring</w:t>
            </w:r>
          </w:p>
        </w:tc>
        <w:tc>
          <w:tcPr>
            <w:tcW w:type="dxa" w:w="6803"/>
            <w:vAlign w:val="top"/>
            <w:tcBorders>
              <w:bottom w:sz="4" w:val="single" w:color="CDC1A8"/>
            </w:tcBorders>
          </w:tcPr>
          <w:p>
            <w:pPr>
              <w:spacing w:before="80" w:after="80" w:line="324" w:lineRule="auto"/>
            </w:pPr>
            <w:r>
              <w:rPr>
                <w:rFonts w:ascii="Georgia" w:hAnsi="Georgia"/>
                <w:color w:val="161210"/>
                <w:sz w:val="18"/>
              </w:rPr>
              <w:t>Assembles the 40 / 50 / 10–15 capital stack. Prepares CMHC-compliant submissions. Coordinates with financial institutions. Designs community-bond offerings to broaden participation.</w:t>
            </w:r>
          </w:p>
        </w:tc>
      </w:tr>
      <w:tr>
        <w:tc>
          <w:tcPr>
            <w:tcW w:type="dxa" w:w="2268"/>
            <w:vAlign w:val="top"/>
            <w:tcBorders>
              <w:bottom w:sz="4" w:val="single" w:color="CDC1A8"/>
            </w:tcBorders>
          </w:tcPr>
          <w:p>
            <w:pPr>
              <w:spacing w:before="80" w:after="80" w:line="324" w:lineRule="auto"/>
            </w:pPr>
            <w:r>
              <w:rPr>
                <w:rFonts w:ascii="Georgia" w:hAnsi="Georgia"/>
                <w:color w:val="161210"/>
                <w:sz w:val="18"/>
              </w:rPr>
              <w:t>Partnership Delivery</w:t>
            </w:r>
          </w:p>
        </w:tc>
        <w:tc>
          <w:tcPr>
            <w:tcW w:type="dxa" w:w="6803"/>
            <w:vAlign w:val="top"/>
            <w:tcBorders>
              <w:bottom w:sz="4" w:val="single" w:color="CDC1A8"/>
            </w:tcBorders>
          </w:tcPr>
          <w:p>
            <w:pPr>
              <w:spacing w:before="80" w:after="80" w:line="324" w:lineRule="auto"/>
            </w:pPr>
            <w:r>
              <w:rPr>
                <w:rFonts w:ascii="Georgia" w:hAnsi="Georgia"/>
                <w:color w:val="161210"/>
                <w:sz w:val="18"/>
              </w:rPr>
              <w:t>Coordinates construction through modular prefab partners with fixed-price contracts. Matches qualified non-profit partners to individual sites. Provides standardised legal templates, financial models, and governance frameworks. Backstops non-profit partners at every stage.</w:t>
            </w:r>
          </w:p>
        </w:tc>
      </w:tr>
    </w:tbl>
    <w:p>
      <w:pPr>
        <w:spacing w:before="160" w:after="160" w:line="324" w:lineRule="auto"/>
        <w:jc w:val="left"/>
      </w:pPr>
    </w:p>
    <w:p>
      <w:pPr>
        <w:spacing w:before="280" w:after="120"/>
      </w:pPr>
      <w:r>
        <w:rPr>
          <w:rFonts w:ascii="Georgia" w:hAnsi="Georgia"/>
          <w:b/>
          <w:i w:val="0"/>
          <w:color w:val="C89344"/>
          <w:sz w:val="24"/>
        </w:rPr>
        <w:t>Coordinate, don't compete</w:t>
      </w:r>
    </w:p>
    <w:p>
      <w:pPr>
        <w:spacing w:before="0" w:after="160" w:line="336" w:lineRule="auto"/>
        <w:jc w:val="both"/>
      </w:pPr>
      <w:r>
        <w:rPr>
          <w:rFonts w:ascii="Georgia" w:hAnsi="Georgia"/>
          <w:b w:val="0"/>
          <w:i w:val="0"/>
          <w:color w:val="161210"/>
          <w:sz w:val="20"/>
        </w:rPr>
        <w:t>Ubuntu LTD's role is intentionally narrow. The platform builds and deploys the structures that let the Common Ground mechanic replicate across many sites simultaneously, with community-based non-profits as the permanent owners. The value proposition for a non-profit partner is compelling: owning a $15–55M asset with $0 equity contribution, receiving 40% of income annually, and achieving full ownership at Year 20. Demand from non-profit partners already exceeds the supply of structured deals.</w:t>
      </w:r>
    </w:p>
    <w:p>
      <w:r>
        <w:br w:type="page"/>
      </w:r>
    </w:p>
    <w:p>
      <w:pPr>
        <w:spacing w:before="400" w:after="120" w:line="324" w:lineRule="auto"/>
        <w:jc w:val="left"/>
      </w:pPr>
    </w:p>
    <w:p>
      <w:pPr>
        <w:spacing w:before="200" w:after="360"/>
      </w:pPr>
      <w:r>
        <w:rPr>
          <w:rFonts w:ascii="Consolas" w:hAnsi="Consolas"/>
          <w:b/>
          <w:i w:val="0"/>
          <w:color w:val="C89344"/>
          <w:sz w:val="22"/>
        </w:rPr>
        <w:t xml:space="preserve">08  ·  </w:t>
      </w:r>
      <w:r>
        <w:rPr>
          <w:rFonts w:ascii="Georgia" w:hAnsi="Georgia"/>
          <w:b w:val="0"/>
          <w:i w:val="0"/>
          <w:color w:val="161210"/>
          <w:sz w:val="48"/>
        </w:rPr>
        <w:t>The Delivery Ecosystem — Who Is Behind This</w:t>
      </w:r>
    </w:p>
    <w:p>
      <w:pPr>
        <w:spacing w:before="0" w:after="160" w:line="336" w:lineRule="auto"/>
        <w:jc w:val="both"/>
      </w:pPr>
      <w:r>
        <w:rPr>
          <w:rFonts w:ascii="Georgia" w:hAnsi="Georgia"/>
          <w:b w:val="0"/>
          <w:i w:val="0"/>
          <w:color w:val="161210"/>
          <w:sz w:val="20"/>
        </w:rPr>
        <w:t>A platform is only as strong as the partners who deliver it. This section names the development partners, capital partners, non-profit operators, landowners, and the Ubuntu LTD Board and Executive that stand behind the Common Ground Initiative.</w:t>
      </w:r>
    </w:p>
    <w:p>
      <w:pPr>
        <w:spacing w:before="0" w:after="160" w:line="336" w:lineRule="auto"/>
        <w:jc w:val="both"/>
      </w:pPr>
      <w:r>
        <w:rPr>
          <w:rFonts w:ascii="Georgia" w:hAnsi="Georgia"/>
          <w:b w:val="0"/>
          <w:i w:val="0"/>
          <w:color w:val="161210"/>
          <w:sz w:val="20"/>
        </w:rPr>
        <w:t>Ubuntu LTD does not build alone. It is the coordinator at the centre of an established ecosystem of construction, capital, operating, and landowner partners — each contributing the capability that makes permanent affordable housing executable at scale.</w:t>
      </w:r>
    </w:p>
    <w:p>
      <w:pPr>
        <w:spacing w:before="280" w:after="120"/>
      </w:pPr>
      <w:r>
        <w:rPr>
          <w:rFonts w:ascii="Georgia" w:hAnsi="Georgia"/>
          <w:b/>
          <w:i w:val="0"/>
          <w:color w:val="C89344"/>
          <w:sz w:val="24"/>
        </w:rPr>
        <w:t>Development &amp; construction partners</w:t>
      </w:r>
    </w:p>
    <w:tbl>
      <w:tblPr>
        <w:tblW w:type="auto" w:w="0"/>
        <w:tblLook w:firstColumn="1" w:firstRow="1" w:lastColumn="0" w:lastRow="0" w:noHBand="0" w:noVBand="1" w:val="04A0"/>
      </w:tblPr>
      <w:tblGrid>
        <w:gridCol w:w="9066"/>
      </w:tblGrid>
      <w:tr>
        <w:tc>
          <w:tcPr>
            <w:tcW w:type="dxa" w:w="9066"/>
            <w:shd w:val="clear" w:color="auto" w:fill="fbf3da"/>
            <w:tcBorders>
              <w:top w:sz="4" w:val="single" w:color="C89344"/>
              <w:left w:sz="18" w:val="single" w:color="C89344"/>
              <w:bottom w:sz="4" w:val="single" w:color="C89344"/>
              <w:right w:sz="4" w:val="single" w:color="C89344"/>
            </w:tcBorders>
          </w:tcPr>
          <w:p>
            <w:pPr>
              <w:spacing w:after="80"/>
            </w:pPr>
            <w:r>
              <w:rPr>
                <w:rFonts w:ascii="Consolas" w:hAnsi="Consolas"/>
                <w:b/>
                <w:i w:val="0"/>
                <w:color w:val="C89344"/>
                <w:sz w:val="16"/>
              </w:rPr>
              <w:t>CUBE BUILDING SYSTEMS  ·  CONSTRUCTION</w:t>
            </w:r>
          </w:p>
          <w:p>
            <w:pPr>
              <w:spacing w:after="80" w:line="336" w:lineRule="auto"/>
            </w:pPr>
            <w:r>
              <w:rPr>
                <w:rFonts w:ascii="Georgia" w:hAnsi="Georgia"/>
                <w:b w:val="0"/>
                <w:i w:val="0"/>
                <w:color w:val="161210"/>
                <w:sz w:val="20"/>
              </w:rPr>
              <w:t>Modular prefab construction  ·  Brampton, Ontario</w:t>
            </w:r>
          </w:p>
          <w:p>
            <w:pPr>
              <w:spacing w:after="80" w:line="336" w:lineRule="auto"/>
            </w:pPr>
            <w:r>
              <w:rPr>
                <w:rFonts w:ascii="Georgia" w:hAnsi="Georgia"/>
                <w:b w:val="0"/>
                <w:i w:val="0"/>
                <w:color w:val="161210"/>
                <w:sz w:val="20"/>
              </w:rPr>
              <w:t>Operates a 100,000-square-foot modular prefab factory in Brampton with a Canadian-based supplier focus. Delivers fixed-price contracts, 50% performance bonds, schedule guarantees, and two-year warranties — achieving roughly +/–3% budget variance against the +/–15–25% typical of traditional construction.</w:t>
            </w:r>
          </w:p>
          <w:p>
            <w:pPr>
              <w:spacing w:after="80" w:line="336" w:lineRule="auto"/>
            </w:pPr>
            <w:r>
              <w:rPr>
                <w:rFonts w:ascii="Georgia" w:hAnsi="Georgia"/>
                <w:b w:val="0"/>
                <w:i w:val="0"/>
                <w:color w:val="161210"/>
                <w:sz w:val="20"/>
              </w:rPr>
              <w:t>Role: Primary modular construction partner — fixed-price delivery and cost certainty across the pipeline.</w:t>
            </w:r>
          </w:p>
        </w:tc>
      </w:tr>
    </w:tbl>
    <w:p>
      <w:pPr>
        <w:spacing w:before="160" w:after="160" w:line="324" w:lineRule="auto"/>
        <w:jc w:val="left"/>
      </w:pPr>
    </w:p>
    <w:tbl>
      <w:tblPr>
        <w:tblW w:type="auto" w:w="0"/>
        <w:tblLook w:firstColumn="1" w:firstRow="1" w:lastColumn="0" w:lastRow="0" w:noHBand="0" w:noVBand="1" w:val="04A0"/>
      </w:tblPr>
      <w:tblGrid>
        <w:gridCol w:w="9066"/>
      </w:tblGrid>
      <w:tr>
        <w:tc>
          <w:tcPr>
            <w:tcW w:type="dxa" w:w="9066"/>
            <w:shd w:val="clear" w:color="auto" w:fill="fbf3da"/>
            <w:tcBorders>
              <w:top w:sz="4" w:val="single" w:color="C89344"/>
              <w:left w:sz="18" w:val="single" w:color="C89344"/>
              <w:bottom w:sz="4" w:val="single" w:color="C89344"/>
              <w:right w:sz="4" w:val="single" w:color="C89344"/>
            </w:tcBorders>
          </w:tcPr>
          <w:p>
            <w:pPr>
              <w:spacing w:after="80"/>
            </w:pPr>
            <w:r>
              <w:rPr>
                <w:rFonts w:ascii="Consolas" w:hAnsi="Consolas"/>
                <w:b/>
                <w:i w:val="0"/>
                <w:color w:val="C89344"/>
                <w:sz w:val="16"/>
              </w:rPr>
              <w:t>KORE  ·  CONSTRUCTION</w:t>
            </w:r>
          </w:p>
          <w:p>
            <w:pPr>
              <w:spacing w:after="80" w:line="336" w:lineRule="auto"/>
            </w:pPr>
            <w:r>
              <w:rPr>
                <w:rFonts w:ascii="Georgia" w:hAnsi="Georgia"/>
                <w:b w:val="0"/>
                <w:i w:val="0"/>
                <w:color w:val="161210"/>
                <w:sz w:val="20"/>
              </w:rPr>
              <w:t>Construction &amp; builder partner</w:t>
            </w:r>
          </w:p>
          <w:p>
            <w:pPr>
              <w:spacing w:after="80" w:line="336" w:lineRule="auto"/>
            </w:pPr>
            <w:r>
              <w:rPr>
                <w:rFonts w:ascii="Georgia" w:hAnsi="Georgia"/>
                <w:b w:val="0"/>
                <w:i w:val="0"/>
                <w:color w:val="161210"/>
                <w:sz w:val="20"/>
              </w:rPr>
              <w:t>A construction and builder partner active across Ubuntu LTD's Build Canada Homes development pipeline. Brings hands-on builder capacity, trade coordination, and site-delivery experience to projects alongside the modular prefab programme.</w:t>
            </w:r>
          </w:p>
          <w:p>
            <w:pPr>
              <w:spacing w:after="80" w:line="336" w:lineRule="auto"/>
            </w:pPr>
            <w:r>
              <w:rPr>
                <w:rFonts w:ascii="Georgia" w:hAnsi="Georgia"/>
                <w:b w:val="0"/>
                <w:i w:val="0"/>
                <w:color w:val="161210"/>
                <w:sz w:val="20"/>
              </w:rPr>
              <w:t>Role: Builder partner — site delivery, trade coordination, and construction execution.</w:t>
            </w:r>
          </w:p>
        </w:tc>
      </w:tr>
    </w:tbl>
    <w:p>
      <w:pPr>
        <w:spacing w:before="160" w:after="160" w:line="324" w:lineRule="auto"/>
        <w:jc w:val="left"/>
      </w:pPr>
    </w:p>
    <w:p>
      <w:pPr>
        <w:spacing w:before="280" w:after="120"/>
      </w:pPr>
      <w:r>
        <w:rPr>
          <w:rFonts w:ascii="Georgia" w:hAnsi="Georgia"/>
          <w:b/>
          <w:i w:val="0"/>
          <w:color w:val="C89344"/>
          <w:sz w:val="24"/>
        </w:rPr>
        <w:t>Capital partners</w:t>
      </w:r>
    </w:p>
    <w:p>
      <w:pPr>
        <w:spacing w:before="0" w:after="160" w:line="336" w:lineRule="auto"/>
        <w:jc w:val="both"/>
      </w:pPr>
      <w:r>
        <w:rPr>
          <w:rFonts w:ascii="Georgia" w:hAnsi="Georgia"/>
          <w:b w:val="0"/>
          <w:i w:val="0"/>
          <w:color w:val="161210"/>
          <w:sz w:val="20"/>
        </w:rPr>
        <w:t>The capital stack is assembled with established institutional partners: CMHC-approved lenders provide the 50% MLI Select insured mortgage; Build Canada Homes supplies the 40% forgivable loan; and a community-bond offering — designed during the Tranche-1 platform build-out — broadens participation and supplies flexible capital alongside the federal programmes. Municipal partners contribute development-charge waivers and property-tax relief that strengthen each project's stack.</w:t>
      </w:r>
    </w:p>
    <w:p>
      <w:pPr>
        <w:spacing w:before="280" w:after="120"/>
      </w:pPr>
      <w:r>
        <w:rPr>
          <w:rFonts w:ascii="Georgia" w:hAnsi="Georgia"/>
          <w:b/>
          <w:i w:val="0"/>
          <w:color w:val="C89344"/>
          <w:sz w:val="24"/>
        </w:rPr>
        <w:t>Non-profit operator network</w:t>
      </w:r>
    </w:p>
    <w:p>
      <w:pPr>
        <w:spacing w:before="0" w:after="160" w:line="336" w:lineRule="auto"/>
        <w:jc w:val="both"/>
      </w:pPr>
      <w:r>
        <w:rPr>
          <w:rFonts w:ascii="Georgia" w:hAnsi="Georgia"/>
          <w:b w:val="0"/>
          <w:i w:val="0"/>
          <w:color w:val="161210"/>
          <w:sz w:val="20"/>
        </w:rPr>
        <w:t>Northpine funds operators, not buildings. The platform is built around community-based non-profits that take 100% title and operate the housing permanently. Two co-founding operator partners anchor the network — both deeply rooted in African-Canadian community capacity:</w:t>
      </w:r>
    </w:p>
    <w:tbl>
      <w:tblPr>
        <w:tblW w:type="auto" w:w="0"/>
        <w:tblLook w:firstColumn="1" w:firstRow="1" w:lastColumn="0" w:lastRow="0" w:noHBand="0" w:noVBand="1" w:val="04A0"/>
      </w:tblPr>
      <w:tblGrid>
        <w:gridCol w:w="9066"/>
      </w:tblGrid>
      <w:tr>
        <w:tc>
          <w:tcPr>
            <w:tcW w:type="dxa" w:w="9066"/>
            <w:shd w:val="clear" w:color="auto" w:fill="fbf3da"/>
            <w:tcBorders>
              <w:top w:sz="4" w:val="single" w:color="C89344"/>
              <w:left w:sz="18" w:val="single" w:color="C89344"/>
              <w:bottom w:sz="4" w:val="single" w:color="C89344"/>
              <w:right w:sz="4" w:val="single" w:color="C89344"/>
            </w:tcBorders>
          </w:tcPr>
          <w:p>
            <w:pPr>
              <w:spacing w:after="80"/>
            </w:pPr>
            <w:r>
              <w:rPr>
                <w:rFonts w:ascii="Consolas" w:hAnsi="Consolas"/>
                <w:b/>
                <w:i w:val="0"/>
                <w:color w:val="C89344"/>
                <w:sz w:val="16"/>
              </w:rPr>
              <w:t>RWANDAN CANADIAN HEALING CENTRE (RCHC)  ·  CO-FOUNDING OPERATOR</w:t>
            </w:r>
          </w:p>
          <w:p>
            <w:pPr>
              <w:spacing w:after="80" w:line="336" w:lineRule="auto"/>
            </w:pPr>
            <w:r>
              <w:rPr>
                <w:rFonts w:ascii="Georgia" w:hAnsi="Georgia"/>
                <w:b w:val="0"/>
                <w:i w:val="0"/>
                <w:color w:val="161210"/>
                <w:sz w:val="20"/>
              </w:rPr>
              <w:t>Co-founder of Ubuntu LTD  ·  refugee operator</w:t>
            </w:r>
          </w:p>
          <w:p>
            <w:pPr>
              <w:spacing w:after="80" w:line="336" w:lineRule="auto"/>
            </w:pPr>
            <w:r>
              <w:rPr>
                <w:rFonts w:ascii="Georgia" w:hAnsi="Georgia"/>
                <w:b w:val="0"/>
                <w:i w:val="0"/>
                <w:color w:val="161210"/>
                <w:sz w:val="20"/>
              </w:rPr>
              <w:t>A co-founder of Ubuntu LTD and one of the organisations that developed the original African Canadian Affordable Housing (ACAH) Village model through CMHC's Solutions Lab. RCHC currently operates 12 housing units serving African refugees with comprehensive wraparound services — settlement support, trauma-informed care, language training, and employment readiness — with a clear pathway to expand dramatically through the Ubuntu pipeline.</w:t>
            </w:r>
          </w:p>
          <w:p>
            <w:pPr>
              <w:spacing w:after="80" w:line="336" w:lineRule="auto"/>
            </w:pPr>
            <w:r>
              <w:rPr>
                <w:rFonts w:ascii="Georgia" w:hAnsi="Georgia"/>
                <w:b w:val="0"/>
                <w:i w:val="0"/>
                <w:color w:val="161210"/>
                <w:sz w:val="20"/>
              </w:rPr>
              <w:t>Role: Founding non-profit partner and refugee-focused operator across the platform.</w:t>
            </w:r>
          </w:p>
        </w:tc>
      </w:tr>
    </w:tbl>
    <w:p>
      <w:pPr>
        <w:spacing w:before="160" w:after="160" w:line="324" w:lineRule="auto"/>
        <w:jc w:val="left"/>
      </w:pPr>
    </w:p>
    <w:tbl>
      <w:tblPr>
        <w:tblW w:type="auto" w:w="0"/>
        <w:tblLook w:firstColumn="1" w:firstRow="1" w:lastColumn="0" w:lastRow="0" w:noHBand="0" w:noVBand="1" w:val="04A0"/>
      </w:tblPr>
      <w:tblGrid>
        <w:gridCol w:w="9066"/>
      </w:tblGrid>
      <w:tr>
        <w:tc>
          <w:tcPr>
            <w:tcW w:type="dxa" w:w="9066"/>
            <w:shd w:val="clear" w:color="auto" w:fill="fbf3da"/>
            <w:tcBorders>
              <w:top w:sz="4" w:val="single" w:color="C89344"/>
              <w:left w:sz="18" w:val="single" w:color="C89344"/>
              <w:bottom w:sz="4" w:val="single" w:color="C89344"/>
              <w:right w:sz="4" w:val="single" w:color="C89344"/>
            </w:tcBorders>
          </w:tcPr>
          <w:p>
            <w:pPr>
              <w:spacing w:after="80"/>
            </w:pPr>
            <w:r>
              <w:rPr>
                <w:rFonts w:ascii="Consolas" w:hAnsi="Consolas"/>
                <w:b/>
                <w:i w:val="0"/>
                <w:color w:val="C89344"/>
                <w:sz w:val="16"/>
              </w:rPr>
              <w:t>NEW NAKFA (ERITREAN COMMUNITY NETWORK)  ·  CO-FOUNDING OPERATOR</w:t>
            </w:r>
          </w:p>
          <w:p>
            <w:pPr>
              <w:spacing w:after="80" w:line="336" w:lineRule="auto"/>
            </w:pPr>
            <w:r>
              <w:rPr>
                <w:rFonts w:ascii="Georgia" w:hAnsi="Georgia"/>
                <w:b w:val="0"/>
                <w:i w:val="0"/>
                <w:color w:val="161210"/>
                <w:sz w:val="20"/>
              </w:rPr>
              <w:t>Chaired by Ubuntu LTD MD Jonathan Okubay  ·  African-Canadian community operator</w:t>
            </w:r>
          </w:p>
          <w:p>
            <w:pPr>
              <w:spacing w:after="80" w:line="336" w:lineRule="auto"/>
            </w:pPr>
            <w:r>
              <w:rPr>
                <w:rFonts w:ascii="Georgia" w:hAnsi="Georgia"/>
                <w:b w:val="0"/>
                <w:i w:val="0"/>
                <w:color w:val="161210"/>
                <w:sz w:val="20"/>
              </w:rPr>
              <w:t>A community-based non-profit serving the Eritrean and broader African-Canadian community in Toronto. New Nakfa brings community governance experience, settlement-services capacity, and a direct line into African-Canadian housing demand — mirroring RCHC's role for African refugee populations and extending the platform's reach across a complementary diaspora community.</w:t>
            </w:r>
          </w:p>
          <w:p>
            <w:pPr>
              <w:spacing w:after="80" w:line="336" w:lineRule="auto"/>
            </w:pPr>
            <w:r>
              <w:rPr>
                <w:rFonts w:ascii="Georgia" w:hAnsi="Georgia"/>
                <w:b w:val="0"/>
                <w:i w:val="0"/>
                <w:color w:val="161210"/>
                <w:sz w:val="20"/>
              </w:rPr>
              <w:t>Role: Co-founding non-profit operator partner across the platform.</w:t>
            </w:r>
          </w:p>
        </w:tc>
      </w:tr>
    </w:tbl>
    <w:p>
      <w:pPr>
        <w:spacing w:before="160" w:after="160" w:line="324" w:lineRule="auto"/>
        <w:jc w:val="left"/>
      </w:pPr>
    </w:p>
    <w:p>
      <w:pPr>
        <w:spacing w:before="0" w:after="160" w:line="336" w:lineRule="auto"/>
        <w:jc w:val="both"/>
      </w:pPr>
      <w:r>
        <w:rPr>
          <w:rFonts w:ascii="Georgia" w:hAnsi="Georgia"/>
          <w:b w:val="0"/>
          <w:i w:val="0"/>
          <w:color w:val="161210"/>
          <w:sz w:val="20"/>
        </w:rPr>
        <w:t>Beyond these two co-founding partners, the platform draws on a widening network of community-rooted non-profit operators, each bringing its own community mandate, service relationships, and operating capacity:</w:t>
      </w:r>
    </w:p>
    <w:p>
      <w:pPr>
        <w:spacing w:after="120" w:line="324" w:lineRule="auto"/>
        <w:ind w:left="454"/>
      </w:pPr>
      <w:r>
        <w:rPr>
          <w:rFonts w:ascii="Georgia" w:hAnsi="Georgia"/>
          <w:b/>
          <w:i w:val="0"/>
          <w:color w:val="161210"/>
          <w:sz w:val="21"/>
        </w:rPr>
        <w:t xml:space="preserve">WoodGreen Community Services  ·  </w:t>
      </w:r>
      <w:r>
        <w:rPr>
          <w:rFonts w:ascii="Georgia" w:hAnsi="Georgia"/>
          <w:b w:val="0"/>
          <w:i w:val="0"/>
          <w:color w:val="3A2D22"/>
          <w:sz w:val="20"/>
        </w:rPr>
        <w:t>One of Toronto's largest social service organisations, with deep experience in affordable and supportive housing delivery.</w:t>
      </w:r>
    </w:p>
    <w:p>
      <w:pPr>
        <w:spacing w:after="120" w:line="324" w:lineRule="auto"/>
        <w:ind w:left="454"/>
      </w:pPr>
      <w:r>
        <w:rPr>
          <w:rFonts w:ascii="Georgia" w:hAnsi="Georgia"/>
          <w:b/>
          <w:i w:val="0"/>
          <w:color w:val="161210"/>
          <w:sz w:val="21"/>
        </w:rPr>
        <w:t xml:space="preserve">St. Clair's  ·  </w:t>
      </w:r>
      <w:r>
        <w:rPr>
          <w:rFonts w:ascii="Georgia" w:hAnsi="Georgia"/>
          <w:b w:val="0"/>
          <w:i w:val="0"/>
          <w:color w:val="3A2D22"/>
          <w:sz w:val="20"/>
        </w:rPr>
        <w:t>Community housing and services operator with established Toronto-area programmes.</w:t>
      </w:r>
    </w:p>
    <w:p>
      <w:pPr>
        <w:spacing w:after="120" w:line="324" w:lineRule="auto"/>
        <w:ind w:left="454"/>
      </w:pPr>
      <w:r>
        <w:rPr>
          <w:rFonts w:ascii="Georgia" w:hAnsi="Georgia"/>
          <w:b/>
          <w:i w:val="0"/>
          <w:color w:val="161210"/>
          <w:sz w:val="21"/>
        </w:rPr>
        <w:t xml:space="preserve">North American Muslim Foundation (NAMF)  ·  </w:t>
      </w:r>
      <w:r>
        <w:rPr>
          <w:rFonts w:ascii="Georgia" w:hAnsi="Georgia"/>
          <w:b w:val="0"/>
          <w:i w:val="0"/>
          <w:color w:val="3A2D22"/>
          <w:sz w:val="20"/>
        </w:rPr>
        <w:t>Operator and titleholder of the 4140 Finch Avenue East Cultural Centre project (profiled in Section 11 and Addendum A).</w:t>
      </w:r>
    </w:p>
    <w:p>
      <w:pPr>
        <w:spacing w:after="120" w:line="324" w:lineRule="auto"/>
        <w:ind w:left="454"/>
      </w:pPr>
      <w:r>
        <w:rPr>
          <w:rFonts w:ascii="Georgia" w:hAnsi="Georgia"/>
          <w:b/>
          <w:i w:val="0"/>
          <w:color w:val="161210"/>
          <w:sz w:val="21"/>
        </w:rPr>
        <w:t xml:space="preserve">Our Greenway Conservancy  ·  </w:t>
      </w:r>
      <w:r>
        <w:rPr>
          <w:rFonts w:ascii="Georgia" w:hAnsi="Georgia"/>
          <w:b w:val="0"/>
          <w:i w:val="0"/>
          <w:color w:val="3A2D22"/>
          <w:sz w:val="20"/>
        </w:rPr>
        <w:t>Proposed operator of the 2008 Brimley Road family-housing pilot in Scarborough.</w:t>
      </w:r>
    </w:p>
    <w:p>
      <w:pPr>
        <w:spacing w:after="120" w:line="324" w:lineRule="auto"/>
        <w:ind w:left="454"/>
      </w:pPr>
      <w:r>
        <w:rPr>
          <w:rFonts w:ascii="Georgia" w:hAnsi="Georgia"/>
          <w:b/>
          <w:i w:val="0"/>
          <w:color w:val="161210"/>
          <w:sz w:val="21"/>
        </w:rPr>
        <w:t xml:space="preserve">Tropicana Community Services  ·  </w:t>
      </w:r>
      <w:r>
        <w:rPr>
          <w:rFonts w:ascii="Georgia" w:hAnsi="Georgia"/>
          <w:b w:val="0"/>
          <w:i w:val="0"/>
          <w:color w:val="3A2D22"/>
          <w:sz w:val="20"/>
        </w:rPr>
        <w:t>Scarborough-rooted community organisation serving Black and Caribbean families across the region.</w:t>
      </w:r>
    </w:p>
    <w:p>
      <w:pPr>
        <w:spacing w:before="0" w:after="160" w:line="336" w:lineRule="auto"/>
        <w:jc w:val="both"/>
      </w:pPr>
      <w:r>
        <w:rPr>
          <w:rFonts w:ascii="Georgia" w:hAnsi="Georgia"/>
          <w:b w:val="0"/>
          <w:i w:val="0"/>
          <w:color w:val="161210"/>
          <w:sz w:val="20"/>
        </w:rPr>
        <w:t>Each operator takes 100% title from day one of occupancy and acquires the land, fee simple, at Year 20.</w:t>
      </w:r>
    </w:p>
    <w:p>
      <w:pPr>
        <w:spacing w:before="280" w:after="120"/>
      </w:pPr>
      <w:r>
        <w:rPr>
          <w:rFonts w:ascii="Georgia" w:hAnsi="Georgia"/>
          <w:b/>
          <w:i w:val="0"/>
          <w:color w:val="C89344"/>
          <w:sz w:val="24"/>
        </w:rPr>
        <w:t>The landowner network</w:t>
      </w:r>
    </w:p>
    <w:p>
      <w:pPr>
        <w:spacing w:before="0" w:after="160" w:line="336" w:lineRule="auto"/>
        <w:jc w:val="both"/>
      </w:pPr>
      <w:r>
        <w:rPr>
          <w:rFonts w:ascii="Georgia" w:hAnsi="Georgia"/>
          <w:b w:val="0"/>
          <w:i w:val="0"/>
          <w:color w:val="161210"/>
          <w:sz w:val="20"/>
        </w:rPr>
        <w:t>Ubuntu LTD has assembled 18 sites secured with binding agreements or Letters of Intent — sophisticated private landowners who have chosen the Common Ground Initiative over traditional development for the capital-efficiency reasons set out in Section 5. The pipeline is growing at roughly 2.75 new sites per month. Landowners are recruited, structured, and tied to the platform through the Land Activation function described in Section 7.</w:t>
      </w:r>
    </w:p>
    <w:p>
      <w:pPr>
        <w:spacing w:before="280" w:after="120"/>
      </w:pPr>
      <w:r>
        <w:rPr>
          <w:rFonts w:ascii="Georgia" w:hAnsi="Georgia"/>
          <w:b/>
          <w:i w:val="0"/>
          <w:color w:val="C89344"/>
          <w:sz w:val="24"/>
        </w:rPr>
        <w:t>Ubuntu LTD — Board of Directors</w:t>
      </w:r>
    </w:p>
    <w:p>
      <w:pPr>
        <w:spacing w:before="0" w:after="160" w:line="336" w:lineRule="auto"/>
        <w:jc w:val="both"/>
      </w:pPr>
      <w:r>
        <w:rPr>
          <w:rFonts w:ascii="Georgia" w:hAnsi="Georgia"/>
          <w:b w:val="0"/>
          <w:i w:val="0"/>
          <w:color w:val="161210"/>
          <w:sz w:val="20"/>
        </w:rPr>
        <w:t>The Board provides strategic oversight, fiduciary responsibility, and accountability to public-interest outcomes. Ubuntu LTD is governed by a Black-led Board with deep experience in housing systems, refugee settlement, ecosystem leadership, and trusted community institutions.</w:t>
      </w:r>
    </w:p>
    <w:p>
      <w:pPr>
        <w:spacing w:before="160" w:after="40"/>
      </w:pPr>
      <w:r>
        <w:rPr>
          <w:rFonts w:ascii="Georgia" w:hAnsi="Georgia"/>
          <w:b/>
          <w:i w:val="0"/>
          <w:color w:val="161210"/>
          <w:sz w:val="24"/>
        </w:rPr>
        <w:t>Kemi Jacobs</w:t>
      </w:r>
      <w:r>
        <w:rPr>
          <w:rFonts w:ascii="Consolas" w:hAnsi="Consolas"/>
          <w:b w:val="0"/>
          <w:i w:val="0"/>
          <w:color w:val="C89344"/>
          <w:sz w:val="18"/>
        </w:rPr>
        <w:t xml:space="preserve">   ·   Director</w:t>
      </w:r>
    </w:p>
    <w:p>
      <w:pPr>
        <w:spacing w:before="0" w:after="160" w:line="336" w:lineRule="auto"/>
        <w:jc w:val="both"/>
      </w:pPr>
      <w:r>
        <w:rPr>
          <w:rFonts w:ascii="Georgia" w:hAnsi="Georgia"/>
          <w:b w:val="0"/>
          <w:i w:val="0"/>
          <w:color w:val="161210"/>
          <w:sz w:val="20"/>
        </w:rPr>
        <w:t>Over 30 years of senior leadership across non-profit and public sectors. Past roles include Director of Housing at Toronto Community Housing, Executive Director of CultureLink Settlement Services and Delta Family Resource Centre, President of the Canadian Council for Refugees, and Chair of the National Anti-Racism Council of Canada.</w:t>
      </w:r>
    </w:p>
    <w:p>
      <w:pPr>
        <w:spacing w:before="160" w:after="40"/>
      </w:pPr>
      <w:r>
        <w:rPr>
          <w:rFonts w:ascii="Georgia" w:hAnsi="Georgia"/>
          <w:b/>
          <w:i w:val="0"/>
          <w:color w:val="161210"/>
          <w:sz w:val="24"/>
        </w:rPr>
        <w:t>Amanuel Melles</w:t>
      </w:r>
      <w:r>
        <w:rPr>
          <w:rFonts w:ascii="Consolas" w:hAnsi="Consolas"/>
          <w:b w:val="0"/>
          <w:i w:val="0"/>
          <w:color w:val="C89344"/>
          <w:sz w:val="18"/>
        </w:rPr>
        <w:t xml:space="preserve">   ·   Director</w:t>
      </w:r>
    </w:p>
    <w:p>
      <w:pPr>
        <w:spacing w:before="0" w:after="160" w:line="336" w:lineRule="auto"/>
        <w:jc w:val="both"/>
      </w:pPr>
      <w:r>
        <w:rPr>
          <w:rFonts w:ascii="Georgia" w:hAnsi="Georgia"/>
          <w:b w:val="0"/>
          <w:i w:val="0"/>
          <w:color w:val="161210"/>
          <w:sz w:val="20"/>
        </w:rPr>
        <w:t>Executive Director of the Network for the Advancement of Black Communities (NABC). Nationally recognised ecosystem and policy leader. Prior senior leadership at United Way Toronto, Family Service Toronto, Ontario Council of Agencies Serving Immigrants, and New Heights Community Health Centre.</w:t>
      </w:r>
    </w:p>
    <w:p>
      <w:pPr>
        <w:spacing w:before="160" w:after="40"/>
      </w:pPr>
      <w:r>
        <w:rPr>
          <w:rFonts w:ascii="Georgia" w:hAnsi="Georgia"/>
          <w:b/>
          <w:i w:val="0"/>
          <w:color w:val="161210"/>
          <w:sz w:val="24"/>
        </w:rPr>
        <w:t>Nadine Miller</w:t>
      </w:r>
      <w:r>
        <w:rPr>
          <w:rFonts w:ascii="Consolas" w:hAnsi="Consolas"/>
          <w:b w:val="0"/>
          <w:i w:val="0"/>
          <w:color w:val="C89344"/>
          <w:sz w:val="18"/>
        </w:rPr>
        <w:t xml:space="preserve">   ·   Director</w:t>
      </w:r>
    </w:p>
    <w:p>
      <w:pPr>
        <w:spacing w:before="0" w:after="160" w:line="336" w:lineRule="auto"/>
        <w:jc w:val="both"/>
      </w:pPr>
      <w:r>
        <w:rPr>
          <w:rFonts w:ascii="Georgia" w:hAnsi="Georgia"/>
          <w:b w:val="0"/>
          <w:i w:val="0"/>
          <w:color w:val="161210"/>
          <w:sz w:val="20"/>
        </w:rPr>
        <w:t>Senior community leader and organisational executive with experience in faith-based leadership, governance, and community stewardship. Executive Director of Pilgrim's Feast Tabernacle Church, where she oversees organisational leadership, program delivery, and community engagement — managing governance structures, operational teams, and community-focused initiatives serving families and vulnerable populations through pastoral care, outreach, and social programming. Her leadership emphasises ethical governance, accountability, and long-term institutional sustainability. As a Director of Ubuntu LTD, Nadine contributes values-based leadership, governance insight, and a deep understanding of community dynamics essential to inclusive and sustainable housing initiatives.</w:t>
      </w:r>
    </w:p>
    <w:p>
      <w:pPr>
        <w:spacing w:before="280" w:after="120"/>
      </w:pPr>
      <w:r>
        <w:rPr>
          <w:rFonts w:ascii="Georgia" w:hAnsi="Georgia"/>
          <w:b/>
          <w:i w:val="0"/>
          <w:color w:val="C89344"/>
          <w:sz w:val="24"/>
        </w:rPr>
        <w:t>Ubuntu LTD — Executive Management</w:t>
      </w:r>
    </w:p>
    <w:p>
      <w:pPr>
        <w:spacing w:before="0" w:after="160" w:line="336" w:lineRule="auto"/>
        <w:jc w:val="both"/>
      </w:pPr>
      <w:r>
        <w:rPr>
          <w:rFonts w:ascii="Georgia" w:hAnsi="Georgia"/>
          <w:b w:val="0"/>
          <w:i w:val="0"/>
          <w:color w:val="161210"/>
          <w:sz w:val="20"/>
        </w:rPr>
        <w:t>The Executive team is responsible for organisational leadership, platform execution, partnership coordination, and operational accountability.</w:t>
      </w:r>
    </w:p>
    <w:p>
      <w:pPr>
        <w:spacing w:before="160" w:after="40"/>
      </w:pPr>
      <w:r>
        <w:rPr>
          <w:rFonts w:ascii="Georgia" w:hAnsi="Georgia"/>
          <w:b/>
          <w:i w:val="0"/>
          <w:color w:val="161210"/>
          <w:sz w:val="24"/>
        </w:rPr>
        <w:t>Kizito Musabimana</w:t>
      </w:r>
      <w:r>
        <w:rPr>
          <w:rFonts w:ascii="Consolas" w:hAnsi="Consolas"/>
          <w:b w:val="0"/>
          <w:i w:val="0"/>
          <w:color w:val="C89344"/>
          <w:sz w:val="18"/>
        </w:rPr>
        <w:t xml:space="preserve">   ·   Chief Executive Officer</w:t>
      </w:r>
    </w:p>
    <w:p>
      <w:pPr>
        <w:spacing w:before="0" w:after="160" w:line="336" w:lineRule="auto"/>
        <w:jc w:val="both"/>
      </w:pPr>
      <w:r>
        <w:rPr>
          <w:rFonts w:ascii="Georgia" w:hAnsi="Georgia"/>
          <w:b w:val="0"/>
          <w:i w:val="0"/>
          <w:color w:val="161210"/>
          <w:sz w:val="20"/>
        </w:rPr>
        <w:t>Founder and Executive Director of the Rwandan Canadian Healing Centre (RCHC). At RCHC, Kizito led the creation of the African Canadian Affordable Housing (ACAH) Village — a CMHC-funded initiative that established the foundational partnerships and delivery logic that evolved into the Ubuntu platform. As CEO, Kizito oversees organisational leadership, operational execution, and ecosystem coordination.</w:t>
      </w:r>
    </w:p>
    <w:p>
      <w:pPr>
        <w:spacing w:before="160" w:after="40"/>
      </w:pPr>
      <w:r>
        <w:rPr>
          <w:rFonts w:ascii="Georgia" w:hAnsi="Georgia"/>
          <w:b/>
          <w:i w:val="0"/>
          <w:color w:val="161210"/>
          <w:sz w:val="24"/>
        </w:rPr>
        <w:t>Jonathan Okubay</w:t>
      </w:r>
      <w:r>
        <w:rPr>
          <w:rFonts w:ascii="Consolas" w:hAnsi="Consolas"/>
          <w:b w:val="0"/>
          <w:i w:val="0"/>
          <w:color w:val="C89344"/>
          <w:sz w:val="18"/>
        </w:rPr>
        <w:t xml:space="preserve">   ·   Managing Director</w:t>
      </w:r>
    </w:p>
    <w:p>
      <w:pPr>
        <w:spacing w:before="0" w:after="160" w:line="336" w:lineRule="auto"/>
        <w:jc w:val="both"/>
      </w:pPr>
      <w:r>
        <w:rPr>
          <w:rFonts w:ascii="Georgia" w:hAnsi="Georgia"/>
          <w:b w:val="0"/>
          <w:i w:val="0"/>
          <w:color w:val="161210"/>
          <w:sz w:val="20"/>
        </w:rPr>
        <w:t>Principal architect of the platform model. Brings experience in real estate development strategy, construction management, financial structuring, and institutional partnerships. Also Chair of the Eritrean Community Network (operating as New Nakfa). Leads platform design, strategic partnerships, capital alignment, and institutional readiness.</w:t>
      </w:r>
    </w:p>
    <w:p>
      <w:pPr>
        <w:spacing w:before="280" w:after="120"/>
      </w:pPr>
      <w:r>
        <w:rPr>
          <w:rFonts w:ascii="Georgia" w:hAnsi="Georgia"/>
          <w:b/>
          <w:i w:val="0"/>
          <w:color w:val="C89344"/>
          <w:sz w:val="24"/>
        </w:rPr>
        <w:t>Advisory &amp; professional services</w:t>
      </w:r>
    </w:p>
    <w:p>
      <w:pPr>
        <w:spacing w:before="0" w:after="160" w:line="336" w:lineRule="auto"/>
        <w:jc w:val="both"/>
      </w:pPr>
      <w:r>
        <w:rPr>
          <w:rFonts w:ascii="Georgia" w:hAnsi="Georgia"/>
          <w:b w:val="0"/>
          <w:i w:val="0"/>
          <w:color w:val="161210"/>
          <w:sz w:val="20"/>
        </w:rPr>
        <w:t>Ubuntu LTD's projects are delivered with the support of an established team of development, design, construction, planning, legal, finance, and public-affairs professionals. Each project draws on the specialists best suited to its scale, typology, and regulatory context — providing the depth of expertise that mitigates execution risk and complements internal capacity.</w:t>
      </w:r>
    </w:p>
    <w:p>
      <w:pPr>
        <w:spacing w:before="0" w:after="160" w:line="336" w:lineRule="auto"/>
        <w:jc w:val="both"/>
      </w:pPr>
      <w:r>
        <w:rPr>
          <w:rFonts w:ascii="Georgia" w:hAnsi="Georgia"/>
          <w:b w:val="0"/>
          <w:i w:val="0"/>
          <w:color w:val="161210"/>
          <w:sz w:val="20"/>
        </w:rPr>
        <w:t>The named professionals below lead specialist functions across the pipeline — bringing decades of GTA development experience and projects already delivered or under construction at scale:</w:t>
      </w:r>
    </w:p>
    <w:p>
      <w:pPr>
        <w:spacing w:before="160" w:after="40"/>
      </w:pPr>
      <w:r>
        <w:rPr>
          <w:rFonts w:ascii="Georgia" w:hAnsi="Georgia"/>
          <w:b/>
          <w:i w:val="0"/>
          <w:color w:val="161210"/>
          <w:sz w:val="24"/>
        </w:rPr>
        <w:t>Joseph Cordiano</w:t>
      </w:r>
      <w:r>
        <w:rPr>
          <w:rFonts w:ascii="Consolas" w:hAnsi="Consolas"/>
          <w:b w:val="0"/>
          <w:i w:val="0"/>
          <w:color w:val="C89344"/>
          <w:sz w:val="18"/>
        </w:rPr>
        <w:t xml:space="preserve">   ·   Lead developer (4140 Finch · P20)  ·  Cityzen Development Group</w:t>
      </w:r>
    </w:p>
    <w:p>
      <w:pPr>
        <w:spacing w:before="0" w:after="160" w:line="336" w:lineRule="auto"/>
        <w:jc w:val="both"/>
      </w:pPr>
      <w:r>
        <w:rPr>
          <w:rFonts w:ascii="Georgia" w:hAnsi="Georgia"/>
          <w:b w:val="0"/>
          <w:i w:val="0"/>
          <w:color w:val="161210"/>
          <w:sz w:val="20"/>
        </w:rPr>
        <w:t>Founding partner of Cityzen Development Group and former Minister of Economic Development and Trade for Ontario. At Cityzen, Joseph has led sales, marketing, and new business development across the GTA portfolio since joining as a principal in 2006. Notable Cityzen projects include the L Tower at Yonge and The Esplanade, Pier 27 on Toronto's waterfront, Backstage Condos (36 storeys), and the D'or Condominiums at 878 Yonge — partnerships including with internationally recognised architects such as Daniel Libeskind. Brings public-sector and policy fluency, GTA development depth, and a record of public-private partnership delivery to the 4140 Finch Cultural Centre.</w:t>
      </w:r>
    </w:p>
    <w:p>
      <w:pPr>
        <w:spacing w:before="160" w:after="40"/>
      </w:pPr>
      <w:r>
        <w:rPr>
          <w:rFonts w:ascii="Georgia" w:hAnsi="Georgia"/>
          <w:b/>
          <w:i w:val="0"/>
          <w:color w:val="161210"/>
          <w:sz w:val="24"/>
        </w:rPr>
        <w:t>Roy Varacalli</w:t>
      </w:r>
      <w:r>
        <w:rPr>
          <w:rFonts w:ascii="Consolas" w:hAnsi="Consolas"/>
          <w:b w:val="0"/>
          <w:i w:val="0"/>
          <w:color w:val="C89344"/>
          <w:sz w:val="18"/>
        </w:rPr>
        <w:t xml:space="preserve">   ·   Architect (4140 Finch · P20)  ·  r. Varacalli Architect Inc. · Architect/Partner, Bazis</w:t>
      </w:r>
    </w:p>
    <w:p>
      <w:pPr>
        <w:spacing w:before="0" w:after="160" w:line="336" w:lineRule="auto"/>
        <w:jc w:val="both"/>
      </w:pPr>
      <w:r>
        <w:rPr>
          <w:rFonts w:ascii="Georgia" w:hAnsi="Georgia"/>
          <w:b w:val="0"/>
          <w:i w:val="0"/>
          <w:color w:val="161210"/>
          <w:sz w:val="20"/>
        </w:rPr>
        <w:t>Principal of r. Varacalli Architect Inc. and Architect / Partner at Bazis. Notable Toronto projects include Exhibit Residences (32-storey condo at Yonge and Bloor with rotated stacked slabs), E Condos (mixed-use mid-town towers at Yonge and Eglinton), 1 Yorkville (heritage restoration interlaced with new architecture), Emerald Park (mixed-use city-block development in North York), and 750 Mt Pleasant (35-storey mixed-use at Davisville). Lead architect on the 4140 Finch Cultural Centre.</w:t>
      </w:r>
    </w:p>
    <w:p>
      <w:pPr>
        <w:spacing w:before="160" w:after="40"/>
      </w:pPr>
      <w:r>
        <w:rPr>
          <w:rFonts w:ascii="Georgia" w:hAnsi="Georgia"/>
          <w:b/>
          <w:i w:val="0"/>
          <w:color w:val="161210"/>
          <w:sz w:val="24"/>
        </w:rPr>
        <w:t>Darren Vella</w:t>
      </w:r>
      <w:r>
        <w:rPr>
          <w:rFonts w:ascii="Consolas" w:hAnsi="Consolas"/>
          <w:b w:val="0"/>
          <w:i w:val="0"/>
          <w:color w:val="C89344"/>
          <w:sz w:val="18"/>
        </w:rPr>
        <w:t xml:space="preserve">   ·   Planning &amp; municipal execution  ·  IPS Consulting · MCIP, RPP</w:t>
      </w:r>
    </w:p>
    <w:p>
      <w:pPr>
        <w:spacing w:before="0" w:after="160" w:line="336" w:lineRule="auto"/>
        <w:jc w:val="both"/>
      </w:pPr>
      <w:r>
        <w:rPr>
          <w:rFonts w:ascii="Georgia" w:hAnsi="Georgia"/>
          <w:b w:val="0"/>
          <w:i w:val="0"/>
          <w:color w:val="161210"/>
          <w:sz w:val="20"/>
        </w:rPr>
        <w:t>President and Director of Planning at IPS Consulting (Innovative Planning Solutions) in Barrie. 25 years of land-planning experience. Past and active planning consultant on Barrie sites including the Veterans Drive and Mapleview Drive corridors. Across the Ubuntu LTD pipeline — including 844 Veterans Drive (Launchpad, 78 units) and Mapleview Drive (46 units) — Darren leads land planning, zoning approvals, and municipal execution.</w:t>
      </w:r>
    </w:p>
    <w:p>
      <w:pPr>
        <w:spacing w:before="160" w:after="40"/>
      </w:pPr>
      <w:r>
        <w:rPr>
          <w:rFonts w:ascii="Georgia" w:hAnsi="Georgia"/>
          <w:b/>
          <w:i w:val="0"/>
          <w:color w:val="161210"/>
          <w:sz w:val="24"/>
        </w:rPr>
        <w:t>Justin Bahou</w:t>
      </w:r>
      <w:r>
        <w:rPr>
          <w:rFonts w:ascii="Consolas" w:hAnsi="Consolas"/>
          <w:b w:val="0"/>
          <w:i w:val="0"/>
          <w:color w:val="C89344"/>
          <w:sz w:val="18"/>
        </w:rPr>
        <w:t xml:space="preserve">   ·   CEO, Cube Building Systems</w:t>
      </w:r>
    </w:p>
    <w:p>
      <w:pPr>
        <w:spacing w:before="0" w:after="160" w:line="336" w:lineRule="auto"/>
        <w:jc w:val="both"/>
      </w:pPr>
      <w:r>
        <w:rPr>
          <w:rFonts w:ascii="Georgia" w:hAnsi="Georgia"/>
          <w:b w:val="0"/>
          <w:i w:val="0"/>
          <w:color w:val="161210"/>
          <w:sz w:val="20"/>
        </w:rPr>
        <w:t>Operates Ubuntu LTD's modular construction partner. Cube Building Systems runs a 100,000-square-foot prefab facility at 79 Bramsteele Road, Brampton, with a full product range — cold-formed steel, lumber panelisation, timber-hybrid, concrete hybrid, modular bath pods, and prefinished facades — capable of buildings up to eleven storeys. Cube also operates one of Ontario's first prefabrication training programmes (CUBE Tech, supported by the Ontario Skills Development Fund). Flagship Cube project currently in active delivery: Greenhouse Living at 1925 Victoria Park Avenue in Scarborough — a family-first rental community by Well Grounded Real Estate, with sustainable design features and a central courtyard, leasing in 2027. Across the Ubuntu LTD pipeline, Justin leads the partnership relationship and pre-development integration.</w:t>
      </w:r>
    </w:p>
    <w:p>
      <w:pPr>
        <w:spacing w:before="160" w:after="40"/>
      </w:pPr>
      <w:r>
        <w:rPr>
          <w:rFonts w:ascii="Georgia" w:hAnsi="Georgia"/>
          <w:b/>
          <w:i w:val="0"/>
          <w:color w:val="161210"/>
          <w:sz w:val="24"/>
        </w:rPr>
        <w:t>Jason Allen-John</w:t>
      </w:r>
      <w:r>
        <w:rPr>
          <w:rFonts w:ascii="Consolas" w:hAnsi="Consolas"/>
          <w:b w:val="0"/>
          <w:i w:val="0"/>
          <w:color w:val="C89344"/>
          <w:sz w:val="18"/>
        </w:rPr>
        <w:t xml:space="preserve">   ·   Development Consultant &amp; Strategic Partner  ·  Mortgage broker · CMHC financing specialist</w:t>
      </w:r>
    </w:p>
    <w:p>
      <w:pPr>
        <w:spacing w:before="0" w:after="160" w:line="336" w:lineRule="auto"/>
        <w:jc w:val="both"/>
      </w:pPr>
      <w:r>
        <w:rPr>
          <w:rFonts w:ascii="Georgia" w:hAnsi="Georgia"/>
          <w:b w:val="0"/>
          <w:i w:val="0"/>
          <w:color w:val="161210"/>
          <w:sz w:val="20"/>
        </w:rPr>
        <w:t>Real-estate finance professional with a background in banking and financial services. Leads project structuring, financial strategy, feasibility analysis, and CMHC capital alignment across the pipeline.</w:t>
      </w:r>
    </w:p>
    <w:p>
      <w:pPr>
        <w:spacing w:before="160" w:after="40"/>
      </w:pPr>
      <w:r>
        <w:rPr>
          <w:rFonts w:ascii="Georgia" w:hAnsi="Georgia"/>
          <w:b/>
          <w:i w:val="0"/>
          <w:color w:val="161210"/>
          <w:sz w:val="24"/>
        </w:rPr>
        <w:t>John Fox</w:t>
      </w:r>
      <w:r>
        <w:rPr>
          <w:rFonts w:ascii="Consolas" w:hAnsi="Consolas"/>
          <w:b w:val="0"/>
          <w:i w:val="0"/>
          <w:color w:val="C89344"/>
          <w:sz w:val="18"/>
        </w:rPr>
        <w:t xml:space="preserve">   ·   Counsel, Robins Appleby LLP</w:t>
      </w:r>
    </w:p>
    <w:p>
      <w:pPr>
        <w:spacing w:before="0" w:after="160" w:line="336" w:lineRule="auto"/>
        <w:jc w:val="both"/>
      </w:pPr>
      <w:r>
        <w:rPr>
          <w:rFonts w:ascii="Georgia" w:hAnsi="Georgia"/>
          <w:b w:val="0"/>
          <w:i w:val="0"/>
          <w:color w:val="161210"/>
          <w:sz w:val="20"/>
        </w:rPr>
        <w:t>External counsel. Responsible for the legal architecture of every project — SPV formation, ground-lease structuring, affordability covenants, and CMHC-compliant documentation.</w:t>
      </w:r>
    </w:p>
    <w:p>
      <w:pPr>
        <w:spacing w:before="160" w:after="40"/>
      </w:pPr>
      <w:r>
        <w:rPr>
          <w:rFonts w:ascii="Georgia" w:hAnsi="Georgia"/>
          <w:b/>
          <w:i w:val="0"/>
          <w:color w:val="161210"/>
          <w:sz w:val="24"/>
        </w:rPr>
        <w:t>Ryan Adams</w:t>
      </w:r>
      <w:r>
        <w:rPr>
          <w:rFonts w:ascii="Consolas" w:hAnsi="Consolas"/>
          <w:b w:val="0"/>
          <w:i w:val="0"/>
          <w:color w:val="C89344"/>
          <w:sz w:val="18"/>
        </w:rPr>
        <w:t xml:space="preserve">   ·   Public affairs, Wellington DuPont Group</w:t>
      </w:r>
    </w:p>
    <w:p>
      <w:pPr>
        <w:spacing w:before="0" w:after="160" w:line="336" w:lineRule="auto"/>
        <w:jc w:val="both"/>
      </w:pPr>
      <w:r>
        <w:rPr>
          <w:rFonts w:ascii="Georgia" w:hAnsi="Georgia"/>
          <w:b w:val="0"/>
          <w:i w:val="0"/>
          <w:color w:val="161210"/>
          <w:sz w:val="20"/>
        </w:rPr>
        <w:t>Government relations and stakeholder engagement across federal, provincial, and municipal channels — packaging submissions, advancing approvals, and supporting institutional partnerships.</w:t>
      </w:r>
    </w:p>
    <w:p>
      <w:pPr>
        <w:spacing w:before="0" w:after="160" w:line="336" w:lineRule="auto"/>
        <w:jc w:val="both"/>
      </w:pPr>
      <w:r>
        <w:rPr>
          <w:rFonts w:ascii="Georgia" w:hAnsi="Georgia"/>
          <w:b w:val="0"/>
          <w:i w:val="0"/>
          <w:color w:val="161210"/>
          <w:sz w:val="20"/>
        </w:rPr>
        <w:t>Joseph Cordiano and Roy Varacalli's combined experience alone covers more than 50 years in development, design, and construction, with oversight of over $5 billion in completed housing projects across the GTA and internationally. NAMF also plans to engage a non-profit property-management organisation to oversee the affordable housing units once delivered, ensuring operational efficiency and long-term sustainability.</w:t>
      </w:r>
    </w:p>
    <w:p>
      <w:r>
        <w:br w:type="page"/>
      </w:r>
    </w:p>
    <w:p>
      <w:pPr>
        <w:spacing w:before="400" w:after="120" w:line="324" w:lineRule="auto"/>
        <w:jc w:val="left"/>
      </w:pPr>
    </w:p>
    <w:p>
      <w:pPr>
        <w:spacing w:before="200" w:after="360"/>
      </w:pPr>
      <w:r>
        <w:rPr>
          <w:rFonts w:ascii="Consolas" w:hAnsi="Consolas"/>
          <w:b/>
          <w:i w:val="0"/>
          <w:color w:val="C89344"/>
          <w:sz w:val="22"/>
        </w:rPr>
        <w:t xml:space="preserve">09  ·  </w:t>
      </w:r>
      <w:r>
        <w:rPr>
          <w:rFonts w:ascii="Georgia" w:hAnsi="Georgia"/>
          <w:b w:val="0"/>
          <w:i w:val="0"/>
          <w:color w:val="161210"/>
          <w:sz w:val="48"/>
        </w:rPr>
        <w:t>Who This Reaches</w:t>
      </w:r>
    </w:p>
    <w:p>
      <w:pPr>
        <w:spacing w:before="0" w:after="160" w:line="336" w:lineRule="auto"/>
        <w:jc w:val="both"/>
      </w:pPr>
      <w:r>
        <w:rPr>
          <w:rFonts w:ascii="Georgia" w:hAnsi="Georgia"/>
          <w:b w:val="0"/>
          <w:i w:val="0"/>
          <w:color w:val="161210"/>
          <w:sz w:val="20"/>
        </w:rPr>
        <w:t>Ubuntu LTD sets the affordability conditions — targeting 20 to 30% affordable homes per project, above standard inclusionary-zoning requirements, depending on what individual pro formas allow.</w:t>
      </w:r>
    </w:p>
    <w:p>
      <w:pPr>
        <w:spacing w:before="0" w:after="160" w:line="336" w:lineRule="auto"/>
        <w:jc w:val="both"/>
      </w:pPr>
      <w:r>
        <w:rPr>
          <w:rFonts w:ascii="Georgia" w:hAnsi="Georgia"/>
          <w:b w:val="0"/>
          <w:i w:val="0"/>
          <w:color w:val="161210"/>
          <w:sz w:val="20"/>
        </w:rPr>
        <w:t>The non-profit partners who participate in the Common Ground Initiative bring their own community mandates and service relationships. The populations below reflect who those partners serve — and who benefits as a result of the model being deployed.</w:t>
      </w:r>
    </w:p>
    <w:tbl>
      <w:tblPr>
        <w:tblW w:type="auto" w:w="0"/>
        <w:jc w:val="center"/>
        <w:tblLayout w:type="fixed"/>
        <w:tblLook w:firstColumn="1" w:firstRow="1" w:lastColumn="0" w:lastRow="0" w:noHBand="0" w:noVBand="1" w:val="04A0"/>
      </w:tblPr>
      <w:tblGrid>
        <w:gridCol w:w="4533"/>
        <w:gridCol w:w="4533"/>
      </w:tblGrid>
      <w:tr>
        <w:tc>
          <w:tcPr>
            <w:tcW w:type="dxa" w:w="2551"/>
            <w:shd w:val="clear" w:color="auto" w:fill="1f1612"/>
            <w:vAlign w:val="center"/>
          </w:tcPr>
          <w:p>
            <w:pPr>
              <w:spacing w:before="80" w:after="80"/>
            </w:pPr>
            <w:r>
              <w:rPr>
                <w:rFonts w:ascii="Consolas" w:hAnsi="Consolas"/>
                <w:b/>
                <w:color w:val="EBDFC4"/>
                <w:sz w:val="16"/>
              </w:rPr>
              <w:t>Population</w:t>
            </w:r>
          </w:p>
        </w:tc>
        <w:tc>
          <w:tcPr>
            <w:tcW w:type="dxa" w:w="6520"/>
            <w:shd w:val="clear" w:color="auto" w:fill="1f1612"/>
            <w:vAlign w:val="center"/>
          </w:tcPr>
          <w:p>
            <w:pPr>
              <w:spacing w:before="80" w:after="80"/>
            </w:pPr>
            <w:r>
              <w:rPr>
                <w:rFonts w:ascii="Consolas" w:hAnsi="Consolas"/>
                <w:b/>
                <w:color w:val="EBDFC4"/>
                <w:sz w:val="16"/>
              </w:rPr>
              <w:t>How non-profit partners serve them</w:t>
            </w:r>
          </w:p>
        </w:tc>
      </w:tr>
      <w:tr>
        <w:tc>
          <w:tcPr>
            <w:tcW w:type="dxa" w:w="2551"/>
            <w:vAlign w:val="top"/>
            <w:tcBorders>
              <w:bottom w:sz="4" w:val="single" w:color="CDC1A8"/>
            </w:tcBorders>
          </w:tcPr>
          <w:p>
            <w:pPr>
              <w:spacing w:before="80" w:after="80" w:line="324" w:lineRule="auto"/>
            </w:pPr>
            <w:r>
              <w:rPr>
                <w:rFonts w:ascii="Georgia" w:hAnsi="Georgia"/>
                <w:color w:val="161210"/>
                <w:sz w:val="18"/>
              </w:rPr>
              <w:t>Refugees &amp; Newcomers</w:t>
            </w:r>
          </w:p>
        </w:tc>
        <w:tc>
          <w:tcPr>
            <w:tcW w:type="dxa" w:w="6520"/>
            <w:vAlign w:val="top"/>
            <w:tcBorders>
              <w:bottom w:sz="4" w:val="single" w:color="CDC1A8"/>
            </w:tcBorders>
          </w:tcPr>
          <w:p>
            <w:pPr>
              <w:spacing w:before="80" w:after="80" w:line="324" w:lineRule="auto"/>
            </w:pPr>
            <w:r>
              <w:rPr>
                <w:rFonts w:ascii="Georgia" w:hAnsi="Georgia"/>
                <w:color w:val="161210"/>
                <w:sz w:val="18"/>
              </w:rPr>
              <w:t>Partners such as RCHC bring direct mandates to serve refugee and newcomer populations, with integrated settlement support, trauma-informed care, language training, and employment readiness. The platform provides a pathway to expand that capacity dramatically under permanent non-profit ownership.</w:t>
            </w:r>
          </w:p>
        </w:tc>
      </w:tr>
      <w:tr>
        <w:tc>
          <w:tcPr>
            <w:tcW w:type="dxa" w:w="2551"/>
            <w:vAlign w:val="top"/>
            <w:tcBorders>
              <w:bottom w:sz="4" w:val="single" w:color="CDC1A8"/>
            </w:tcBorders>
          </w:tcPr>
          <w:p>
            <w:pPr>
              <w:spacing w:before="80" w:after="80" w:line="324" w:lineRule="auto"/>
            </w:pPr>
            <w:r>
              <w:rPr>
                <w:rFonts w:ascii="Georgia" w:hAnsi="Georgia"/>
                <w:color w:val="161210"/>
                <w:sz w:val="18"/>
              </w:rPr>
              <w:t>Deeply Affordable (social assistance)</w:t>
            </w:r>
          </w:p>
        </w:tc>
        <w:tc>
          <w:tcPr>
            <w:tcW w:type="dxa" w:w="6520"/>
            <w:vAlign w:val="top"/>
            <w:tcBorders>
              <w:bottom w:sz="4" w:val="single" w:color="CDC1A8"/>
            </w:tcBorders>
          </w:tcPr>
          <w:p>
            <w:pPr>
              <w:spacing w:before="80" w:after="80" w:line="324" w:lineRule="auto"/>
            </w:pPr>
            <w:r>
              <w:rPr>
                <w:rFonts w:ascii="Georgia" w:hAnsi="Georgia"/>
                <w:color w:val="161210"/>
                <w:sz w:val="18"/>
              </w:rPr>
              <w:t>Ubuntu LTD targets 20–30% affordable homes per project. Partners serving households on social assistance, people exiting shelters, and those at the edge of homelessness can direct their unit allocation to the deepest affordability tiers their operating model supports.</w:t>
            </w:r>
          </w:p>
        </w:tc>
      </w:tr>
      <w:tr>
        <w:tc>
          <w:tcPr>
            <w:tcW w:type="dxa" w:w="2551"/>
            <w:vAlign w:val="top"/>
            <w:tcBorders>
              <w:bottom w:sz="4" w:val="single" w:color="CDC1A8"/>
            </w:tcBorders>
          </w:tcPr>
          <w:p>
            <w:pPr>
              <w:spacing w:before="80" w:after="80" w:line="324" w:lineRule="auto"/>
            </w:pPr>
            <w:r>
              <w:rPr>
                <w:rFonts w:ascii="Georgia" w:hAnsi="Georgia"/>
                <w:color w:val="161210"/>
                <w:sz w:val="18"/>
              </w:rPr>
              <w:t>Seniors (aging in place)</w:t>
            </w:r>
          </w:p>
        </w:tc>
        <w:tc>
          <w:tcPr>
            <w:tcW w:type="dxa" w:w="6520"/>
            <w:vAlign w:val="top"/>
            <w:tcBorders>
              <w:bottom w:sz="4" w:val="single" w:color="CDC1A8"/>
            </w:tcBorders>
          </w:tcPr>
          <w:p>
            <w:pPr>
              <w:spacing w:before="80" w:after="80" w:line="324" w:lineRule="auto"/>
            </w:pPr>
            <w:r>
              <w:rPr>
                <w:rFonts w:ascii="Georgia" w:hAnsi="Georgia"/>
                <w:color w:val="161210"/>
                <w:sz w:val="18"/>
              </w:rPr>
              <w:t>Partners with mandates to serve older adults deploy units with universal-design standards built in. Permanently affordable tenure reduces the displacement risk that pushes seniors into premature reliance on long-term care. The Listowel Launchpad site (49 units / 88 beds) is a purpose-built seniors residence.</w:t>
            </w:r>
          </w:p>
        </w:tc>
      </w:tr>
      <w:tr>
        <w:tc>
          <w:tcPr>
            <w:tcW w:type="dxa" w:w="2551"/>
            <w:vAlign w:val="top"/>
            <w:tcBorders>
              <w:bottom w:sz="4" w:val="single" w:color="CDC1A8"/>
            </w:tcBorders>
          </w:tcPr>
          <w:p>
            <w:pPr>
              <w:spacing w:before="80" w:after="80" w:line="324" w:lineRule="auto"/>
            </w:pPr>
            <w:r>
              <w:rPr>
                <w:rFonts w:ascii="Georgia" w:hAnsi="Georgia"/>
                <w:color w:val="161210"/>
                <w:sz w:val="18"/>
              </w:rPr>
              <w:t>Black &amp; Racialised Households</w:t>
            </w:r>
          </w:p>
        </w:tc>
        <w:tc>
          <w:tcPr>
            <w:tcW w:type="dxa" w:w="6520"/>
            <w:vAlign w:val="top"/>
            <w:tcBorders>
              <w:bottom w:sz="4" w:val="single" w:color="CDC1A8"/>
            </w:tcBorders>
          </w:tcPr>
          <w:p>
            <w:pPr>
              <w:spacing w:before="80" w:after="80" w:line="324" w:lineRule="auto"/>
            </w:pPr>
            <w:r>
              <w:rPr>
                <w:rFonts w:ascii="Georgia" w:hAnsi="Georgia"/>
                <w:color w:val="161210"/>
                <w:sz w:val="18"/>
              </w:rPr>
              <w:t>Ubuntu LTD is Black-led and built on the ACAH Village model developed with CMHC. Partners with mandates serving Black and racialised households bring those community relationships directly into the model — extending economic participation to employment and contracting on the projects themselves.</w:t>
            </w:r>
          </w:p>
        </w:tc>
      </w:tr>
      <w:tr>
        <w:tc>
          <w:tcPr>
            <w:tcW w:type="dxa" w:w="2551"/>
            <w:vAlign w:val="top"/>
            <w:tcBorders>
              <w:bottom w:sz="4" w:val="single" w:color="CDC1A8"/>
            </w:tcBorders>
          </w:tcPr>
          <w:p>
            <w:pPr>
              <w:spacing w:before="80" w:after="80" w:line="324" w:lineRule="auto"/>
            </w:pPr>
            <w:r>
              <w:rPr>
                <w:rFonts w:ascii="Georgia" w:hAnsi="Georgia"/>
                <w:color w:val="161210"/>
                <w:sz w:val="18"/>
              </w:rPr>
              <w:t>Women &amp; Children Fleeing Violence</w:t>
            </w:r>
          </w:p>
        </w:tc>
        <w:tc>
          <w:tcPr>
            <w:tcW w:type="dxa" w:w="6520"/>
            <w:vAlign w:val="top"/>
            <w:tcBorders>
              <w:bottom w:sz="4" w:val="single" w:color="CDC1A8"/>
            </w:tcBorders>
          </w:tcPr>
          <w:p>
            <w:pPr>
              <w:spacing w:before="80" w:after="80" w:line="324" w:lineRule="auto"/>
            </w:pPr>
            <w:r>
              <w:rPr>
                <w:rFonts w:ascii="Georgia" w:hAnsi="Georgia"/>
                <w:color w:val="161210"/>
                <w:sz w:val="18"/>
              </w:rPr>
              <w:t>Partners serving women and children fleeing domestic violence bring those service models into the Common Ground structure. Permanent affordability and non-profit ownership provide the tenure stability that transitional and supportive housing for this population requires.</w:t>
            </w:r>
          </w:p>
        </w:tc>
      </w:tr>
    </w:tbl>
    <w:p>
      <w:pPr>
        <w:spacing w:before="160" w:after="160" w:line="324" w:lineRule="auto"/>
        <w:jc w:val="left"/>
      </w:pPr>
    </w:p>
    <w:tbl>
      <w:tblPr>
        <w:tblW w:type="auto" w:w="0"/>
        <w:tblLook w:firstColumn="1" w:firstRow="1" w:lastColumn="0" w:lastRow="0" w:noHBand="0" w:noVBand="1" w:val="04A0"/>
      </w:tblPr>
      <w:tblGrid>
        <w:gridCol w:w="9066"/>
      </w:tblGrid>
      <w:tr>
        <w:tc>
          <w:tcPr>
            <w:tcW w:type="dxa" w:w="9066"/>
            <w:shd w:val="clear" w:color="auto" w:fill="fbf3da"/>
            <w:tcBorders>
              <w:top w:sz="4" w:val="single" w:color="C89344"/>
              <w:left w:sz="18" w:val="single" w:color="C89344"/>
              <w:bottom w:sz="4" w:val="single" w:color="C89344"/>
              <w:right w:sz="4" w:val="single" w:color="C89344"/>
            </w:tcBorders>
          </w:tcPr>
          <w:p>
            <w:pPr>
              <w:spacing w:after="80"/>
            </w:pPr>
            <w:r>
              <w:rPr>
                <w:rFonts w:ascii="Consolas" w:hAnsi="Consolas"/>
                <w:b/>
                <w:i w:val="0"/>
                <w:color w:val="C89344"/>
                <w:sz w:val="16"/>
              </w:rPr>
              <w:t>THE RCHC CONNECTION — WHY THIS MATTERS FOR NORTHPINE'S REFUGEE PORTFOLIO</w:t>
            </w:r>
          </w:p>
          <w:p>
            <w:pPr>
              <w:spacing w:after="80" w:line="336" w:lineRule="auto"/>
            </w:pPr>
            <w:r>
              <w:rPr>
                <w:rFonts w:ascii="Georgia" w:hAnsi="Georgia"/>
                <w:b w:val="0"/>
                <w:i w:val="0"/>
                <w:color w:val="161210"/>
                <w:sz w:val="20"/>
              </w:rPr>
              <w:t>The Rwandan Canadian Healing Centre is a co-founder of Ubuntu LTD and helped develop the original ACAH Village model through CMHC's Solutions Lab. It currently operates 12 housing units serving African refugees with comprehensive wraparound services.</w:t>
            </w:r>
          </w:p>
          <w:p>
            <w:pPr>
              <w:spacing w:after="80" w:line="336" w:lineRule="auto"/>
            </w:pPr>
            <w:r>
              <w:rPr>
                <w:rFonts w:ascii="Georgia" w:hAnsi="Georgia"/>
                <w:b w:val="0"/>
                <w:i w:val="0"/>
                <w:color w:val="161210"/>
                <w:sz w:val="20"/>
              </w:rPr>
              <w:t>Through Ubuntu LTD, RCHC's reach grows dramatically — giving refugee families access to permanently affordable, culturally grounded housing with built-in settlement support, health services, and community infrastructure. This is a direct multiplier on Northpine's existing investments in refugee well-being.</w:t>
            </w:r>
          </w:p>
        </w:tc>
      </w:tr>
    </w:tbl>
    <w:p>
      <w:pPr>
        <w:spacing w:before="160" w:after="160" w:line="324" w:lineRule="auto"/>
        <w:jc w:val="left"/>
      </w:pPr>
    </w:p>
    <w:p>
      <w:r>
        <w:br w:type="page"/>
      </w:r>
    </w:p>
    <w:p>
      <w:pPr>
        <w:spacing w:before="400" w:after="120" w:line="324" w:lineRule="auto"/>
        <w:jc w:val="left"/>
      </w:pPr>
    </w:p>
    <w:p>
      <w:pPr>
        <w:spacing w:before="200" w:after="360"/>
      </w:pPr>
      <w:r>
        <w:rPr>
          <w:rFonts w:ascii="Consolas" w:hAnsi="Consolas"/>
          <w:b/>
          <w:i w:val="0"/>
          <w:color w:val="C89344"/>
          <w:sz w:val="22"/>
        </w:rPr>
        <w:t xml:space="preserve">10  ·  </w:t>
      </w:r>
      <w:r>
        <w:rPr>
          <w:rFonts w:ascii="Georgia" w:hAnsi="Georgia"/>
          <w:b w:val="0"/>
          <w:i w:val="0"/>
          <w:color w:val="161210"/>
          <w:sz w:val="48"/>
        </w:rPr>
        <w:t>The National Pipeline</w:t>
      </w:r>
    </w:p>
    <w:p>
      <w:pPr>
        <w:spacing w:before="0" w:after="160" w:line="336" w:lineRule="auto"/>
        <w:jc w:val="both"/>
      </w:pPr>
      <w:r>
        <w:rPr>
          <w:rFonts w:ascii="Georgia" w:hAnsi="Georgia"/>
          <w:b w:val="0"/>
          <w:i w:val="0"/>
          <w:color w:val="161210"/>
          <w:sz w:val="20"/>
        </w:rPr>
        <w:t>Ubuntu LTD has assembled a secured pipeline of 5,623 homes across 21 entitled sites, with binding agreements or Letters of Intent on every project. The four-site Launchpad cohort — 906 homes — breaks ground in 2026.</w:t>
      </w:r>
    </w:p>
    <w:tbl>
      <w:tblPr>
        <w:tblW w:type="auto" w:w="0"/>
        <w:jc w:val="center"/>
        <w:tblLayout w:type="fixed"/>
        <w:tblLook w:firstColumn="1" w:firstRow="1" w:lastColumn="0" w:lastRow="0" w:noHBand="0" w:noVBand="1" w:val="04A0"/>
      </w:tblPr>
      <w:tblGrid>
        <w:gridCol w:w="4533"/>
        <w:gridCol w:w="4533"/>
      </w:tblGrid>
      <w:tr>
        <w:tc>
          <w:tcPr>
            <w:tcW w:type="dxa" w:w="6803"/>
            <w:shd w:val="clear" w:color="auto" w:fill="1f1612"/>
            <w:vAlign w:val="center"/>
          </w:tcPr>
          <w:p>
            <w:pPr>
              <w:spacing w:before="80" w:after="80"/>
            </w:pPr>
            <w:r>
              <w:rPr>
                <w:rFonts w:ascii="Consolas" w:hAnsi="Consolas"/>
                <w:b/>
                <w:color w:val="EBDFC4"/>
                <w:sz w:val="16"/>
              </w:rPr>
              <w:t>Pipeline at a glance</w:t>
            </w:r>
          </w:p>
        </w:tc>
        <w:tc>
          <w:tcPr>
            <w:tcW w:type="dxa" w:w="2268"/>
            <w:shd w:val="clear" w:color="auto" w:fill="1f1612"/>
            <w:vAlign w:val="center"/>
          </w:tcPr>
          <w:p>
            <w:pPr>
              <w:spacing w:before="80" w:after="80"/>
            </w:pPr>
            <w:r>
              <w:rPr>
                <w:rFonts w:ascii="Consolas" w:hAnsi="Consolas"/>
                <w:b/>
                <w:color w:val="EBDFC4"/>
                <w:sz w:val="16"/>
              </w:rPr>
              <w:t>Scale</w:t>
            </w:r>
          </w:p>
        </w:tc>
      </w:tr>
      <w:tr>
        <w:tc>
          <w:tcPr>
            <w:tcW w:type="dxa" w:w="6803"/>
            <w:vAlign w:val="top"/>
            <w:tcBorders>
              <w:bottom w:sz="4" w:val="single" w:color="CDC1A8"/>
            </w:tcBorders>
          </w:tcPr>
          <w:p>
            <w:pPr>
              <w:spacing w:before="80" w:after="80" w:line="324" w:lineRule="auto"/>
            </w:pPr>
            <w:r>
              <w:rPr>
                <w:rFonts w:ascii="Georgia" w:hAnsi="Georgia"/>
                <w:color w:val="161210"/>
                <w:sz w:val="18"/>
              </w:rPr>
              <w:t>Sites secured (binding agreement or LOI)</w:t>
            </w:r>
          </w:p>
        </w:tc>
        <w:tc>
          <w:tcPr>
            <w:tcW w:type="dxa" w:w="2268"/>
            <w:vAlign w:val="top"/>
            <w:tcBorders>
              <w:bottom w:sz="4" w:val="single" w:color="CDC1A8"/>
            </w:tcBorders>
          </w:tcPr>
          <w:p>
            <w:pPr>
              <w:spacing w:before="80" w:after="80" w:line="324" w:lineRule="auto"/>
            </w:pPr>
            <w:r>
              <w:rPr>
                <w:rFonts w:ascii="Georgia" w:hAnsi="Georgia"/>
                <w:color w:val="161210"/>
                <w:sz w:val="18"/>
              </w:rPr>
              <w:t>21</w:t>
            </w:r>
          </w:p>
        </w:tc>
      </w:tr>
      <w:tr>
        <w:tc>
          <w:tcPr>
            <w:tcW w:type="dxa" w:w="6803"/>
            <w:vAlign w:val="top"/>
            <w:tcBorders>
              <w:bottom w:sz="4" w:val="single" w:color="CDC1A8"/>
            </w:tcBorders>
          </w:tcPr>
          <w:p>
            <w:pPr>
              <w:spacing w:before="80" w:after="80" w:line="324" w:lineRule="auto"/>
            </w:pPr>
            <w:r>
              <w:rPr>
                <w:rFonts w:ascii="Georgia" w:hAnsi="Georgia"/>
                <w:color w:val="161210"/>
                <w:sz w:val="18"/>
              </w:rPr>
              <w:t>Homes in pipeline</w:t>
            </w:r>
          </w:p>
        </w:tc>
        <w:tc>
          <w:tcPr>
            <w:tcW w:type="dxa" w:w="2268"/>
            <w:vAlign w:val="top"/>
            <w:tcBorders>
              <w:bottom w:sz="4" w:val="single" w:color="CDC1A8"/>
            </w:tcBorders>
          </w:tcPr>
          <w:p>
            <w:pPr>
              <w:spacing w:before="80" w:after="80" w:line="324" w:lineRule="auto"/>
            </w:pPr>
            <w:r>
              <w:rPr>
                <w:rFonts w:ascii="Georgia" w:hAnsi="Georgia"/>
                <w:color w:val="161210"/>
                <w:sz w:val="18"/>
              </w:rPr>
              <w:t>5,623</w:t>
            </w:r>
          </w:p>
        </w:tc>
      </w:tr>
      <w:tr>
        <w:tc>
          <w:tcPr>
            <w:tcW w:type="dxa" w:w="6803"/>
            <w:vAlign w:val="top"/>
            <w:tcBorders>
              <w:bottom w:sz="4" w:val="single" w:color="CDC1A8"/>
            </w:tcBorders>
          </w:tcPr>
          <w:p>
            <w:pPr>
              <w:spacing w:before="80" w:after="80" w:line="324" w:lineRule="auto"/>
            </w:pPr>
            <w:r>
              <w:rPr>
                <w:rFonts w:ascii="Georgia" w:hAnsi="Georgia"/>
                <w:color w:val="161210"/>
                <w:sz w:val="18"/>
              </w:rPr>
              <w:t>Total development value (estimated)</w:t>
            </w:r>
          </w:p>
        </w:tc>
        <w:tc>
          <w:tcPr>
            <w:tcW w:type="dxa" w:w="2268"/>
            <w:vAlign w:val="top"/>
            <w:tcBorders>
              <w:bottom w:sz="4" w:val="single" w:color="CDC1A8"/>
            </w:tcBorders>
          </w:tcPr>
          <w:p>
            <w:pPr>
              <w:spacing w:before="80" w:after="80" w:line="324" w:lineRule="auto"/>
            </w:pPr>
            <w:r>
              <w:rPr>
                <w:rFonts w:ascii="Georgia" w:hAnsi="Georgia"/>
                <w:color w:val="161210"/>
                <w:sz w:val="18"/>
              </w:rPr>
              <w:t>~$3.5B</w:t>
            </w:r>
          </w:p>
        </w:tc>
      </w:tr>
      <w:tr>
        <w:tc>
          <w:tcPr>
            <w:tcW w:type="dxa" w:w="6803"/>
            <w:vAlign w:val="top"/>
            <w:tcBorders>
              <w:bottom w:sz="4" w:val="single" w:color="CDC1A8"/>
            </w:tcBorders>
          </w:tcPr>
          <w:p>
            <w:pPr>
              <w:spacing w:before="80" w:after="80" w:line="324" w:lineRule="auto"/>
            </w:pPr>
            <w:r>
              <w:rPr>
                <w:rFonts w:ascii="Georgia" w:hAnsi="Georgia"/>
                <w:color w:val="161210"/>
                <w:sz w:val="18"/>
              </w:rPr>
              <w:t>Launchpad cohort (4 sites, ground-break 2026)</w:t>
            </w:r>
          </w:p>
        </w:tc>
        <w:tc>
          <w:tcPr>
            <w:tcW w:type="dxa" w:w="2268"/>
            <w:vAlign w:val="top"/>
            <w:tcBorders>
              <w:bottom w:sz="4" w:val="single" w:color="CDC1A8"/>
            </w:tcBorders>
          </w:tcPr>
          <w:p>
            <w:pPr>
              <w:spacing w:before="80" w:after="80" w:line="324" w:lineRule="auto"/>
            </w:pPr>
            <w:r>
              <w:rPr>
                <w:rFonts w:ascii="Georgia" w:hAnsi="Georgia"/>
                <w:color w:val="161210"/>
                <w:sz w:val="18"/>
              </w:rPr>
              <w:t>906 homes</w:t>
            </w:r>
          </w:p>
        </w:tc>
      </w:tr>
      <w:tr>
        <w:tc>
          <w:tcPr>
            <w:tcW w:type="dxa" w:w="6803"/>
            <w:vAlign w:val="top"/>
            <w:tcBorders>
              <w:bottom w:sz="4" w:val="single" w:color="CDC1A8"/>
            </w:tcBorders>
          </w:tcPr>
          <w:p>
            <w:pPr>
              <w:spacing w:before="80" w:after="80" w:line="324" w:lineRule="auto"/>
            </w:pPr>
            <w:r>
              <w:rPr>
                <w:rFonts w:ascii="Georgia" w:hAnsi="Georgia"/>
                <w:color w:val="161210"/>
                <w:sz w:val="18"/>
              </w:rPr>
              <w:t>CMHC submissions advancing</w:t>
            </w:r>
          </w:p>
        </w:tc>
        <w:tc>
          <w:tcPr>
            <w:tcW w:type="dxa" w:w="2268"/>
            <w:vAlign w:val="top"/>
            <w:tcBorders>
              <w:bottom w:sz="4" w:val="single" w:color="CDC1A8"/>
            </w:tcBorders>
          </w:tcPr>
          <w:p>
            <w:pPr>
              <w:spacing w:before="80" w:after="80" w:line="324" w:lineRule="auto"/>
            </w:pPr>
            <w:r>
              <w:rPr>
                <w:rFonts w:ascii="Georgia" w:hAnsi="Georgia"/>
                <w:color w:val="161210"/>
                <w:sz w:val="18"/>
              </w:rPr>
              <w:t>Launchpad cohort</w:t>
            </w:r>
          </w:p>
        </w:tc>
      </w:tr>
    </w:tbl>
    <w:p>
      <w:pPr>
        <w:spacing w:before="160" w:after="160" w:line="324" w:lineRule="auto"/>
        <w:jc w:val="left"/>
      </w:pPr>
    </w:p>
    <w:p>
      <w:pPr>
        <w:spacing w:before="280" w:after="120"/>
      </w:pPr>
      <w:r>
        <w:rPr>
          <w:rFonts w:ascii="Georgia" w:hAnsi="Georgia"/>
          <w:b/>
          <w:i w:val="0"/>
          <w:color w:val="C89344"/>
          <w:sz w:val="24"/>
        </w:rPr>
        <w:t>Launchpad projects — immediate deployment</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551"/>
            <w:shd w:val="clear" w:color="auto" w:fill="1f1612"/>
            <w:vAlign w:val="center"/>
          </w:tcPr>
          <w:p>
            <w:pPr>
              <w:spacing w:before="80" w:after="80"/>
            </w:pPr>
            <w:r>
              <w:rPr>
                <w:rFonts w:ascii="Consolas" w:hAnsi="Consolas"/>
                <w:b/>
                <w:color w:val="EBDFC4"/>
                <w:sz w:val="16"/>
              </w:rPr>
              <w:t>Project</w:t>
            </w:r>
          </w:p>
        </w:tc>
        <w:tc>
          <w:tcPr>
            <w:tcW w:type="dxa" w:w="1417"/>
            <w:shd w:val="clear" w:color="auto" w:fill="1f1612"/>
            <w:vAlign w:val="center"/>
          </w:tcPr>
          <w:p>
            <w:pPr>
              <w:spacing w:before="80" w:after="80"/>
            </w:pPr>
            <w:r>
              <w:rPr>
                <w:rFonts w:ascii="Consolas" w:hAnsi="Consolas"/>
                <w:b/>
                <w:color w:val="EBDFC4"/>
                <w:sz w:val="16"/>
              </w:rPr>
              <w:t>Units</w:t>
            </w:r>
          </w:p>
        </w:tc>
        <w:tc>
          <w:tcPr>
            <w:tcW w:type="dxa" w:w="2551"/>
            <w:shd w:val="clear" w:color="auto" w:fill="1f1612"/>
            <w:vAlign w:val="center"/>
          </w:tcPr>
          <w:p>
            <w:pPr>
              <w:spacing w:before="80" w:after="80"/>
            </w:pPr>
            <w:r>
              <w:rPr>
                <w:rFonts w:ascii="Consolas" w:hAnsi="Consolas"/>
                <w:b/>
                <w:color w:val="EBDFC4"/>
                <w:sz w:val="16"/>
              </w:rPr>
              <w:t>Typology</w:t>
            </w:r>
          </w:p>
        </w:tc>
        <w:tc>
          <w:tcPr>
            <w:tcW w:type="dxa" w:w="2551"/>
            <w:shd w:val="clear" w:color="auto" w:fill="1f1612"/>
            <w:vAlign w:val="center"/>
          </w:tcPr>
          <w:p>
            <w:pPr>
              <w:spacing w:before="80" w:after="80"/>
            </w:pPr>
            <w:r>
              <w:rPr>
                <w:rFonts w:ascii="Consolas" w:hAnsi="Consolas"/>
                <w:b/>
                <w:color w:val="EBDFC4"/>
                <w:sz w:val="16"/>
              </w:rPr>
              <w:t>Status</w:t>
            </w:r>
          </w:p>
        </w:tc>
      </w:tr>
      <w:tr>
        <w:tc>
          <w:tcPr>
            <w:tcW w:type="dxa" w:w="2551"/>
            <w:vAlign w:val="top"/>
            <w:tcBorders>
              <w:bottom w:sz="4" w:val="single" w:color="CDC1A8"/>
            </w:tcBorders>
          </w:tcPr>
          <w:p>
            <w:pPr>
              <w:spacing w:before="80" w:after="80" w:line="324" w:lineRule="auto"/>
            </w:pPr>
            <w:r>
              <w:rPr>
                <w:rFonts w:ascii="Georgia" w:hAnsi="Georgia"/>
                <w:color w:val="161210"/>
                <w:sz w:val="18"/>
              </w:rPr>
              <w:t>844 Veterans Drive, Barrie</w:t>
            </w:r>
          </w:p>
        </w:tc>
        <w:tc>
          <w:tcPr>
            <w:tcW w:type="dxa" w:w="1417"/>
            <w:vAlign w:val="top"/>
            <w:tcBorders>
              <w:bottom w:sz="4" w:val="single" w:color="CDC1A8"/>
            </w:tcBorders>
          </w:tcPr>
          <w:p>
            <w:pPr>
              <w:spacing w:before="80" w:after="80" w:line="324" w:lineRule="auto"/>
            </w:pPr>
            <w:r>
              <w:rPr>
                <w:rFonts w:ascii="Georgia" w:hAnsi="Georgia"/>
                <w:color w:val="161210"/>
                <w:sz w:val="18"/>
              </w:rPr>
              <w:t>78</w:t>
            </w:r>
          </w:p>
        </w:tc>
        <w:tc>
          <w:tcPr>
            <w:tcW w:type="dxa" w:w="2551"/>
            <w:vAlign w:val="top"/>
            <w:tcBorders>
              <w:bottom w:sz="4" w:val="single" w:color="CDC1A8"/>
            </w:tcBorders>
          </w:tcPr>
          <w:p>
            <w:pPr>
              <w:spacing w:before="80" w:after="80" w:line="324" w:lineRule="auto"/>
            </w:pPr>
            <w:r>
              <w:rPr>
                <w:rFonts w:ascii="Georgia" w:hAnsi="Georgia"/>
                <w:color w:val="161210"/>
                <w:sz w:val="18"/>
              </w:rPr>
              <w:t>Ground-oriented townhomes</w:t>
            </w:r>
          </w:p>
        </w:tc>
        <w:tc>
          <w:tcPr>
            <w:tcW w:type="dxa" w:w="2551"/>
            <w:vAlign w:val="top"/>
            <w:tcBorders>
              <w:bottom w:sz="4" w:val="single" w:color="CDC1A8"/>
            </w:tcBorders>
          </w:tcPr>
          <w:p>
            <w:pPr>
              <w:spacing w:before="80" w:after="80" w:line="324" w:lineRule="auto"/>
            </w:pPr>
            <w:r>
              <w:rPr>
                <w:rFonts w:ascii="Georgia" w:hAnsi="Georgia"/>
                <w:color w:val="161210"/>
                <w:sz w:val="18"/>
              </w:rPr>
              <w:t>Binding agreement · CMHC under review</w:t>
            </w:r>
          </w:p>
        </w:tc>
      </w:tr>
      <w:tr>
        <w:tc>
          <w:tcPr>
            <w:tcW w:type="dxa" w:w="2551"/>
            <w:vAlign w:val="top"/>
            <w:tcBorders>
              <w:bottom w:sz="4" w:val="single" w:color="CDC1A8"/>
            </w:tcBorders>
          </w:tcPr>
          <w:p>
            <w:pPr>
              <w:spacing w:before="80" w:after="80" w:line="324" w:lineRule="auto"/>
            </w:pPr>
            <w:r>
              <w:rPr>
                <w:rFonts w:ascii="Georgia" w:hAnsi="Georgia"/>
                <w:color w:val="161210"/>
                <w:sz w:val="18"/>
              </w:rPr>
              <w:t>Main Street, Listowel</w:t>
            </w:r>
          </w:p>
        </w:tc>
        <w:tc>
          <w:tcPr>
            <w:tcW w:type="dxa" w:w="1417"/>
            <w:vAlign w:val="top"/>
            <w:tcBorders>
              <w:bottom w:sz="4" w:val="single" w:color="CDC1A8"/>
            </w:tcBorders>
          </w:tcPr>
          <w:p>
            <w:pPr>
              <w:spacing w:before="80" w:after="80" w:line="324" w:lineRule="auto"/>
            </w:pPr>
            <w:r>
              <w:rPr>
                <w:rFonts w:ascii="Georgia" w:hAnsi="Georgia"/>
                <w:color w:val="161210"/>
                <w:sz w:val="18"/>
              </w:rPr>
              <w:t>49 / 88 beds</w:t>
            </w:r>
          </w:p>
        </w:tc>
        <w:tc>
          <w:tcPr>
            <w:tcW w:type="dxa" w:w="2551"/>
            <w:vAlign w:val="top"/>
            <w:tcBorders>
              <w:bottom w:sz="4" w:val="single" w:color="CDC1A8"/>
            </w:tcBorders>
          </w:tcPr>
          <w:p>
            <w:pPr>
              <w:spacing w:before="80" w:after="80" w:line="324" w:lineRule="auto"/>
            </w:pPr>
            <w:r>
              <w:rPr>
                <w:rFonts w:ascii="Georgia" w:hAnsi="Georgia"/>
                <w:color w:val="161210"/>
                <w:sz w:val="18"/>
              </w:rPr>
              <w:t>Seniors residence</w:t>
            </w:r>
          </w:p>
        </w:tc>
        <w:tc>
          <w:tcPr>
            <w:tcW w:type="dxa" w:w="2551"/>
            <w:vAlign w:val="top"/>
            <w:tcBorders>
              <w:bottom w:sz="4" w:val="single" w:color="CDC1A8"/>
            </w:tcBorders>
          </w:tcPr>
          <w:p>
            <w:pPr>
              <w:spacing w:before="80" w:after="80" w:line="324" w:lineRule="auto"/>
            </w:pPr>
            <w:r>
              <w:rPr>
                <w:rFonts w:ascii="Georgia" w:hAnsi="Georgia"/>
                <w:color w:val="161210"/>
                <w:sz w:val="18"/>
              </w:rPr>
              <w:t>Binding LOI · submission-ready</w:t>
            </w:r>
          </w:p>
        </w:tc>
      </w:tr>
      <w:tr>
        <w:tc>
          <w:tcPr>
            <w:tcW w:type="dxa" w:w="2551"/>
            <w:vAlign w:val="top"/>
            <w:tcBorders>
              <w:bottom w:sz="4" w:val="single" w:color="CDC1A8"/>
            </w:tcBorders>
          </w:tcPr>
          <w:p>
            <w:pPr>
              <w:spacing w:before="80" w:after="80" w:line="324" w:lineRule="auto"/>
            </w:pPr>
            <w:r>
              <w:rPr>
                <w:rFonts w:ascii="Georgia" w:hAnsi="Georgia"/>
                <w:color w:val="161210"/>
                <w:sz w:val="18"/>
              </w:rPr>
              <w:t>Grahams Lane, Burlington</w:t>
            </w:r>
          </w:p>
        </w:tc>
        <w:tc>
          <w:tcPr>
            <w:tcW w:type="dxa" w:w="1417"/>
            <w:vAlign w:val="top"/>
            <w:tcBorders>
              <w:bottom w:sz="4" w:val="single" w:color="CDC1A8"/>
            </w:tcBorders>
          </w:tcPr>
          <w:p>
            <w:pPr>
              <w:spacing w:before="80" w:after="80" w:line="324" w:lineRule="auto"/>
            </w:pPr>
            <w:r>
              <w:rPr>
                <w:rFonts w:ascii="Georgia" w:hAnsi="Georgia"/>
                <w:color w:val="161210"/>
                <w:sz w:val="18"/>
              </w:rPr>
              <w:t>744</w:t>
            </w:r>
          </w:p>
        </w:tc>
        <w:tc>
          <w:tcPr>
            <w:tcW w:type="dxa" w:w="2551"/>
            <w:vAlign w:val="top"/>
            <w:tcBorders>
              <w:bottom w:sz="4" w:val="single" w:color="CDC1A8"/>
            </w:tcBorders>
          </w:tcPr>
          <w:p>
            <w:pPr>
              <w:spacing w:before="80" w:after="80" w:line="324" w:lineRule="auto"/>
            </w:pPr>
            <w:r>
              <w:rPr>
                <w:rFonts w:ascii="Georgia" w:hAnsi="Georgia"/>
                <w:color w:val="161210"/>
                <w:sz w:val="18"/>
              </w:rPr>
              <w:t>High-rise</w:t>
            </w:r>
          </w:p>
        </w:tc>
        <w:tc>
          <w:tcPr>
            <w:tcW w:type="dxa" w:w="2551"/>
            <w:vAlign w:val="top"/>
            <w:tcBorders>
              <w:bottom w:sz="4" w:val="single" w:color="CDC1A8"/>
            </w:tcBorders>
          </w:tcPr>
          <w:p>
            <w:pPr>
              <w:spacing w:before="80" w:after="80" w:line="324" w:lineRule="auto"/>
            </w:pPr>
            <w:r>
              <w:rPr>
                <w:rFonts w:ascii="Georgia" w:hAnsi="Georgia"/>
                <w:color w:val="161210"/>
                <w:sz w:val="18"/>
              </w:rPr>
              <w:t>Binding LOI · submission-ready</w:t>
            </w:r>
          </w:p>
        </w:tc>
      </w:tr>
      <w:tr>
        <w:tc>
          <w:tcPr>
            <w:tcW w:type="dxa" w:w="2551"/>
            <w:vAlign w:val="top"/>
            <w:tcBorders>
              <w:bottom w:sz="4" w:val="single" w:color="CDC1A8"/>
            </w:tcBorders>
          </w:tcPr>
          <w:p>
            <w:pPr>
              <w:spacing w:before="80" w:after="80" w:line="324" w:lineRule="auto"/>
            </w:pPr>
            <w:r>
              <w:rPr>
                <w:rFonts w:ascii="Georgia" w:hAnsi="Georgia"/>
                <w:color w:val="161210"/>
                <w:sz w:val="18"/>
              </w:rPr>
              <w:t>27 Blake Street, Toronto</w:t>
            </w:r>
          </w:p>
        </w:tc>
        <w:tc>
          <w:tcPr>
            <w:tcW w:type="dxa" w:w="1417"/>
            <w:vAlign w:val="top"/>
            <w:tcBorders>
              <w:bottom w:sz="4" w:val="single" w:color="CDC1A8"/>
            </w:tcBorders>
          </w:tcPr>
          <w:p>
            <w:pPr>
              <w:spacing w:before="80" w:after="80" w:line="324" w:lineRule="auto"/>
            </w:pPr>
            <w:r>
              <w:rPr>
                <w:rFonts w:ascii="Georgia" w:hAnsi="Georgia"/>
                <w:color w:val="161210"/>
                <w:sz w:val="18"/>
              </w:rPr>
              <w:t>35</w:t>
            </w:r>
          </w:p>
        </w:tc>
        <w:tc>
          <w:tcPr>
            <w:tcW w:type="dxa" w:w="2551"/>
            <w:vAlign w:val="top"/>
            <w:tcBorders>
              <w:bottom w:sz="4" w:val="single" w:color="CDC1A8"/>
            </w:tcBorders>
          </w:tcPr>
          <w:p>
            <w:pPr>
              <w:spacing w:before="80" w:after="80" w:line="324" w:lineRule="auto"/>
            </w:pPr>
            <w:r>
              <w:rPr>
                <w:rFonts w:ascii="Georgia" w:hAnsi="Georgia"/>
                <w:color w:val="161210"/>
                <w:sz w:val="18"/>
              </w:rPr>
              <w:t>Mid-rise urban rental</w:t>
            </w:r>
          </w:p>
        </w:tc>
        <w:tc>
          <w:tcPr>
            <w:tcW w:type="dxa" w:w="2551"/>
            <w:vAlign w:val="top"/>
            <w:tcBorders>
              <w:bottom w:sz="4" w:val="single" w:color="CDC1A8"/>
            </w:tcBorders>
          </w:tcPr>
          <w:p>
            <w:pPr>
              <w:spacing w:before="80" w:after="80" w:line="324" w:lineRule="auto"/>
            </w:pPr>
            <w:r>
              <w:rPr>
                <w:rFonts w:ascii="Georgia" w:hAnsi="Georgia"/>
                <w:color w:val="161210"/>
                <w:sz w:val="18"/>
              </w:rPr>
              <w:t>Binding agreement · CMHC under review</w:t>
            </w:r>
          </w:p>
        </w:tc>
      </w:tr>
      <w:tr>
        <w:tc>
          <w:tcPr>
            <w:tcW w:type="dxa" w:w="2551"/>
            <w:vAlign w:val="top"/>
            <w:tcBorders>
              <w:bottom w:sz="4" w:val="single" w:color="CDC1A8"/>
            </w:tcBorders>
          </w:tcPr>
          <w:p>
            <w:pPr>
              <w:spacing w:before="80" w:after="80" w:line="324" w:lineRule="auto"/>
            </w:pPr>
            <w:r>
              <w:rPr>
                <w:rFonts w:ascii="Georgia" w:hAnsi="Georgia"/>
                <w:color w:val="161210"/>
                <w:sz w:val="18"/>
              </w:rPr>
              <w:t>Launchpad subtotal — 4 sites</w:t>
            </w:r>
          </w:p>
        </w:tc>
        <w:tc>
          <w:tcPr>
            <w:tcW w:type="dxa" w:w="1417"/>
            <w:vAlign w:val="top"/>
            <w:tcBorders>
              <w:bottom w:sz="4" w:val="single" w:color="CDC1A8"/>
            </w:tcBorders>
          </w:tcPr>
          <w:p>
            <w:pPr>
              <w:spacing w:before="80" w:after="80" w:line="324" w:lineRule="auto"/>
            </w:pPr>
            <w:r>
              <w:rPr>
                <w:rFonts w:ascii="Georgia" w:hAnsi="Georgia"/>
                <w:color w:val="161210"/>
                <w:sz w:val="18"/>
              </w:rPr>
              <w:t>906</w:t>
            </w:r>
          </w:p>
        </w:tc>
        <w:tc>
          <w:tcPr>
            <w:tcW w:type="dxa" w:w="2551"/>
            <w:vAlign w:val="top"/>
            <w:tcBorders>
              <w:bottom w:sz="4" w:val="single" w:color="CDC1A8"/>
            </w:tcBorders>
          </w:tcPr>
          <w:p>
            <w:pPr>
              <w:spacing w:before="80" w:after="80" w:line="324" w:lineRule="auto"/>
            </w:pPr>
            <w:r>
              <w:rPr>
                <w:rFonts w:ascii="Georgia" w:hAnsi="Georgia"/>
                <w:color w:val="161210"/>
                <w:sz w:val="18"/>
              </w:rPr>
              <w:t>Mixed typologies</w:t>
            </w:r>
          </w:p>
        </w:tc>
        <w:tc>
          <w:tcPr>
            <w:tcW w:type="dxa" w:w="2551"/>
            <w:vAlign w:val="top"/>
            <w:tcBorders>
              <w:bottom w:sz="4" w:val="single" w:color="CDC1A8"/>
            </w:tcBorders>
          </w:tcPr>
          <w:p>
            <w:pPr>
              <w:spacing w:before="80" w:after="80" w:line="324" w:lineRule="auto"/>
            </w:pPr>
            <w:r>
              <w:rPr>
                <w:rFonts w:ascii="Georgia" w:hAnsi="Georgia"/>
                <w:color w:val="161210"/>
                <w:sz w:val="18"/>
              </w:rPr>
              <w:t>Ground-break 2026 · first deliveries 2027</w:t>
            </w:r>
          </w:p>
        </w:tc>
      </w:tr>
    </w:tbl>
    <w:p>
      <w:pPr>
        <w:spacing w:before="160" w:after="160" w:line="324" w:lineRule="auto"/>
        <w:jc w:val="left"/>
      </w:pPr>
    </w:p>
    <w:p>
      <w:pPr>
        <w:spacing w:before="280" w:after="120"/>
      </w:pPr>
      <w:r>
        <w:rPr>
          <w:rFonts w:ascii="Georgia" w:hAnsi="Georgia"/>
          <w:b/>
          <w:i w:val="0"/>
          <w:color w:val="C89344"/>
          <w:sz w:val="24"/>
        </w:rPr>
        <w:t>Broader pipeline across three typologies</w:t>
      </w:r>
    </w:p>
    <w:tbl>
      <w:tblPr>
        <w:tblW w:type="auto" w:w="0"/>
        <w:jc w:val="center"/>
        <w:tblLayout w:type="fixed"/>
        <w:tblLook w:firstColumn="1" w:firstRow="1" w:lastColumn="0" w:lastRow="0" w:noHBand="0" w:noVBand="1" w:val="04A0"/>
      </w:tblPr>
      <w:tblGrid>
        <w:gridCol w:w="3022"/>
        <w:gridCol w:w="3022"/>
        <w:gridCol w:w="3022"/>
      </w:tblGrid>
      <w:tr>
        <w:tc>
          <w:tcPr>
            <w:tcW w:type="dxa" w:w="2835"/>
            <w:shd w:val="clear" w:color="auto" w:fill="1f1612"/>
            <w:vAlign w:val="center"/>
          </w:tcPr>
          <w:p>
            <w:pPr>
              <w:spacing w:before="80" w:after="80"/>
            </w:pPr>
            <w:r>
              <w:rPr>
                <w:rFonts w:ascii="Consolas" w:hAnsi="Consolas"/>
                <w:b/>
                <w:color w:val="EBDFC4"/>
                <w:sz w:val="16"/>
              </w:rPr>
              <w:t>Typology</w:t>
            </w:r>
          </w:p>
        </w:tc>
        <w:tc>
          <w:tcPr>
            <w:tcW w:type="dxa" w:w="1984"/>
            <w:shd w:val="clear" w:color="auto" w:fill="1f1612"/>
            <w:vAlign w:val="center"/>
          </w:tcPr>
          <w:p>
            <w:pPr>
              <w:spacing w:before="80" w:after="80"/>
            </w:pPr>
            <w:r>
              <w:rPr>
                <w:rFonts w:ascii="Consolas" w:hAnsi="Consolas"/>
                <w:b/>
                <w:color w:val="EBDFC4"/>
                <w:sz w:val="16"/>
              </w:rPr>
              <w:t>Scale</w:t>
            </w:r>
          </w:p>
        </w:tc>
        <w:tc>
          <w:tcPr>
            <w:tcW w:type="dxa" w:w="4252"/>
            <w:shd w:val="clear" w:color="auto" w:fill="1f1612"/>
            <w:vAlign w:val="center"/>
          </w:tcPr>
          <w:p>
            <w:pPr>
              <w:spacing w:before="80" w:after="80"/>
            </w:pPr>
            <w:r>
              <w:rPr>
                <w:rFonts w:ascii="Consolas" w:hAnsi="Consolas"/>
                <w:b/>
                <w:color w:val="EBDFC4"/>
                <w:sz w:val="16"/>
              </w:rPr>
              <w:t>Representative projects</w:t>
            </w:r>
          </w:p>
        </w:tc>
      </w:tr>
      <w:tr>
        <w:tc>
          <w:tcPr>
            <w:tcW w:type="dxa" w:w="2835"/>
            <w:vAlign w:val="top"/>
            <w:tcBorders>
              <w:bottom w:sz="4" w:val="single" w:color="CDC1A8"/>
            </w:tcBorders>
          </w:tcPr>
          <w:p>
            <w:pPr>
              <w:spacing w:before="80" w:after="80" w:line="324" w:lineRule="auto"/>
            </w:pPr>
            <w:r>
              <w:rPr>
                <w:rFonts w:ascii="Georgia" w:hAnsi="Georgia"/>
                <w:color w:val="161210"/>
                <w:sz w:val="18"/>
              </w:rPr>
              <w:t>Quick-turn (townhomes, missing-middle, seniors)</w:t>
            </w:r>
          </w:p>
        </w:tc>
        <w:tc>
          <w:tcPr>
            <w:tcW w:type="dxa" w:w="1984"/>
            <w:vAlign w:val="top"/>
            <w:tcBorders>
              <w:bottom w:sz="4" w:val="single" w:color="CDC1A8"/>
            </w:tcBorders>
          </w:tcPr>
          <w:p>
            <w:pPr>
              <w:spacing w:before="80" w:after="80" w:line="324" w:lineRule="auto"/>
            </w:pPr>
            <w:r>
              <w:rPr>
                <w:rFonts w:ascii="Georgia" w:hAnsi="Georgia"/>
                <w:color w:val="161210"/>
                <w:sz w:val="18"/>
              </w:rPr>
              <w:t>340 units / 5 sites</w:t>
            </w:r>
          </w:p>
        </w:tc>
        <w:tc>
          <w:tcPr>
            <w:tcW w:type="dxa" w:w="4252"/>
            <w:vAlign w:val="top"/>
            <w:tcBorders>
              <w:bottom w:sz="4" w:val="single" w:color="CDC1A8"/>
            </w:tcBorders>
          </w:tcPr>
          <w:p>
            <w:pPr>
              <w:spacing w:before="80" w:after="80" w:line="324" w:lineRule="auto"/>
            </w:pPr>
            <w:r>
              <w:rPr>
                <w:rFonts w:ascii="Georgia" w:hAnsi="Georgia"/>
                <w:color w:val="161210"/>
                <w:sz w:val="18"/>
              </w:rPr>
              <w:t>844 Veterans (Barrie), Mapleview (Barrie), Mill Street (Angus), Oakwood (Toronto), Main Street (Listowel — seniors)</w:t>
            </w:r>
          </w:p>
        </w:tc>
      </w:tr>
      <w:tr>
        <w:tc>
          <w:tcPr>
            <w:tcW w:type="dxa" w:w="2835"/>
            <w:vAlign w:val="top"/>
            <w:tcBorders>
              <w:bottom w:sz="4" w:val="single" w:color="CDC1A8"/>
            </w:tcBorders>
          </w:tcPr>
          <w:p>
            <w:pPr>
              <w:spacing w:before="80" w:after="80" w:line="324" w:lineRule="auto"/>
            </w:pPr>
            <w:r>
              <w:rPr>
                <w:rFonts w:ascii="Georgia" w:hAnsi="Georgia"/>
                <w:color w:val="161210"/>
                <w:sz w:val="18"/>
              </w:rPr>
              <w:t>Master-planned communities</w:t>
            </w:r>
          </w:p>
        </w:tc>
        <w:tc>
          <w:tcPr>
            <w:tcW w:type="dxa" w:w="1984"/>
            <w:vAlign w:val="top"/>
            <w:tcBorders>
              <w:bottom w:sz="4" w:val="single" w:color="CDC1A8"/>
            </w:tcBorders>
          </w:tcPr>
          <w:p>
            <w:pPr>
              <w:spacing w:before="80" w:after="80" w:line="324" w:lineRule="auto"/>
            </w:pPr>
            <w:r>
              <w:rPr>
                <w:rFonts w:ascii="Georgia" w:hAnsi="Georgia"/>
                <w:color w:val="161210"/>
                <w:sz w:val="18"/>
              </w:rPr>
              <w:t>3,537 units / 8 sites</w:t>
            </w:r>
          </w:p>
        </w:tc>
        <w:tc>
          <w:tcPr>
            <w:tcW w:type="dxa" w:w="4252"/>
            <w:vAlign w:val="top"/>
            <w:tcBorders>
              <w:bottom w:sz="4" w:val="single" w:color="CDC1A8"/>
            </w:tcBorders>
          </w:tcPr>
          <w:p>
            <w:pPr>
              <w:spacing w:before="80" w:after="80" w:line="324" w:lineRule="auto"/>
            </w:pPr>
            <w:r>
              <w:rPr>
                <w:rFonts w:ascii="Georgia" w:hAnsi="Georgia"/>
                <w:color w:val="161210"/>
                <w:sz w:val="18"/>
              </w:rPr>
              <w:t>Penetanguishene, Anne Street (Barrie), Essa County Road (Barrie), Honey Harbour (Port Severn), Hamilton (3 sites), Queen Street East (Brampton)</w:t>
            </w:r>
          </w:p>
        </w:tc>
      </w:tr>
      <w:tr>
        <w:tc>
          <w:tcPr>
            <w:tcW w:type="dxa" w:w="2835"/>
            <w:vAlign w:val="top"/>
            <w:tcBorders>
              <w:bottom w:sz="4" w:val="single" w:color="CDC1A8"/>
            </w:tcBorders>
          </w:tcPr>
          <w:p>
            <w:pPr>
              <w:spacing w:before="80" w:after="80" w:line="324" w:lineRule="auto"/>
            </w:pPr>
            <w:r>
              <w:rPr>
                <w:rFonts w:ascii="Georgia" w:hAnsi="Georgia"/>
                <w:color w:val="161210"/>
                <w:sz w:val="18"/>
              </w:rPr>
              <w:t>Urban density (mid- and high-rise)</w:t>
            </w:r>
          </w:p>
        </w:tc>
        <w:tc>
          <w:tcPr>
            <w:tcW w:type="dxa" w:w="1984"/>
            <w:vAlign w:val="top"/>
            <w:tcBorders>
              <w:bottom w:sz="4" w:val="single" w:color="CDC1A8"/>
            </w:tcBorders>
          </w:tcPr>
          <w:p>
            <w:pPr>
              <w:spacing w:before="80" w:after="80" w:line="324" w:lineRule="auto"/>
            </w:pPr>
            <w:r>
              <w:rPr>
                <w:rFonts w:ascii="Georgia" w:hAnsi="Georgia"/>
                <w:color w:val="161210"/>
                <w:sz w:val="18"/>
              </w:rPr>
              <w:t>1,279 units / 5 sites</w:t>
            </w:r>
          </w:p>
        </w:tc>
        <w:tc>
          <w:tcPr>
            <w:tcW w:type="dxa" w:w="4252"/>
            <w:vAlign w:val="top"/>
            <w:tcBorders>
              <w:bottom w:sz="4" w:val="single" w:color="CDC1A8"/>
            </w:tcBorders>
          </w:tcPr>
          <w:p>
            <w:pPr>
              <w:spacing w:before="80" w:after="80" w:line="324" w:lineRule="auto"/>
            </w:pPr>
            <w:r>
              <w:rPr>
                <w:rFonts w:ascii="Georgia" w:hAnsi="Georgia"/>
                <w:color w:val="161210"/>
                <w:sz w:val="18"/>
              </w:rPr>
              <w:t>27 Blake (Toronto), Lakeshore Blvd (Toronto), Grahams Lane (Burlington), Kingston Road (Toronto), Keele Street (King City)</w:t>
            </w:r>
          </w:p>
        </w:tc>
      </w:tr>
    </w:tbl>
    <w:p>
      <w:pPr>
        <w:spacing w:before="160" w:after="160" w:line="324" w:lineRule="auto"/>
        <w:jc w:val="left"/>
      </w:pPr>
    </w:p>
    <w:p>
      <w:pPr>
        <w:spacing w:before="0" w:after="160" w:line="336" w:lineRule="auto"/>
        <w:jc w:val="both"/>
      </w:pPr>
      <w:r>
        <w:rPr>
          <w:rFonts w:ascii="Georgia" w:hAnsi="Georgia"/>
          <w:b w:val="0"/>
          <w:i w:val="0"/>
          <w:color w:val="161210"/>
          <w:sz w:val="20"/>
        </w:rPr>
        <w:t>All sites are capable of construction starts using modular prefab delivery with a Canadian-based supplier focus and fixed-price contracts.</w:t>
      </w:r>
    </w:p>
    <w:tbl>
      <w:tblPr>
        <w:tblW w:type="auto" w:w="0"/>
        <w:tblLook w:firstColumn="1" w:firstRow="1" w:lastColumn="0" w:lastRow="0" w:noHBand="0" w:noVBand="1" w:val="04A0"/>
      </w:tblPr>
      <w:tblGrid>
        <w:gridCol w:w="9066"/>
      </w:tblGrid>
      <w:tr>
        <w:tc>
          <w:tcPr>
            <w:tcW w:type="dxa" w:w="9066"/>
            <w:shd w:val="clear" w:color="auto" w:fill="fbf3da"/>
            <w:tcBorders>
              <w:top w:sz="4" w:val="single" w:color="C89344"/>
              <w:left w:sz="18" w:val="single" w:color="C89344"/>
              <w:bottom w:sz="4" w:val="single" w:color="C89344"/>
              <w:right w:sz="4" w:val="single" w:color="C89344"/>
            </w:tcBorders>
          </w:tcPr>
          <w:p>
            <w:pPr>
              <w:spacing w:after="80"/>
            </w:pPr>
            <w:r>
              <w:rPr>
                <w:rFonts w:ascii="Consolas" w:hAnsi="Consolas"/>
                <w:b/>
                <w:i w:val="0"/>
                <w:color w:val="C89344"/>
                <w:sz w:val="16"/>
              </w:rPr>
              <w:t>FOLLOWING OUR CONVERSATION</w:t>
            </w:r>
          </w:p>
          <w:p>
            <w:pPr>
              <w:spacing w:after="80" w:line="336" w:lineRule="auto"/>
            </w:pPr>
            <w:r>
              <w:rPr>
                <w:rFonts w:ascii="Georgia" w:hAnsi="Georgia"/>
                <w:b w:val="0"/>
                <w:i w:val="0"/>
                <w:color w:val="161210"/>
                <w:sz w:val="20"/>
              </w:rPr>
              <w:t>After our meeting we revisited the pipeline and surfaced three additional sites in Scarborough — Northpine's home geography — that the platform can access and activate. Section 11 introduces them, and Addendum A profiles each in detail. They are presented as the platform working on the ground, not as a separate ask.</w:t>
            </w:r>
          </w:p>
        </w:tc>
      </w:tr>
    </w:tbl>
    <w:p>
      <w:pPr>
        <w:spacing w:before="160" w:after="160" w:line="324" w:lineRule="auto"/>
        <w:jc w:val="left"/>
      </w:pPr>
    </w:p>
    <w:p>
      <w:r>
        <w:br w:type="page"/>
      </w:r>
    </w:p>
    <w:p>
      <w:pPr>
        <w:spacing w:before="400" w:after="120" w:line="324" w:lineRule="auto"/>
        <w:jc w:val="left"/>
      </w:pPr>
    </w:p>
    <w:p>
      <w:pPr>
        <w:spacing w:before="200" w:after="360"/>
      </w:pPr>
      <w:r>
        <w:rPr>
          <w:rFonts w:ascii="Consolas" w:hAnsi="Consolas"/>
          <w:b/>
          <w:i w:val="0"/>
          <w:color w:val="C89344"/>
          <w:sz w:val="22"/>
        </w:rPr>
        <w:t xml:space="preserve">11  ·  </w:t>
      </w:r>
      <w:r>
        <w:rPr>
          <w:rFonts w:ascii="Georgia" w:hAnsi="Georgia"/>
          <w:b w:val="0"/>
          <w:i w:val="0"/>
          <w:color w:val="161210"/>
          <w:sz w:val="48"/>
        </w:rPr>
        <w:t>Scarborough in Action</w:t>
      </w:r>
    </w:p>
    <w:p>
      <w:pPr>
        <w:spacing w:before="0" w:after="160" w:line="336" w:lineRule="auto"/>
        <w:jc w:val="both"/>
      </w:pPr>
      <w:r>
        <w:rPr>
          <w:rFonts w:ascii="Georgia" w:hAnsi="Georgia"/>
          <w:b w:val="0"/>
          <w:i w:val="0"/>
          <w:color w:val="161210"/>
          <w:sz w:val="20"/>
        </w:rPr>
        <w:t>Scarborough is one of Northpine's three priority geographies. Following our conversation, we revisited our portfolio and identified three Scarborough sites the platform can access and activate — so you can see the Common Ground Initiative working on the ground, in your home community.</w:t>
      </w:r>
    </w:p>
    <w:p>
      <w:pPr>
        <w:spacing w:before="0" w:after="160" w:line="336" w:lineRule="auto"/>
        <w:jc w:val="both"/>
      </w:pPr>
      <w:r>
        <w:rPr>
          <w:rFonts w:ascii="Georgia" w:hAnsi="Georgia"/>
          <w:b w:val="0"/>
          <w:i w:val="0"/>
          <w:color w:val="161210"/>
          <w:sz w:val="20"/>
        </w:rPr>
        <w:t>This section is exactly that: the platform in action. The three sites below are funded through the same Common Ground mechanic and the same $2,000,000 platform investment described throughout this proposal — not a separate budget and not a separate ask. They are the place where Northpine can see, touch, and measure the outcomes the platform produces.</w:t>
      </w:r>
    </w:p>
    <w:p>
      <w:pPr>
        <w:spacing w:before="280" w:after="120"/>
      </w:pPr>
      <w:r>
        <w:rPr>
          <w:rFonts w:ascii="Georgia" w:hAnsi="Georgia"/>
          <w:b/>
          <w:i w:val="0"/>
          <w:color w:val="C89344"/>
          <w:sz w:val="24"/>
        </w:rPr>
        <w:t>Three Scarborough sites — 467 homes</w:t>
      </w:r>
    </w:p>
    <w:tbl>
      <w:tblPr>
        <w:tblW w:type="auto" w:w="0"/>
        <w:jc w:val="center"/>
        <w:tblLayout w:type="fixed"/>
        <w:tblLook w:firstColumn="1" w:firstRow="1" w:lastColumn="0" w:lastRow="0" w:noHBand="0" w:noVBand="1" w:val="04A0"/>
      </w:tblPr>
      <w:tblGrid>
        <w:gridCol w:w="2266"/>
        <w:gridCol w:w="2266"/>
        <w:gridCol w:w="2266"/>
        <w:gridCol w:w="2266"/>
      </w:tblGrid>
      <w:tr>
        <w:tc>
          <w:tcPr>
            <w:tcW w:type="dxa" w:w="2835"/>
            <w:shd w:val="clear" w:color="auto" w:fill="1f1612"/>
            <w:vAlign w:val="center"/>
          </w:tcPr>
          <w:p>
            <w:pPr>
              <w:spacing w:before="80" w:after="80"/>
            </w:pPr>
            <w:r>
              <w:rPr>
                <w:rFonts w:ascii="Consolas" w:hAnsi="Consolas"/>
                <w:b/>
                <w:color w:val="EBDFC4"/>
                <w:sz w:val="16"/>
              </w:rPr>
              <w:t>Site</w:t>
            </w:r>
          </w:p>
        </w:tc>
        <w:tc>
          <w:tcPr>
            <w:tcW w:type="dxa" w:w="1134"/>
            <w:shd w:val="clear" w:color="auto" w:fill="1f1612"/>
            <w:vAlign w:val="center"/>
          </w:tcPr>
          <w:p>
            <w:pPr>
              <w:spacing w:before="80" w:after="80"/>
            </w:pPr>
            <w:r>
              <w:rPr>
                <w:rFonts w:ascii="Consolas" w:hAnsi="Consolas"/>
                <w:b/>
                <w:color w:val="EBDFC4"/>
                <w:sz w:val="16"/>
              </w:rPr>
              <w:t>Units</w:t>
            </w:r>
          </w:p>
        </w:tc>
        <w:tc>
          <w:tcPr>
            <w:tcW w:type="dxa" w:w="2835"/>
            <w:shd w:val="clear" w:color="auto" w:fill="1f1612"/>
            <w:vAlign w:val="center"/>
          </w:tcPr>
          <w:p>
            <w:pPr>
              <w:spacing w:before="80" w:after="80"/>
            </w:pPr>
            <w:r>
              <w:rPr>
                <w:rFonts w:ascii="Consolas" w:hAnsi="Consolas"/>
                <w:b/>
                <w:color w:val="EBDFC4"/>
                <w:sz w:val="16"/>
              </w:rPr>
              <w:t>Role</w:t>
            </w:r>
          </w:p>
        </w:tc>
        <w:tc>
          <w:tcPr>
            <w:tcW w:type="dxa" w:w="2268"/>
            <w:shd w:val="clear" w:color="auto" w:fill="1f1612"/>
            <w:vAlign w:val="center"/>
          </w:tcPr>
          <w:p>
            <w:pPr>
              <w:spacing w:before="80" w:after="80"/>
            </w:pPr>
            <w:r>
              <w:rPr>
                <w:rFonts w:ascii="Consolas" w:hAnsi="Consolas"/>
                <w:b/>
                <w:color w:val="EBDFC4"/>
                <w:sz w:val="16"/>
              </w:rPr>
              <w:t>Status</w:t>
            </w:r>
          </w:p>
        </w:tc>
      </w:tr>
      <w:tr>
        <w:tc>
          <w:tcPr>
            <w:tcW w:type="dxa" w:w="2835"/>
            <w:vAlign w:val="top"/>
            <w:tcBorders>
              <w:bottom w:sz="4" w:val="single" w:color="CDC1A8"/>
            </w:tcBorders>
          </w:tcPr>
          <w:p>
            <w:pPr>
              <w:spacing w:before="80" w:after="80" w:line="324" w:lineRule="auto"/>
            </w:pPr>
            <w:r>
              <w:rPr>
                <w:rFonts w:ascii="Georgia" w:hAnsi="Georgia"/>
                <w:color w:val="161210"/>
                <w:sz w:val="18"/>
              </w:rPr>
              <w:t>2008 Brimley Road</w:t>
            </w:r>
          </w:p>
        </w:tc>
        <w:tc>
          <w:tcPr>
            <w:tcW w:type="dxa" w:w="1134"/>
            <w:vAlign w:val="top"/>
            <w:tcBorders>
              <w:bottom w:sz="4" w:val="single" w:color="CDC1A8"/>
            </w:tcBorders>
          </w:tcPr>
          <w:p>
            <w:pPr>
              <w:spacing w:before="80" w:after="80" w:line="324" w:lineRule="auto"/>
            </w:pPr>
            <w:r>
              <w:rPr>
                <w:rFonts w:ascii="Georgia" w:hAnsi="Georgia"/>
                <w:color w:val="161210"/>
                <w:sz w:val="18"/>
              </w:rPr>
              <w:t>30</w:t>
            </w:r>
          </w:p>
        </w:tc>
        <w:tc>
          <w:tcPr>
            <w:tcW w:type="dxa" w:w="2835"/>
            <w:vAlign w:val="top"/>
            <w:tcBorders>
              <w:bottom w:sz="4" w:val="single" w:color="CDC1A8"/>
            </w:tcBorders>
          </w:tcPr>
          <w:p>
            <w:pPr>
              <w:spacing w:before="80" w:after="80" w:line="324" w:lineRule="auto"/>
            </w:pPr>
            <w:r>
              <w:rPr>
                <w:rFonts w:ascii="Georgia" w:hAnsi="Georgia"/>
                <w:color w:val="161210"/>
                <w:sz w:val="18"/>
              </w:rPr>
              <w:t>Family-housing pilot — fastest to shovel-ready</w:t>
            </w:r>
          </w:p>
        </w:tc>
        <w:tc>
          <w:tcPr>
            <w:tcW w:type="dxa" w:w="2268"/>
            <w:vAlign w:val="top"/>
            <w:tcBorders>
              <w:bottom w:sz="4" w:val="single" w:color="CDC1A8"/>
            </w:tcBorders>
          </w:tcPr>
          <w:p>
            <w:pPr>
              <w:spacing w:before="80" w:after="80" w:line="324" w:lineRule="auto"/>
            </w:pPr>
            <w:r>
              <w:rPr>
                <w:rFonts w:ascii="Georgia" w:hAnsi="Georgia"/>
                <w:color w:val="161210"/>
                <w:sz w:val="18"/>
              </w:rPr>
              <w:t>Feasibility complete</w:t>
            </w:r>
          </w:p>
        </w:tc>
      </w:tr>
      <w:tr>
        <w:tc>
          <w:tcPr>
            <w:tcW w:type="dxa" w:w="2835"/>
            <w:vAlign w:val="top"/>
            <w:tcBorders>
              <w:bottom w:sz="4" w:val="single" w:color="CDC1A8"/>
            </w:tcBorders>
          </w:tcPr>
          <w:p>
            <w:pPr>
              <w:spacing w:before="80" w:after="80" w:line="324" w:lineRule="auto"/>
            </w:pPr>
            <w:r>
              <w:rPr>
                <w:rFonts w:ascii="Georgia" w:hAnsi="Georgia"/>
                <w:color w:val="161210"/>
                <w:sz w:val="18"/>
              </w:rPr>
              <w:t>4140 Finch Avenue East (NAMF)</w:t>
            </w:r>
          </w:p>
        </w:tc>
        <w:tc>
          <w:tcPr>
            <w:tcW w:type="dxa" w:w="1134"/>
            <w:vAlign w:val="top"/>
            <w:tcBorders>
              <w:bottom w:sz="4" w:val="single" w:color="CDC1A8"/>
            </w:tcBorders>
          </w:tcPr>
          <w:p>
            <w:pPr>
              <w:spacing w:before="80" w:after="80" w:line="324" w:lineRule="auto"/>
            </w:pPr>
            <w:r>
              <w:rPr>
                <w:rFonts w:ascii="Georgia" w:hAnsi="Georgia"/>
                <w:color w:val="161210"/>
                <w:sz w:val="18"/>
              </w:rPr>
              <w:t>243</w:t>
            </w:r>
          </w:p>
        </w:tc>
        <w:tc>
          <w:tcPr>
            <w:tcW w:type="dxa" w:w="2835"/>
            <w:vAlign w:val="top"/>
            <w:tcBorders>
              <w:bottom w:sz="4" w:val="single" w:color="CDC1A8"/>
            </w:tcBorders>
          </w:tcPr>
          <w:p>
            <w:pPr>
              <w:spacing w:before="80" w:after="80" w:line="324" w:lineRule="auto"/>
            </w:pPr>
            <w:r>
              <w:rPr>
                <w:rFonts w:ascii="Georgia" w:hAnsi="Georgia"/>
                <w:color w:val="161210"/>
                <w:sz w:val="18"/>
              </w:rPr>
              <w:t>Community anchor — housing, school, community hall</w:t>
            </w:r>
          </w:p>
        </w:tc>
        <w:tc>
          <w:tcPr>
            <w:tcW w:type="dxa" w:w="2268"/>
            <w:vAlign w:val="top"/>
            <w:tcBorders>
              <w:bottom w:sz="4" w:val="single" w:color="CDC1A8"/>
            </w:tcBorders>
          </w:tcPr>
          <w:p>
            <w:pPr>
              <w:spacing w:before="80" w:after="80" w:line="324" w:lineRule="auto"/>
            </w:pPr>
            <w:r>
              <w:rPr>
                <w:rFonts w:ascii="Georgia" w:hAnsi="Georgia"/>
                <w:color w:val="161210"/>
                <w:sz w:val="18"/>
              </w:rPr>
              <w:t>PAC plans issued Feb 2025</w:t>
            </w:r>
          </w:p>
        </w:tc>
      </w:tr>
      <w:tr>
        <w:tc>
          <w:tcPr>
            <w:tcW w:type="dxa" w:w="2835"/>
            <w:vAlign w:val="top"/>
            <w:tcBorders>
              <w:bottom w:sz="4" w:val="single" w:color="CDC1A8"/>
            </w:tcBorders>
          </w:tcPr>
          <w:p>
            <w:pPr>
              <w:spacing w:before="80" w:after="80" w:line="324" w:lineRule="auto"/>
            </w:pPr>
            <w:r>
              <w:rPr>
                <w:rFonts w:ascii="Georgia" w:hAnsi="Georgia"/>
                <w:color w:val="161210"/>
                <w:sz w:val="18"/>
              </w:rPr>
              <w:t>3175–3181 Sheppard Avenue East</w:t>
            </w:r>
          </w:p>
        </w:tc>
        <w:tc>
          <w:tcPr>
            <w:tcW w:type="dxa" w:w="1134"/>
            <w:vAlign w:val="top"/>
            <w:tcBorders>
              <w:bottom w:sz="4" w:val="single" w:color="CDC1A8"/>
            </w:tcBorders>
          </w:tcPr>
          <w:p>
            <w:pPr>
              <w:spacing w:before="80" w:after="80" w:line="324" w:lineRule="auto"/>
            </w:pPr>
            <w:r>
              <w:rPr>
                <w:rFonts w:ascii="Georgia" w:hAnsi="Georgia"/>
                <w:color w:val="161210"/>
                <w:sz w:val="18"/>
              </w:rPr>
              <w:t>194</w:t>
            </w:r>
          </w:p>
        </w:tc>
        <w:tc>
          <w:tcPr>
            <w:tcW w:type="dxa" w:w="2835"/>
            <w:vAlign w:val="top"/>
            <w:tcBorders>
              <w:bottom w:sz="4" w:val="single" w:color="CDC1A8"/>
            </w:tcBorders>
          </w:tcPr>
          <w:p>
            <w:pPr>
              <w:spacing w:before="80" w:after="80" w:line="324" w:lineRule="auto"/>
            </w:pPr>
            <w:r>
              <w:rPr>
                <w:rFonts w:ascii="Georgia" w:hAnsi="Georgia"/>
                <w:color w:val="161210"/>
                <w:sz w:val="18"/>
              </w:rPr>
              <w:t>Sheppard-corridor mixed-use density</w:t>
            </w:r>
          </w:p>
        </w:tc>
        <w:tc>
          <w:tcPr>
            <w:tcW w:type="dxa" w:w="2268"/>
            <w:vAlign w:val="top"/>
            <w:tcBorders>
              <w:bottom w:sz="4" w:val="single" w:color="CDC1A8"/>
            </w:tcBorders>
          </w:tcPr>
          <w:p>
            <w:pPr>
              <w:spacing w:before="80" w:after="80" w:line="324" w:lineRule="auto"/>
            </w:pPr>
            <w:r>
              <w:rPr>
                <w:rFonts w:ascii="Georgia" w:hAnsi="Georgia"/>
                <w:color w:val="161210"/>
                <w:sz w:val="18"/>
              </w:rPr>
              <w:t>ZBA in process</w:t>
            </w:r>
          </w:p>
        </w:tc>
      </w:tr>
      <w:tr>
        <w:tc>
          <w:tcPr>
            <w:tcW w:type="dxa" w:w="2835"/>
            <w:vAlign w:val="top"/>
            <w:tcBorders>
              <w:bottom w:sz="4" w:val="single" w:color="CDC1A8"/>
            </w:tcBorders>
          </w:tcPr>
          <w:p>
            <w:pPr>
              <w:spacing w:before="80" w:after="80" w:line="324" w:lineRule="auto"/>
            </w:pPr>
            <w:r>
              <w:rPr>
                <w:rFonts w:ascii="Georgia" w:hAnsi="Georgia"/>
                <w:color w:val="161210"/>
                <w:sz w:val="18"/>
              </w:rPr>
              <w:t>Scarborough portfolio total</w:t>
            </w:r>
          </w:p>
        </w:tc>
        <w:tc>
          <w:tcPr>
            <w:tcW w:type="dxa" w:w="1134"/>
            <w:vAlign w:val="top"/>
            <w:tcBorders>
              <w:bottom w:sz="4" w:val="single" w:color="CDC1A8"/>
            </w:tcBorders>
          </w:tcPr>
          <w:p>
            <w:pPr>
              <w:spacing w:before="80" w:after="80" w:line="324" w:lineRule="auto"/>
            </w:pPr>
            <w:r>
              <w:rPr>
                <w:rFonts w:ascii="Georgia" w:hAnsi="Georgia"/>
                <w:color w:val="161210"/>
                <w:sz w:val="18"/>
              </w:rPr>
              <w:t>467</w:t>
            </w:r>
          </w:p>
        </w:tc>
        <w:tc>
          <w:tcPr>
            <w:tcW w:type="dxa" w:w="2835"/>
            <w:vAlign w:val="top"/>
            <w:tcBorders>
              <w:bottom w:sz="4" w:val="single" w:color="CDC1A8"/>
            </w:tcBorders>
          </w:tcPr>
          <w:p>
            <w:pPr>
              <w:spacing w:before="80" w:after="80" w:line="324" w:lineRule="auto"/>
            </w:pPr>
            <w:r>
              <w:rPr>
                <w:rFonts w:ascii="Georgia" w:hAnsi="Georgia"/>
                <w:color w:val="161210"/>
                <w:sz w:val="18"/>
              </w:rPr>
              <w:t>Three sites, one priority geography</w:t>
            </w:r>
          </w:p>
        </w:tc>
        <w:tc>
          <w:tcPr>
            <w:tcW w:type="dxa" w:w="2268"/>
            <w:vAlign w:val="top"/>
            <w:tcBorders>
              <w:bottom w:sz="4" w:val="single" w:color="CDC1A8"/>
            </w:tcBorders>
          </w:tcPr>
          <w:p>
            <w:pPr>
              <w:spacing w:before="80" w:after="80" w:line="324" w:lineRule="auto"/>
            </w:pPr>
            <w:r>
              <w:rPr>
                <w:rFonts w:ascii="Georgia" w:hAnsi="Georgia"/>
                <w:color w:val="161210"/>
                <w:sz w:val="18"/>
              </w:rPr>
            </w:r>
          </w:p>
        </w:tc>
      </w:tr>
    </w:tbl>
    <w:p>
      <w:pPr>
        <w:spacing w:before="160" w:after="160" w:line="324" w:lineRule="auto"/>
        <w:jc w:val="left"/>
      </w:pPr>
    </w:p>
    <w:p>
      <w:pPr>
        <w:spacing w:before="280" w:after="120"/>
      </w:pPr>
      <w:r>
        <w:rPr>
          <w:rFonts w:ascii="Georgia" w:hAnsi="Georgia"/>
          <w:b/>
          <w:i w:val="0"/>
          <w:color w:val="C89344"/>
          <w:sz w:val="24"/>
        </w:rPr>
        <w:t>A Scarborough-rooted operator coalition</w:t>
      </w:r>
    </w:p>
    <w:p>
      <w:pPr>
        <w:spacing w:before="0" w:after="160" w:line="336" w:lineRule="auto"/>
        <w:jc w:val="both"/>
      </w:pPr>
      <w:r>
        <w:rPr>
          <w:rFonts w:ascii="Georgia" w:hAnsi="Georgia"/>
          <w:b w:val="0"/>
          <w:i w:val="0"/>
          <w:color w:val="161210"/>
          <w:sz w:val="20"/>
        </w:rPr>
        <w:t>Each site is paired with a community-rooted non-profit operator: Our Greenway Conservancy at Brimley, the North American Muslim Foundation at 4140 Finch, and a proposed operator partner at Sheppard, with RCHC providing the refugee-resident services pathway across the portfolio. These operators take permanent ownership at Year 20 — meaning the equity the platform generates is captured by Scarborough institutions and redeployed in Scarborough programmes.</w:t>
      </w:r>
    </w:p>
    <w:p>
      <w:pPr>
        <w:spacing w:before="0" w:after="160" w:line="336" w:lineRule="auto"/>
        <w:jc w:val="both"/>
      </w:pPr>
      <w:r>
        <w:rPr>
          <w:rFonts w:ascii="Georgia" w:hAnsi="Georgia"/>
          <w:b w:val="0"/>
          <w:i w:val="0"/>
          <w:color w:val="161210"/>
          <w:sz w:val="20"/>
        </w:rPr>
        <w:t>The full profile of each site — unit mix, affordability, project economics, timeline, and status — is set out in Addendum A.</w:t>
      </w:r>
    </w:p>
    <w:tbl>
      <w:tblPr>
        <w:tblW w:type="auto" w:w="0"/>
        <w:tblLook w:firstColumn="1" w:firstRow="1" w:lastColumn="0" w:lastRow="0" w:noHBand="0" w:noVBand="1" w:val="04A0"/>
      </w:tblPr>
      <w:tblGrid>
        <w:gridCol w:w="9066"/>
      </w:tblGrid>
      <w:tr>
        <w:tc>
          <w:tcPr>
            <w:tcW w:type="dxa" w:w="9066"/>
            <w:shd w:val="clear" w:color="auto" w:fill="fbf3da"/>
            <w:tcBorders>
              <w:top w:sz="4" w:val="single" w:color="C89344"/>
              <w:left w:sz="18" w:val="single" w:color="C89344"/>
              <w:bottom w:sz="4" w:val="single" w:color="C89344"/>
              <w:right w:sz="4" w:val="single" w:color="C89344"/>
            </w:tcBorders>
          </w:tcPr>
          <w:p>
            <w:pPr>
              <w:spacing w:after="80"/>
            </w:pPr>
            <w:r>
              <w:rPr>
                <w:rFonts w:ascii="Consolas" w:hAnsi="Consolas"/>
                <w:b/>
                <w:i w:val="0"/>
                <w:color w:val="C89344"/>
                <w:sz w:val="16"/>
              </w:rPr>
              <w:t>WHY THIS BELONGS IN THE PROPOSAL</w:t>
            </w:r>
          </w:p>
          <w:p>
            <w:pPr>
              <w:spacing w:after="80" w:line="336" w:lineRule="auto"/>
            </w:pPr>
            <w:r>
              <w:rPr>
                <w:rFonts w:ascii="Georgia" w:hAnsi="Georgia"/>
                <w:b w:val="0"/>
                <w:i w:val="0"/>
                <w:color w:val="161210"/>
                <w:sz w:val="20"/>
              </w:rPr>
              <w:t>Northpine asked how its impact would be felt on the ground in Scarborough. The answer is not a different proposal — it is this one. The national platform is the investment; Scarborough is the proof that it works where Northpine lives. Funding the platform funds these sites.</w:t>
            </w:r>
          </w:p>
        </w:tc>
      </w:tr>
    </w:tbl>
    <w:p>
      <w:pPr>
        <w:spacing w:before="160" w:after="160" w:line="324" w:lineRule="auto"/>
        <w:jc w:val="left"/>
      </w:pPr>
    </w:p>
    <w:p>
      <w:r>
        <w:br w:type="page"/>
      </w:r>
    </w:p>
    <w:p>
      <w:pPr>
        <w:spacing w:before="400" w:after="120" w:line="324" w:lineRule="auto"/>
        <w:jc w:val="left"/>
      </w:pPr>
    </w:p>
    <w:p>
      <w:pPr>
        <w:spacing w:before="200" w:after="360"/>
      </w:pPr>
      <w:r>
        <w:rPr>
          <w:rFonts w:ascii="Consolas" w:hAnsi="Consolas"/>
          <w:b/>
          <w:i w:val="0"/>
          <w:color w:val="C89344"/>
          <w:sz w:val="22"/>
        </w:rPr>
        <w:t xml:space="preserve">12  ·  </w:t>
      </w:r>
      <w:r>
        <w:rPr>
          <w:rFonts w:ascii="Georgia" w:hAnsi="Georgia"/>
          <w:b w:val="0"/>
          <w:i w:val="0"/>
          <w:color w:val="161210"/>
          <w:sz w:val="48"/>
        </w:rPr>
        <w:t>The Investment — $2,000,000</w:t>
      </w:r>
    </w:p>
    <w:p>
      <w:pPr>
        <w:spacing w:before="0" w:after="160" w:line="336" w:lineRule="auto"/>
        <w:jc w:val="both"/>
      </w:pPr>
      <w:r>
        <w:rPr>
          <w:rFonts w:ascii="Georgia" w:hAnsi="Georgia"/>
          <w:b w:val="0"/>
          <w:i w:val="0"/>
          <w:color w:val="161210"/>
          <w:sz w:val="20"/>
        </w:rPr>
        <w:t>This is a one-time investment in platform infrastructure — not project-by-project funding. It builds the system that activates Ubuntu LTD's delivery model and continues to deliver housing long after Northpine's funding ends.</w:t>
      </w:r>
    </w:p>
    <w:p>
      <w:pPr>
        <w:spacing w:before="0" w:after="160" w:line="336" w:lineRule="auto"/>
        <w:jc w:val="both"/>
      </w:pPr>
      <w:r>
        <w:rPr>
          <w:rFonts w:ascii="Georgia" w:hAnsi="Georgia"/>
          <w:b w:val="0"/>
          <w:i w:val="0"/>
          <w:color w:val="161210"/>
          <w:sz w:val="20"/>
        </w:rPr>
        <w:t>You asked to understand the breakdown. The amount is unchanged from our original proposal at $2,000,000; what follows makes its purpose fully legible. Every dollar maps to a concrete step on the path from stalled land to delivered housing.</w:t>
      </w:r>
    </w:p>
    <w:p>
      <w:pPr>
        <w:spacing w:before="280" w:after="120"/>
      </w:pPr>
      <w:r>
        <w:rPr>
          <w:rFonts w:ascii="Georgia" w:hAnsi="Georgia"/>
          <w:b/>
          <w:i w:val="0"/>
          <w:color w:val="C89344"/>
          <w:sz w:val="24"/>
        </w:rPr>
        <w:t>What the $2,000,000 does, in plain terms</w:t>
      </w:r>
    </w:p>
    <w:p>
      <w:pPr>
        <w:spacing w:before="0" w:after="160" w:line="336" w:lineRule="auto"/>
        <w:jc w:val="both"/>
      </w:pPr>
      <w:r>
        <w:rPr>
          <w:rFonts w:ascii="Georgia" w:hAnsi="Georgia"/>
          <w:b w:val="0"/>
          <w:i w:val="0"/>
          <w:color w:val="161210"/>
          <w:sz w:val="20"/>
        </w:rPr>
        <w:t>Read at the highest level, the investment supports four things:</w:t>
      </w:r>
    </w:p>
    <w:p>
      <w:pPr>
        <w:pStyle w:val="ListBullet"/>
        <w:spacing w:after="80" w:line="324" w:lineRule="auto"/>
        <w:ind w:left="454"/>
      </w:pPr>
      <w:r>
        <w:rPr>
          <w:rFonts w:ascii="Georgia" w:hAnsi="Georgia"/>
          <w:b w:val="0"/>
          <w:i w:val="0"/>
          <w:color w:val="161210"/>
          <w:sz w:val="20"/>
        </w:rPr>
        <w:t>Site tie-downs and land readiness — securing landowners, converting LOIs into binding agreements, and getting land to a state of readiness ($650,000).</w:t>
      </w:r>
    </w:p>
    <w:p>
      <w:pPr>
        <w:pStyle w:val="ListBullet"/>
        <w:spacing w:after="80" w:line="324" w:lineRule="auto"/>
        <w:ind w:left="454"/>
      </w:pPr>
      <w:r>
        <w:rPr>
          <w:rFonts w:ascii="Georgia" w:hAnsi="Georgia"/>
          <w:b w:val="0"/>
          <w:i w:val="0"/>
          <w:color w:val="161210"/>
          <w:sz w:val="20"/>
        </w:rPr>
        <w:t>Pre-development and structuring — the legal architecture, financial systems, and validation that turn a secured site into a financed one ($450,000).</w:t>
      </w:r>
    </w:p>
    <w:p>
      <w:pPr>
        <w:pStyle w:val="ListBullet"/>
        <w:spacing w:after="80" w:line="324" w:lineRule="auto"/>
        <w:ind w:left="454"/>
      </w:pPr>
      <w:r>
        <w:rPr>
          <w:rFonts w:ascii="Georgia" w:hAnsi="Georgia"/>
          <w:b w:val="0"/>
          <w:i w:val="0"/>
          <w:color w:val="161210"/>
          <w:sz w:val="20"/>
        </w:rPr>
        <w:t>The delivery platform itself — Ubuntu LTD's team, project leadership, technology, and government-relations capacity ($550,000).</w:t>
      </w:r>
    </w:p>
    <w:p>
      <w:pPr>
        <w:pStyle w:val="ListBullet"/>
        <w:spacing w:after="80" w:line="324" w:lineRule="auto"/>
        <w:ind w:left="454"/>
      </w:pPr>
      <w:r>
        <w:rPr>
          <w:rFonts w:ascii="Georgia" w:hAnsi="Georgia"/>
          <w:b w:val="0"/>
          <w:i w:val="0"/>
          <w:color w:val="161210"/>
          <w:sz w:val="20"/>
        </w:rPr>
        <w:t>Capital formation and positioning — the community-bond offering and the materials that bring partners to the table, with a strategic reserve for contingencies ($350,000).</w:t>
      </w:r>
    </w:p>
    <w:p>
      <w:pPr>
        <w:spacing w:before="280" w:after="120"/>
      </w:pPr>
      <w:r>
        <w:rPr>
          <w:rFonts w:ascii="Georgia" w:hAnsi="Georgia"/>
          <w:b/>
          <w:i w:val="0"/>
          <w:color w:val="C89344"/>
          <w:sz w:val="24"/>
        </w:rPr>
        <w:t>The full breakdown</w:t>
      </w:r>
    </w:p>
    <w:tbl>
      <w:tblPr>
        <w:tblW w:type="auto" w:w="0"/>
        <w:jc w:val="center"/>
        <w:tblLayout w:type="fixed"/>
        <w:tblLook w:firstColumn="1" w:firstRow="1" w:lastColumn="0" w:lastRow="0" w:noHBand="0" w:noVBand="1" w:val="04A0"/>
      </w:tblPr>
      <w:tblGrid>
        <w:gridCol w:w="3022"/>
        <w:gridCol w:w="3022"/>
        <w:gridCol w:w="3022"/>
      </w:tblGrid>
      <w:tr>
        <w:tc>
          <w:tcPr>
            <w:tcW w:type="dxa" w:w="2721"/>
            <w:shd w:val="clear" w:color="auto" w:fill="1f1612"/>
            <w:vAlign w:val="center"/>
          </w:tcPr>
          <w:p>
            <w:pPr>
              <w:spacing w:before="80" w:after="80"/>
            </w:pPr>
            <w:r>
              <w:rPr>
                <w:rFonts w:ascii="Consolas" w:hAnsi="Consolas"/>
                <w:b/>
                <w:color w:val="EBDFC4"/>
                <w:sz w:val="16"/>
              </w:rPr>
              <w:t>Category</w:t>
            </w:r>
          </w:p>
        </w:tc>
        <w:tc>
          <w:tcPr>
            <w:tcW w:type="dxa" w:w="1247"/>
            <w:shd w:val="clear" w:color="auto" w:fill="1f1612"/>
            <w:vAlign w:val="center"/>
          </w:tcPr>
          <w:p>
            <w:pPr>
              <w:spacing w:before="80" w:after="80"/>
            </w:pPr>
            <w:r>
              <w:rPr>
                <w:rFonts w:ascii="Consolas" w:hAnsi="Consolas"/>
                <w:b/>
                <w:color w:val="EBDFC4"/>
                <w:sz w:val="16"/>
              </w:rPr>
              <w:t>$</w:t>
            </w:r>
          </w:p>
        </w:tc>
        <w:tc>
          <w:tcPr>
            <w:tcW w:type="dxa" w:w="5102"/>
            <w:shd w:val="clear" w:color="auto" w:fill="1f1612"/>
            <w:vAlign w:val="center"/>
          </w:tcPr>
          <w:p>
            <w:pPr>
              <w:spacing w:before="80" w:after="80"/>
            </w:pPr>
            <w:r>
              <w:rPr>
                <w:rFonts w:ascii="Consolas" w:hAnsi="Consolas"/>
                <w:b/>
                <w:color w:val="EBDFC4"/>
                <w:sz w:val="16"/>
              </w:rPr>
              <w:t>What this dollar supports</w:t>
            </w:r>
          </w:p>
        </w:tc>
      </w:tr>
      <w:tr>
        <w:tc>
          <w:tcPr>
            <w:tcW w:type="dxa" w:w="2721"/>
            <w:vAlign w:val="top"/>
            <w:tcBorders>
              <w:bottom w:sz="4" w:val="single" w:color="CDC1A8"/>
            </w:tcBorders>
          </w:tcPr>
          <w:p>
            <w:pPr>
              <w:spacing w:before="80" w:after="80" w:line="324" w:lineRule="auto"/>
            </w:pPr>
            <w:r>
              <w:rPr>
                <w:rFonts w:ascii="Georgia" w:hAnsi="Georgia"/>
                <w:color w:val="161210"/>
                <w:sz w:val="18"/>
              </w:rPr>
              <w:t>Pipeline &amp; Site Advancement</w:t>
            </w:r>
          </w:p>
        </w:tc>
        <w:tc>
          <w:tcPr>
            <w:tcW w:type="dxa" w:w="1247"/>
            <w:vAlign w:val="top"/>
            <w:tcBorders>
              <w:bottom w:sz="4" w:val="single" w:color="CDC1A8"/>
            </w:tcBorders>
          </w:tcPr>
          <w:p>
            <w:pPr>
              <w:spacing w:before="80" w:after="80" w:line="324" w:lineRule="auto"/>
            </w:pPr>
            <w:r>
              <w:rPr>
                <w:rFonts w:ascii="Georgia" w:hAnsi="Georgia"/>
                <w:color w:val="161210"/>
                <w:sz w:val="18"/>
              </w:rPr>
              <w:t>$650,000</w:t>
            </w:r>
          </w:p>
        </w:tc>
        <w:tc>
          <w:tcPr>
            <w:tcW w:type="dxa" w:w="5102"/>
            <w:vAlign w:val="top"/>
            <w:tcBorders>
              <w:bottom w:sz="4" w:val="single" w:color="CDC1A8"/>
            </w:tcBorders>
          </w:tcPr>
          <w:p>
            <w:pPr>
              <w:spacing w:before="80" w:after="80" w:line="324" w:lineRule="auto"/>
            </w:pPr>
            <w:r>
              <w:rPr>
                <w:rFonts w:ascii="Georgia" w:hAnsi="Georgia"/>
                <w:color w:val="161210"/>
                <w:sz w:val="18"/>
              </w:rPr>
              <w:t>Site tie-downs with landowners — converting Letters of Intent into binding agreements — plus due diligence, appraisals, entitlement support, and the land-readiness work that moves sites from secured to financing-ready.</w:t>
            </w:r>
          </w:p>
        </w:tc>
      </w:tr>
      <w:tr>
        <w:tc>
          <w:tcPr>
            <w:tcW w:type="dxa" w:w="2721"/>
            <w:vAlign w:val="top"/>
            <w:tcBorders>
              <w:bottom w:sz="4" w:val="single" w:color="CDC1A8"/>
            </w:tcBorders>
          </w:tcPr>
          <w:p>
            <w:pPr>
              <w:spacing w:before="80" w:after="80" w:line="324" w:lineRule="auto"/>
            </w:pPr>
            <w:r>
              <w:rPr>
                <w:rFonts w:ascii="Georgia" w:hAnsi="Georgia"/>
                <w:color w:val="161210"/>
                <w:sz w:val="18"/>
              </w:rPr>
              <w:t>Platform Delivery &amp; Execution</w:t>
            </w:r>
          </w:p>
        </w:tc>
        <w:tc>
          <w:tcPr>
            <w:tcW w:type="dxa" w:w="1247"/>
            <w:vAlign w:val="top"/>
            <w:tcBorders>
              <w:bottom w:sz="4" w:val="single" w:color="CDC1A8"/>
            </w:tcBorders>
          </w:tcPr>
          <w:p>
            <w:pPr>
              <w:spacing w:before="80" w:after="80" w:line="324" w:lineRule="auto"/>
            </w:pPr>
            <w:r>
              <w:rPr>
                <w:rFonts w:ascii="Georgia" w:hAnsi="Georgia"/>
                <w:color w:val="161210"/>
                <w:sz w:val="18"/>
              </w:rPr>
              <w:t>$290,000</w:t>
            </w:r>
          </w:p>
        </w:tc>
        <w:tc>
          <w:tcPr>
            <w:tcW w:type="dxa" w:w="5102"/>
            <w:vAlign w:val="top"/>
            <w:tcBorders>
              <w:bottom w:sz="4" w:val="single" w:color="CDC1A8"/>
            </w:tcBorders>
          </w:tcPr>
          <w:p>
            <w:pPr>
              <w:spacing w:before="80" w:after="80" w:line="324" w:lineRule="auto"/>
            </w:pPr>
            <w:r>
              <w:rPr>
                <w:rFonts w:ascii="Georgia" w:hAnsi="Georgia"/>
                <w:color w:val="161210"/>
                <w:sz w:val="18"/>
              </w:rPr>
              <w:t>Ubuntu LTD's operational backbone: the development and delivery team and project leadership that structure each project, coordinate construction partners, and carry non-profit operators through to closing.</w:t>
            </w:r>
          </w:p>
        </w:tc>
      </w:tr>
      <w:tr>
        <w:tc>
          <w:tcPr>
            <w:tcW w:type="dxa" w:w="2721"/>
            <w:vAlign w:val="top"/>
            <w:tcBorders>
              <w:bottom w:sz="4" w:val="single" w:color="CDC1A8"/>
            </w:tcBorders>
          </w:tcPr>
          <w:p>
            <w:pPr>
              <w:spacing w:before="80" w:after="80" w:line="324" w:lineRule="auto"/>
            </w:pPr>
            <w:r>
              <w:rPr>
                <w:rFonts w:ascii="Georgia" w:hAnsi="Georgia"/>
                <w:color w:val="161210"/>
                <w:sz w:val="18"/>
              </w:rPr>
              <w:t>Legal &amp; Structural Architecture</w:t>
            </w:r>
          </w:p>
        </w:tc>
        <w:tc>
          <w:tcPr>
            <w:tcW w:type="dxa" w:w="1247"/>
            <w:vAlign w:val="top"/>
            <w:tcBorders>
              <w:bottom w:sz="4" w:val="single" w:color="CDC1A8"/>
            </w:tcBorders>
          </w:tcPr>
          <w:p>
            <w:pPr>
              <w:spacing w:before="80" w:after="80" w:line="324" w:lineRule="auto"/>
            </w:pPr>
            <w:r>
              <w:rPr>
                <w:rFonts w:ascii="Georgia" w:hAnsi="Georgia"/>
                <w:color w:val="161210"/>
                <w:sz w:val="18"/>
              </w:rPr>
              <w:t>$275,000</w:t>
            </w:r>
          </w:p>
        </w:tc>
        <w:tc>
          <w:tcPr>
            <w:tcW w:type="dxa" w:w="5102"/>
            <w:vAlign w:val="top"/>
            <w:tcBorders>
              <w:bottom w:sz="4" w:val="single" w:color="CDC1A8"/>
            </w:tcBorders>
          </w:tcPr>
          <w:p>
            <w:pPr>
              <w:spacing w:before="80" w:after="80" w:line="324" w:lineRule="auto"/>
            </w:pPr>
            <w:r>
              <w:rPr>
                <w:rFonts w:ascii="Georgia" w:hAnsi="Georgia"/>
                <w:color w:val="161210"/>
                <w:sz w:val="18"/>
              </w:rPr>
              <w:t>The repeatable legal templates — Common Ground partnership agreements, SPV formation, ground-lease and title structuring, affordability covenants, and CMHC-compliant documentation — built once and used on every site.</w:t>
            </w:r>
          </w:p>
        </w:tc>
      </w:tr>
      <w:tr>
        <w:tc>
          <w:tcPr>
            <w:tcW w:type="dxa" w:w="2721"/>
            <w:vAlign w:val="top"/>
            <w:tcBorders>
              <w:bottom w:sz="4" w:val="single" w:color="CDC1A8"/>
            </w:tcBorders>
          </w:tcPr>
          <w:p>
            <w:pPr>
              <w:spacing w:before="80" w:after="80" w:line="324" w:lineRule="auto"/>
            </w:pPr>
            <w:r>
              <w:rPr>
                <w:rFonts w:ascii="Georgia" w:hAnsi="Georgia"/>
                <w:color w:val="161210"/>
                <w:sz w:val="18"/>
              </w:rPr>
              <w:t>Government &amp; Institutional Engagement</w:t>
            </w:r>
          </w:p>
        </w:tc>
        <w:tc>
          <w:tcPr>
            <w:tcW w:type="dxa" w:w="1247"/>
            <w:vAlign w:val="top"/>
            <w:tcBorders>
              <w:bottom w:sz="4" w:val="single" w:color="CDC1A8"/>
            </w:tcBorders>
          </w:tcPr>
          <w:p>
            <w:pPr>
              <w:spacing w:before="80" w:after="80" w:line="324" w:lineRule="auto"/>
            </w:pPr>
            <w:r>
              <w:rPr>
                <w:rFonts w:ascii="Georgia" w:hAnsi="Georgia"/>
                <w:color w:val="161210"/>
                <w:sz w:val="18"/>
              </w:rPr>
              <w:t>$180,000</w:t>
            </w:r>
          </w:p>
        </w:tc>
        <w:tc>
          <w:tcPr>
            <w:tcW w:type="dxa" w:w="5102"/>
            <w:vAlign w:val="top"/>
            <w:tcBorders>
              <w:bottom w:sz="4" w:val="single" w:color="CDC1A8"/>
            </w:tcBorders>
          </w:tcPr>
          <w:p>
            <w:pPr>
              <w:spacing w:before="80" w:after="80" w:line="324" w:lineRule="auto"/>
            </w:pPr>
            <w:r>
              <w:rPr>
                <w:rFonts w:ascii="Georgia" w:hAnsi="Georgia"/>
                <w:color w:val="161210"/>
                <w:sz w:val="18"/>
              </w:rPr>
              <w:t>Retained government-relations counsel and institutional engagement across Build Canada Homes, CMHC, and municipalities — packaging submissions, negotiating development-charge waivers and incentives, and advancing approvals.</w:t>
            </w:r>
          </w:p>
        </w:tc>
      </w:tr>
      <w:tr>
        <w:tc>
          <w:tcPr>
            <w:tcW w:type="dxa" w:w="2721"/>
            <w:vAlign w:val="top"/>
            <w:tcBorders>
              <w:bottom w:sz="4" w:val="single" w:color="CDC1A8"/>
            </w:tcBorders>
          </w:tcPr>
          <w:p>
            <w:pPr>
              <w:spacing w:before="80" w:after="80" w:line="324" w:lineRule="auto"/>
            </w:pPr>
            <w:r>
              <w:rPr>
                <w:rFonts w:ascii="Georgia" w:hAnsi="Georgia"/>
                <w:color w:val="161210"/>
                <w:sz w:val="18"/>
              </w:rPr>
              <w:t>Capital Formation (Community Bonds)</w:t>
            </w:r>
          </w:p>
        </w:tc>
        <w:tc>
          <w:tcPr>
            <w:tcW w:type="dxa" w:w="1247"/>
            <w:vAlign w:val="top"/>
            <w:tcBorders>
              <w:bottom w:sz="4" w:val="single" w:color="CDC1A8"/>
            </w:tcBorders>
          </w:tcPr>
          <w:p>
            <w:pPr>
              <w:spacing w:before="80" w:after="80" w:line="324" w:lineRule="auto"/>
            </w:pPr>
            <w:r>
              <w:rPr>
                <w:rFonts w:ascii="Georgia" w:hAnsi="Georgia"/>
                <w:color w:val="161210"/>
                <w:sz w:val="18"/>
              </w:rPr>
              <w:t>$150,000</w:t>
            </w:r>
          </w:p>
        </w:tc>
        <w:tc>
          <w:tcPr>
            <w:tcW w:type="dxa" w:w="5102"/>
            <w:vAlign w:val="top"/>
            <w:tcBorders>
              <w:bottom w:sz="4" w:val="single" w:color="CDC1A8"/>
            </w:tcBorders>
          </w:tcPr>
          <w:p>
            <w:pPr>
              <w:spacing w:before="80" w:after="80" w:line="324" w:lineRule="auto"/>
            </w:pPr>
            <w:r>
              <w:rPr>
                <w:rFonts w:ascii="Georgia" w:hAnsi="Georgia"/>
                <w:color w:val="161210"/>
                <w:sz w:val="18"/>
              </w:rPr>
              <w:t>Design and launch of the community-bond offering that broadens participation and supplies flexible capital alongside the federal programmes.</w:t>
            </w:r>
          </w:p>
        </w:tc>
      </w:tr>
      <w:tr>
        <w:tc>
          <w:tcPr>
            <w:tcW w:type="dxa" w:w="2721"/>
            <w:vAlign w:val="top"/>
            <w:tcBorders>
              <w:bottom w:sz="4" w:val="single" w:color="CDC1A8"/>
            </w:tcBorders>
          </w:tcPr>
          <w:p>
            <w:pPr>
              <w:spacing w:before="80" w:after="80" w:line="324" w:lineRule="auto"/>
            </w:pPr>
            <w:r>
              <w:rPr>
                <w:rFonts w:ascii="Georgia" w:hAnsi="Georgia"/>
                <w:color w:val="161210"/>
                <w:sz w:val="18"/>
              </w:rPr>
              <w:t>Communications &amp; Positioning</w:t>
            </w:r>
          </w:p>
        </w:tc>
        <w:tc>
          <w:tcPr>
            <w:tcW w:type="dxa" w:w="1247"/>
            <w:vAlign w:val="top"/>
            <w:tcBorders>
              <w:bottom w:sz="4" w:val="single" w:color="CDC1A8"/>
            </w:tcBorders>
          </w:tcPr>
          <w:p>
            <w:pPr>
              <w:spacing w:before="80" w:after="80" w:line="324" w:lineRule="auto"/>
            </w:pPr>
            <w:r>
              <w:rPr>
                <w:rFonts w:ascii="Georgia" w:hAnsi="Georgia"/>
                <w:color w:val="161210"/>
                <w:sz w:val="18"/>
              </w:rPr>
              <w:t>$120,000</w:t>
            </w:r>
          </w:p>
        </w:tc>
        <w:tc>
          <w:tcPr>
            <w:tcW w:type="dxa" w:w="5102"/>
            <w:vAlign w:val="top"/>
            <w:tcBorders>
              <w:bottom w:sz="4" w:val="single" w:color="CDC1A8"/>
            </w:tcBorders>
          </w:tcPr>
          <w:p>
            <w:pPr>
              <w:spacing w:before="80" w:after="80" w:line="324" w:lineRule="auto"/>
            </w:pPr>
            <w:r>
              <w:rPr>
                <w:rFonts w:ascii="Georgia" w:hAnsi="Georgia"/>
                <w:color w:val="161210"/>
                <w:sz w:val="18"/>
              </w:rPr>
              <w:t>The proposal, pitch, and positioning materials that bring landowners, non-profit operators, and lenders to the table.</w:t>
            </w:r>
          </w:p>
        </w:tc>
      </w:tr>
      <w:tr>
        <w:tc>
          <w:tcPr>
            <w:tcW w:type="dxa" w:w="2721"/>
            <w:vAlign w:val="top"/>
            <w:tcBorders>
              <w:bottom w:sz="4" w:val="single" w:color="CDC1A8"/>
            </w:tcBorders>
          </w:tcPr>
          <w:p>
            <w:pPr>
              <w:spacing w:before="80" w:after="80" w:line="324" w:lineRule="auto"/>
            </w:pPr>
            <w:r>
              <w:rPr>
                <w:rFonts w:ascii="Georgia" w:hAnsi="Georgia"/>
                <w:color w:val="161210"/>
                <w:sz w:val="18"/>
              </w:rPr>
              <w:t>Financial Systems &amp; Readiness</w:t>
            </w:r>
          </w:p>
        </w:tc>
        <w:tc>
          <w:tcPr>
            <w:tcW w:type="dxa" w:w="1247"/>
            <w:vAlign w:val="top"/>
            <w:tcBorders>
              <w:bottom w:sz="4" w:val="single" w:color="CDC1A8"/>
            </w:tcBorders>
          </w:tcPr>
          <w:p>
            <w:pPr>
              <w:spacing w:before="80" w:after="80" w:line="324" w:lineRule="auto"/>
            </w:pPr>
            <w:r>
              <w:rPr>
                <w:rFonts w:ascii="Georgia" w:hAnsi="Georgia"/>
                <w:color w:val="161210"/>
                <w:sz w:val="18"/>
              </w:rPr>
              <w:t>$100,000</w:t>
            </w:r>
          </w:p>
        </w:tc>
        <w:tc>
          <w:tcPr>
            <w:tcW w:type="dxa" w:w="5102"/>
            <w:vAlign w:val="top"/>
            <w:tcBorders>
              <w:bottom w:sz="4" w:val="single" w:color="CDC1A8"/>
            </w:tcBorders>
          </w:tcPr>
          <w:p>
            <w:pPr>
              <w:spacing w:before="80" w:after="80" w:line="324" w:lineRule="auto"/>
            </w:pPr>
            <w:r>
              <w:rPr>
                <w:rFonts w:ascii="Georgia" w:hAnsi="Georgia"/>
                <w:color w:val="161210"/>
                <w:sz w:val="18"/>
              </w:rPr>
              <w:t>Financial controls, pro-forma modelling, audit readiness, and the reporting infrastructure that Northpine's quarterly dashboard requires.</w:t>
            </w:r>
          </w:p>
        </w:tc>
      </w:tr>
      <w:tr>
        <w:tc>
          <w:tcPr>
            <w:tcW w:type="dxa" w:w="2721"/>
            <w:vAlign w:val="top"/>
            <w:tcBorders>
              <w:bottom w:sz="4" w:val="single" w:color="CDC1A8"/>
            </w:tcBorders>
          </w:tcPr>
          <w:p>
            <w:pPr>
              <w:spacing w:before="80" w:after="80" w:line="324" w:lineRule="auto"/>
            </w:pPr>
            <w:r>
              <w:rPr>
                <w:rFonts w:ascii="Georgia" w:hAnsi="Georgia"/>
                <w:color w:val="161210"/>
                <w:sz w:val="18"/>
              </w:rPr>
              <w:t>Technology &amp; Systems</w:t>
            </w:r>
          </w:p>
        </w:tc>
        <w:tc>
          <w:tcPr>
            <w:tcW w:type="dxa" w:w="1247"/>
            <w:vAlign w:val="top"/>
            <w:tcBorders>
              <w:bottom w:sz="4" w:val="single" w:color="CDC1A8"/>
            </w:tcBorders>
          </w:tcPr>
          <w:p>
            <w:pPr>
              <w:spacing w:before="80" w:after="80" w:line="324" w:lineRule="auto"/>
            </w:pPr>
            <w:r>
              <w:rPr>
                <w:rFonts w:ascii="Georgia" w:hAnsi="Georgia"/>
                <w:color w:val="161210"/>
                <w:sz w:val="18"/>
              </w:rPr>
              <w:t>$80,000</w:t>
            </w:r>
          </w:p>
        </w:tc>
        <w:tc>
          <w:tcPr>
            <w:tcW w:type="dxa" w:w="5102"/>
            <w:vAlign w:val="top"/>
            <w:tcBorders>
              <w:bottom w:sz="4" w:val="single" w:color="CDC1A8"/>
            </w:tcBorders>
          </w:tcPr>
          <w:p>
            <w:pPr>
              <w:spacing w:before="80" w:after="80" w:line="324" w:lineRule="auto"/>
            </w:pPr>
            <w:r>
              <w:rPr>
                <w:rFonts w:ascii="Georgia" w:hAnsi="Georgia"/>
                <w:color w:val="161210"/>
                <w:sz w:val="18"/>
              </w:rPr>
              <w:t>Project-management, monitoring, and data systems that track every site from feasibility to occupancy.</w:t>
            </w:r>
          </w:p>
        </w:tc>
      </w:tr>
      <w:tr>
        <w:tc>
          <w:tcPr>
            <w:tcW w:type="dxa" w:w="2721"/>
            <w:vAlign w:val="top"/>
            <w:tcBorders>
              <w:bottom w:sz="4" w:val="single" w:color="CDC1A8"/>
            </w:tcBorders>
          </w:tcPr>
          <w:p>
            <w:pPr>
              <w:spacing w:before="80" w:after="80" w:line="324" w:lineRule="auto"/>
            </w:pPr>
            <w:r>
              <w:rPr>
                <w:rFonts w:ascii="Georgia" w:hAnsi="Georgia"/>
                <w:color w:val="161210"/>
                <w:sz w:val="18"/>
              </w:rPr>
              <w:t>Strategic Reserve</w:t>
            </w:r>
          </w:p>
        </w:tc>
        <w:tc>
          <w:tcPr>
            <w:tcW w:type="dxa" w:w="1247"/>
            <w:vAlign w:val="top"/>
            <w:tcBorders>
              <w:bottom w:sz="4" w:val="single" w:color="CDC1A8"/>
            </w:tcBorders>
          </w:tcPr>
          <w:p>
            <w:pPr>
              <w:spacing w:before="80" w:after="80" w:line="324" w:lineRule="auto"/>
            </w:pPr>
            <w:r>
              <w:rPr>
                <w:rFonts w:ascii="Georgia" w:hAnsi="Georgia"/>
                <w:color w:val="161210"/>
                <w:sz w:val="18"/>
              </w:rPr>
              <w:t>$80,000</w:t>
            </w:r>
          </w:p>
        </w:tc>
        <w:tc>
          <w:tcPr>
            <w:tcW w:type="dxa" w:w="5102"/>
            <w:vAlign w:val="top"/>
            <w:tcBorders>
              <w:bottom w:sz="4" w:val="single" w:color="CDC1A8"/>
            </w:tcBorders>
          </w:tcPr>
          <w:p>
            <w:pPr>
              <w:spacing w:before="80" w:after="80" w:line="324" w:lineRule="auto"/>
            </w:pPr>
            <w:r>
              <w:rPr>
                <w:rFonts w:ascii="Georgia" w:hAnsi="Georgia"/>
                <w:color w:val="161210"/>
                <w:sz w:val="18"/>
              </w:rPr>
              <w:t>Contingency for site-specific pre-development surprises and timing gaps.</w:t>
            </w:r>
          </w:p>
        </w:tc>
      </w:tr>
      <w:tr>
        <w:tc>
          <w:tcPr>
            <w:tcW w:type="dxa" w:w="2721"/>
            <w:vAlign w:val="top"/>
            <w:tcBorders>
              <w:bottom w:sz="4" w:val="single" w:color="CDC1A8"/>
            </w:tcBorders>
          </w:tcPr>
          <w:p>
            <w:pPr>
              <w:spacing w:before="80" w:after="80" w:line="324" w:lineRule="auto"/>
            </w:pPr>
            <w:r>
              <w:rPr>
                <w:rFonts w:ascii="Georgia" w:hAnsi="Georgia"/>
                <w:color w:val="161210"/>
                <w:sz w:val="18"/>
              </w:rPr>
              <w:t>Model Validation</w:t>
            </w:r>
          </w:p>
        </w:tc>
        <w:tc>
          <w:tcPr>
            <w:tcW w:type="dxa" w:w="1247"/>
            <w:vAlign w:val="top"/>
            <w:tcBorders>
              <w:bottom w:sz="4" w:val="single" w:color="CDC1A8"/>
            </w:tcBorders>
          </w:tcPr>
          <w:p>
            <w:pPr>
              <w:spacing w:before="80" w:after="80" w:line="324" w:lineRule="auto"/>
            </w:pPr>
            <w:r>
              <w:rPr>
                <w:rFonts w:ascii="Georgia" w:hAnsi="Georgia"/>
                <w:color w:val="161210"/>
                <w:sz w:val="18"/>
              </w:rPr>
              <w:t>$75,000</w:t>
            </w:r>
          </w:p>
        </w:tc>
        <w:tc>
          <w:tcPr>
            <w:tcW w:type="dxa" w:w="5102"/>
            <w:vAlign w:val="top"/>
            <w:tcBorders>
              <w:bottom w:sz="4" w:val="single" w:color="CDC1A8"/>
            </w:tcBorders>
          </w:tcPr>
          <w:p>
            <w:pPr>
              <w:spacing w:before="80" w:after="80" w:line="324" w:lineRule="auto"/>
            </w:pPr>
            <w:r>
              <w:rPr>
                <w:rFonts w:ascii="Georgia" w:hAnsi="Georgia"/>
                <w:color w:val="161210"/>
                <w:sz w:val="18"/>
              </w:rPr>
              <w:t>Independent third-party legal, financial, and CMHC review that validates and de-risks the model for scale.</w:t>
            </w:r>
          </w:p>
        </w:tc>
      </w:tr>
      <w:tr>
        <w:tc>
          <w:tcPr>
            <w:tcW w:type="dxa" w:w="2721"/>
            <w:vAlign w:val="top"/>
            <w:tcBorders>
              <w:bottom w:sz="4" w:val="single" w:color="CDC1A8"/>
            </w:tcBorders>
          </w:tcPr>
          <w:p>
            <w:pPr>
              <w:spacing w:before="80" w:after="80" w:line="324" w:lineRule="auto"/>
            </w:pPr>
            <w:r>
              <w:rPr>
                <w:rFonts w:ascii="Georgia" w:hAnsi="Georgia"/>
                <w:color w:val="161210"/>
                <w:sz w:val="18"/>
              </w:rPr>
              <w:t>Total</w:t>
            </w:r>
          </w:p>
        </w:tc>
        <w:tc>
          <w:tcPr>
            <w:tcW w:type="dxa" w:w="1247"/>
            <w:vAlign w:val="top"/>
            <w:tcBorders>
              <w:bottom w:sz="4" w:val="single" w:color="CDC1A8"/>
            </w:tcBorders>
          </w:tcPr>
          <w:p>
            <w:pPr>
              <w:spacing w:before="80" w:after="80" w:line="324" w:lineRule="auto"/>
            </w:pPr>
            <w:r>
              <w:rPr>
                <w:rFonts w:ascii="Georgia" w:hAnsi="Georgia"/>
                <w:color w:val="161210"/>
                <w:sz w:val="18"/>
              </w:rPr>
              <w:t>$2,000,000</w:t>
            </w:r>
          </w:p>
        </w:tc>
        <w:tc>
          <w:tcPr>
            <w:tcW w:type="dxa" w:w="5102"/>
            <w:vAlign w:val="top"/>
            <w:tcBorders>
              <w:bottom w:sz="4" w:val="single" w:color="CDC1A8"/>
            </w:tcBorders>
          </w:tcPr>
          <w:p>
            <w:pPr>
              <w:spacing w:before="80" w:after="80" w:line="324" w:lineRule="auto"/>
            </w:pPr>
            <w:r>
              <w:rPr>
                <w:rFonts w:ascii="Georgia" w:hAnsi="Georgia"/>
                <w:color w:val="161210"/>
                <w:sz w:val="18"/>
              </w:rPr>
              <w:t>One-time platform infrastructure investment</w:t>
            </w:r>
          </w:p>
        </w:tc>
      </w:tr>
    </w:tbl>
    <w:p>
      <w:pPr>
        <w:spacing w:before="160" w:after="160" w:line="324" w:lineRule="auto"/>
        <w:jc w:val="left"/>
      </w:pPr>
    </w:p>
    <w:tbl>
      <w:tblPr>
        <w:tblW w:type="auto" w:w="0"/>
        <w:tblLook w:firstColumn="1" w:firstRow="1" w:lastColumn="0" w:lastRow="0" w:noHBand="0" w:noVBand="1" w:val="04A0"/>
      </w:tblPr>
      <w:tblGrid>
        <w:gridCol w:w="9066"/>
      </w:tblGrid>
      <w:tr>
        <w:tc>
          <w:tcPr>
            <w:tcW w:type="dxa" w:w="9066"/>
            <w:shd w:val="clear" w:color="auto" w:fill="fbf3da"/>
            <w:tcBorders>
              <w:top w:sz="4" w:val="single" w:color="C89344"/>
              <w:left w:sz="18" w:val="single" w:color="C89344"/>
              <w:bottom w:sz="4" w:val="single" w:color="C89344"/>
              <w:right w:sz="4" w:val="single" w:color="C89344"/>
            </w:tcBorders>
          </w:tcPr>
          <w:p>
            <w:pPr>
              <w:spacing w:after="80"/>
            </w:pPr>
            <w:r>
              <w:rPr>
                <w:rFonts w:ascii="Consolas" w:hAnsi="Consolas"/>
                <w:b/>
                <w:i w:val="0"/>
                <w:color w:val="C89344"/>
                <w:sz w:val="16"/>
              </w:rPr>
              <w:t>A ONE-TIME INVESTMENT — MILESTONE-TRACKED, THEN SELF-SUSTAINING</w:t>
            </w:r>
          </w:p>
          <w:p>
            <w:pPr>
              <w:spacing w:after="80" w:line="336" w:lineRule="auto"/>
            </w:pPr>
            <w:r>
              <w:rPr>
                <w:rFonts w:ascii="Georgia" w:hAnsi="Georgia"/>
                <w:b w:val="0"/>
                <w:i w:val="0"/>
                <w:color w:val="161210"/>
                <w:sz w:val="20"/>
              </w:rPr>
              <w:t>The $2,000,000 is deployed against agreed milestones and reported through the quarterly dashboard Northpine's portfolio team uses. It is a one-time investment: Ubuntu LTD reaches 100% earned-revenue self-sufficiency by Month 24, after which the platform operates without further philanthropic capital. Northpine funds the system once; the system delivers housing permanently.</w:t>
            </w:r>
          </w:p>
        </w:tc>
      </w:tr>
    </w:tbl>
    <w:p>
      <w:pPr>
        <w:spacing w:before="160" w:after="160" w:line="324" w:lineRule="auto"/>
        <w:jc w:val="left"/>
      </w:pPr>
    </w:p>
    <w:p>
      <w:r>
        <w:br w:type="page"/>
      </w:r>
    </w:p>
    <w:p>
      <w:pPr>
        <w:spacing w:before="400" w:after="120" w:line="324" w:lineRule="auto"/>
        <w:jc w:val="left"/>
      </w:pPr>
    </w:p>
    <w:p>
      <w:pPr>
        <w:spacing w:before="200" w:after="360"/>
      </w:pPr>
      <w:r>
        <w:rPr>
          <w:rFonts w:ascii="Consolas" w:hAnsi="Consolas"/>
          <w:b/>
          <w:i w:val="0"/>
          <w:color w:val="C89344"/>
          <w:sz w:val="22"/>
        </w:rPr>
        <w:t xml:space="preserve">13  ·  </w:t>
      </w:r>
      <w:r>
        <w:rPr>
          <w:rFonts w:ascii="Georgia" w:hAnsi="Georgia"/>
          <w:b w:val="0"/>
          <w:i w:val="0"/>
          <w:color w:val="161210"/>
          <w:sz w:val="48"/>
        </w:rPr>
        <w:t>Measurable Outcomes &amp; Sustainability</w:t>
      </w:r>
    </w:p>
    <w:p>
      <w:pPr>
        <w:spacing w:before="0" w:after="160" w:line="336" w:lineRule="auto"/>
        <w:jc w:val="both"/>
      </w:pPr>
      <w:r>
        <w:rPr>
          <w:rFonts w:ascii="Georgia" w:hAnsi="Georgia"/>
          <w:b w:val="0"/>
          <w:i w:val="0"/>
          <w:color w:val="161210"/>
          <w:sz w:val="20"/>
        </w:rPr>
        <w:t>Northpine tracks how investments bring real value for people and communities. The success of this investment will be measured against the outcomes Northpine cares about most: shovels in the ground, keys delivered to residents, and deeper affordability for a meaningful share of the portfolio.</w:t>
      </w:r>
    </w:p>
    <w:p>
      <w:pPr>
        <w:spacing w:before="280" w:after="120"/>
      </w:pPr>
      <w:r>
        <w:rPr>
          <w:rFonts w:ascii="Georgia" w:hAnsi="Georgia"/>
          <w:b/>
          <w:i w:val="0"/>
          <w:color w:val="C89344"/>
          <w:sz w:val="24"/>
        </w:rPr>
        <w:t>A · Getting shovels in the ground</w:t>
      </w:r>
    </w:p>
    <w:tbl>
      <w:tblPr>
        <w:tblW w:type="auto" w:w="0"/>
        <w:jc w:val="center"/>
        <w:tblLayout w:type="fixed"/>
        <w:tblLook w:firstColumn="1" w:firstRow="1" w:lastColumn="0" w:lastRow="0" w:noHBand="0" w:noVBand="1" w:val="04A0"/>
      </w:tblPr>
      <w:tblGrid>
        <w:gridCol w:w="4533"/>
        <w:gridCol w:w="4533"/>
      </w:tblGrid>
      <w:tr>
        <w:tc>
          <w:tcPr>
            <w:tcW w:type="dxa" w:w="5102"/>
            <w:shd w:val="clear" w:color="auto" w:fill="1f1612"/>
            <w:vAlign w:val="center"/>
          </w:tcPr>
          <w:p>
            <w:pPr>
              <w:spacing w:before="80" w:after="80"/>
            </w:pPr>
            <w:r>
              <w:rPr>
                <w:rFonts w:ascii="Consolas" w:hAnsi="Consolas"/>
                <w:b/>
                <w:color w:val="EBDFC4"/>
                <w:sz w:val="16"/>
              </w:rPr>
              <w:t>Milestone</w:t>
            </w:r>
          </w:p>
        </w:tc>
        <w:tc>
          <w:tcPr>
            <w:tcW w:type="dxa" w:w="3969"/>
            <w:shd w:val="clear" w:color="auto" w:fill="1f1612"/>
            <w:vAlign w:val="center"/>
          </w:tcPr>
          <w:p>
            <w:pPr>
              <w:spacing w:before="80" w:after="80"/>
            </w:pPr>
            <w:r>
              <w:rPr>
                <w:rFonts w:ascii="Consolas" w:hAnsi="Consolas"/>
                <w:b/>
                <w:color w:val="EBDFC4"/>
                <w:sz w:val="16"/>
              </w:rPr>
              <w:t>Target (12–18 months)</w:t>
            </w:r>
          </w:p>
        </w:tc>
      </w:tr>
      <w:tr>
        <w:tc>
          <w:tcPr>
            <w:tcW w:type="dxa" w:w="5102"/>
            <w:vAlign w:val="top"/>
            <w:tcBorders>
              <w:bottom w:sz="4" w:val="single" w:color="CDC1A8"/>
            </w:tcBorders>
          </w:tcPr>
          <w:p>
            <w:pPr>
              <w:spacing w:before="80" w:after="80" w:line="324" w:lineRule="auto"/>
            </w:pPr>
            <w:r>
              <w:rPr>
                <w:rFonts w:ascii="Georgia" w:hAnsi="Georgia"/>
                <w:color w:val="161210"/>
                <w:sz w:val="18"/>
              </w:rPr>
              <w:t>Launchpad projects advanced to construction-ready</w:t>
            </w:r>
          </w:p>
        </w:tc>
        <w:tc>
          <w:tcPr>
            <w:tcW w:type="dxa" w:w="3969"/>
            <w:vAlign w:val="top"/>
            <w:tcBorders>
              <w:bottom w:sz="4" w:val="single" w:color="CDC1A8"/>
            </w:tcBorders>
          </w:tcPr>
          <w:p>
            <w:pPr>
              <w:spacing w:before="80" w:after="80" w:line="324" w:lineRule="auto"/>
            </w:pPr>
            <w:r>
              <w:rPr>
                <w:rFonts w:ascii="Georgia" w:hAnsi="Georgia"/>
                <w:color w:val="161210"/>
                <w:sz w:val="18"/>
              </w:rPr>
              <w:t>4 projects (906 homes)</w:t>
            </w:r>
          </w:p>
        </w:tc>
      </w:tr>
      <w:tr>
        <w:tc>
          <w:tcPr>
            <w:tcW w:type="dxa" w:w="5102"/>
            <w:vAlign w:val="top"/>
            <w:tcBorders>
              <w:bottom w:sz="4" w:val="single" w:color="CDC1A8"/>
            </w:tcBorders>
          </w:tcPr>
          <w:p>
            <w:pPr>
              <w:spacing w:before="80" w:after="80" w:line="324" w:lineRule="auto"/>
            </w:pPr>
            <w:r>
              <w:rPr>
                <w:rFonts w:ascii="Georgia" w:hAnsi="Georgia"/>
                <w:color w:val="161210"/>
                <w:sz w:val="18"/>
              </w:rPr>
              <w:t>CMHC / BCH capital activated for Launchpad</w:t>
            </w:r>
          </w:p>
        </w:tc>
        <w:tc>
          <w:tcPr>
            <w:tcW w:type="dxa" w:w="3969"/>
            <w:vAlign w:val="top"/>
            <w:tcBorders>
              <w:bottom w:sz="4" w:val="single" w:color="CDC1A8"/>
            </w:tcBorders>
          </w:tcPr>
          <w:p>
            <w:pPr>
              <w:spacing w:before="80" w:after="80" w:line="324" w:lineRule="auto"/>
            </w:pPr>
            <w:r>
              <w:rPr>
                <w:rFonts w:ascii="Georgia" w:hAnsi="Georgia"/>
                <w:color w:val="161210"/>
                <w:sz w:val="18"/>
              </w:rPr>
              <w:t>~$615M federal deployment (est., 90% of construction cost)</w:t>
            </w:r>
          </w:p>
        </w:tc>
      </w:tr>
      <w:tr>
        <w:tc>
          <w:tcPr>
            <w:tcW w:type="dxa" w:w="5102"/>
            <w:vAlign w:val="top"/>
            <w:tcBorders>
              <w:bottom w:sz="4" w:val="single" w:color="CDC1A8"/>
            </w:tcBorders>
          </w:tcPr>
          <w:p>
            <w:pPr>
              <w:spacing w:before="80" w:after="80" w:line="324" w:lineRule="auto"/>
            </w:pPr>
            <w:r>
              <w:rPr>
                <w:rFonts w:ascii="Georgia" w:hAnsi="Georgia"/>
                <w:color w:val="161210"/>
                <w:sz w:val="18"/>
              </w:rPr>
              <w:t>Total pipeline positioned for phased execution</w:t>
            </w:r>
          </w:p>
        </w:tc>
        <w:tc>
          <w:tcPr>
            <w:tcW w:type="dxa" w:w="3969"/>
            <w:vAlign w:val="top"/>
            <w:tcBorders>
              <w:bottom w:sz="4" w:val="single" w:color="CDC1A8"/>
            </w:tcBorders>
          </w:tcPr>
          <w:p>
            <w:pPr>
              <w:spacing w:before="80" w:after="80" w:line="324" w:lineRule="auto"/>
            </w:pPr>
            <w:r>
              <w:rPr>
                <w:rFonts w:ascii="Georgia" w:hAnsi="Georgia"/>
                <w:color w:val="161210"/>
                <w:sz w:val="18"/>
              </w:rPr>
              <w:t>5,623 homes / ~$3.5B</w:t>
            </w:r>
          </w:p>
        </w:tc>
      </w:tr>
      <w:tr>
        <w:tc>
          <w:tcPr>
            <w:tcW w:type="dxa" w:w="5102"/>
            <w:vAlign w:val="top"/>
            <w:tcBorders>
              <w:bottom w:sz="4" w:val="single" w:color="CDC1A8"/>
            </w:tcBorders>
          </w:tcPr>
          <w:p>
            <w:pPr>
              <w:spacing w:before="80" w:after="80" w:line="324" w:lineRule="auto"/>
            </w:pPr>
            <w:r>
              <w:rPr>
                <w:rFonts w:ascii="Georgia" w:hAnsi="Georgia"/>
                <w:color w:val="161210"/>
                <w:sz w:val="18"/>
              </w:rPr>
              <w:t>Standardised legal and financial model created</w:t>
            </w:r>
          </w:p>
        </w:tc>
        <w:tc>
          <w:tcPr>
            <w:tcW w:type="dxa" w:w="3969"/>
            <w:vAlign w:val="top"/>
            <w:tcBorders>
              <w:bottom w:sz="4" w:val="single" w:color="CDC1A8"/>
            </w:tcBorders>
          </w:tcPr>
          <w:p>
            <w:pPr>
              <w:spacing w:before="80" w:after="80" w:line="324" w:lineRule="auto"/>
            </w:pPr>
            <w:r>
              <w:rPr>
                <w:rFonts w:ascii="Georgia" w:hAnsi="Georgia"/>
                <w:color w:val="161210"/>
                <w:sz w:val="18"/>
              </w:rPr>
              <w:t>Replicable across the pipeline</w:t>
            </w:r>
          </w:p>
        </w:tc>
      </w:tr>
    </w:tbl>
    <w:p>
      <w:pPr>
        <w:spacing w:before="160" w:after="160" w:line="324" w:lineRule="auto"/>
        <w:jc w:val="left"/>
      </w:pPr>
    </w:p>
    <w:p>
      <w:pPr>
        <w:spacing w:before="280" w:after="120"/>
      </w:pPr>
      <w:r>
        <w:rPr>
          <w:rFonts w:ascii="Georgia" w:hAnsi="Georgia"/>
          <w:b/>
          <w:i w:val="0"/>
          <w:color w:val="C89344"/>
          <w:sz w:val="24"/>
        </w:rPr>
        <w:t>B · Delivering keys to residents</w:t>
      </w:r>
    </w:p>
    <w:p>
      <w:pPr>
        <w:spacing w:before="0" w:after="160" w:line="336" w:lineRule="auto"/>
        <w:jc w:val="both"/>
      </w:pPr>
      <w:r>
        <w:rPr>
          <w:rFonts w:ascii="Georgia" w:hAnsi="Georgia"/>
          <w:b w:val="0"/>
          <w:i w:val="0"/>
          <w:color w:val="161210"/>
          <w:sz w:val="20"/>
        </w:rPr>
        <w:t>The platform's ultimate measure is families housed. Ubuntu LTD will track and report first construction starts, completion dates, units occupied, and resident profiles — so Northpine can see exactly whose lives have changed as a result of this investment.</w:t>
      </w:r>
    </w:p>
    <w:tbl>
      <w:tblPr>
        <w:tblW w:type="auto" w:w="0"/>
        <w:jc w:val="center"/>
        <w:tblLayout w:type="fixed"/>
        <w:tblLook w:firstColumn="1" w:firstRow="1" w:lastColumn="0" w:lastRow="0" w:noHBand="0" w:noVBand="1" w:val="04A0"/>
      </w:tblPr>
      <w:tblGrid>
        <w:gridCol w:w="4533"/>
        <w:gridCol w:w="4533"/>
      </w:tblGrid>
      <w:tr>
        <w:tc>
          <w:tcPr>
            <w:tcW w:type="dxa" w:w="5102"/>
            <w:shd w:val="clear" w:color="auto" w:fill="1f1612"/>
            <w:vAlign w:val="center"/>
          </w:tcPr>
          <w:p>
            <w:pPr>
              <w:spacing w:before="80" w:after="80"/>
            </w:pPr>
            <w:r>
              <w:rPr>
                <w:rFonts w:ascii="Consolas" w:hAnsi="Consolas"/>
                <w:b/>
                <w:color w:val="EBDFC4"/>
                <w:sz w:val="16"/>
              </w:rPr>
              <w:t>Milestone</w:t>
            </w:r>
          </w:p>
        </w:tc>
        <w:tc>
          <w:tcPr>
            <w:tcW w:type="dxa" w:w="3969"/>
            <w:shd w:val="clear" w:color="auto" w:fill="1f1612"/>
            <w:vAlign w:val="center"/>
          </w:tcPr>
          <w:p>
            <w:pPr>
              <w:spacing w:before="80" w:after="80"/>
            </w:pPr>
            <w:r>
              <w:rPr>
                <w:rFonts w:ascii="Consolas" w:hAnsi="Consolas"/>
                <w:b/>
                <w:color w:val="EBDFC4"/>
                <w:sz w:val="16"/>
              </w:rPr>
              <w:t>Target</w:t>
            </w:r>
          </w:p>
        </w:tc>
      </w:tr>
      <w:tr>
        <w:tc>
          <w:tcPr>
            <w:tcW w:type="dxa" w:w="5102"/>
            <w:vAlign w:val="top"/>
            <w:tcBorders>
              <w:bottom w:sz="4" w:val="single" w:color="CDC1A8"/>
            </w:tcBorders>
          </w:tcPr>
          <w:p>
            <w:pPr>
              <w:spacing w:before="80" w:after="80" w:line="324" w:lineRule="auto"/>
            </w:pPr>
            <w:r>
              <w:rPr>
                <w:rFonts w:ascii="Georgia" w:hAnsi="Georgia"/>
                <w:color w:val="161210"/>
                <w:sz w:val="18"/>
              </w:rPr>
              <w:t>Launchpad homes delivered (906 total)</w:t>
            </w:r>
          </w:p>
        </w:tc>
        <w:tc>
          <w:tcPr>
            <w:tcW w:type="dxa" w:w="3969"/>
            <w:vAlign w:val="top"/>
            <w:tcBorders>
              <w:bottom w:sz="4" w:val="single" w:color="CDC1A8"/>
            </w:tcBorders>
          </w:tcPr>
          <w:p>
            <w:pPr>
              <w:spacing w:before="80" w:after="80" w:line="324" w:lineRule="auto"/>
            </w:pPr>
            <w:r>
              <w:rPr>
                <w:rFonts w:ascii="Georgia" w:hAnsi="Georgia"/>
                <w:color w:val="161210"/>
                <w:sz w:val="18"/>
              </w:rPr>
              <w:t>Phased occupancy from 2027; full cohort by 2030</w:t>
            </w:r>
          </w:p>
        </w:tc>
      </w:tr>
      <w:tr>
        <w:tc>
          <w:tcPr>
            <w:tcW w:type="dxa" w:w="5102"/>
            <w:vAlign w:val="top"/>
            <w:tcBorders>
              <w:bottom w:sz="4" w:val="single" w:color="CDC1A8"/>
            </w:tcBorders>
          </w:tcPr>
          <w:p>
            <w:pPr>
              <w:spacing w:before="80" w:after="80" w:line="324" w:lineRule="auto"/>
            </w:pPr>
            <w:r>
              <w:rPr>
                <w:rFonts w:ascii="Georgia" w:hAnsi="Georgia"/>
                <w:color w:val="161210"/>
                <w:sz w:val="18"/>
              </w:rPr>
              <w:t>Residents from Northpine priority populations</w:t>
            </w:r>
          </w:p>
        </w:tc>
        <w:tc>
          <w:tcPr>
            <w:tcW w:type="dxa" w:w="3969"/>
            <w:vAlign w:val="top"/>
            <w:tcBorders>
              <w:bottom w:sz="4" w:val="single" w:color="CDC1A8"/>
            </w:tcBorders>
          </w:tcPr>
          <w:p>
            <w:pPr>
              <w:spacing w:before="80" w:after="80" w:line="324" w:lineRule="auto"/>
            </w:pPr>
            <w:r>
              <w:rPr>
                <w:rFonts w:ascii="Georgia" w:hAnsi="Georgia"/>
                <w:color w:val="161210"/>
                <w:sz w:val="18"/>
              </w:rPr>
              <w:t>Minimum 30% below 80% MMR; ~5% deeply affordable</w:t>
            </w:r>
          </w:p>
        </w:tc>
      </w:tr>
      <w:tr>
        <w:tc>
          <w:tcPr>
            <w:tcW w:type="dxa" w:w="5102"/>
            <w:vAlign w:val="top"/>
            <w:tcBorders>
              <w:bottom w:sz="4" w:val="single" w:color="CDC1A8"/>
            </w:tcBorders>
          </w:tcPr>
          <w:p>
            <w:pPr>
              <w:spacing w:before="80" w:after="80" w:line="324" w:lineRule="auto"/>
            </w:pPr>
            <w:r>
              <w:rPr>
                <w:rFonts w:ascii="Georgia" w:hAnsi="Georgia"/>
                <w:color w:val="161210"/>
                <w:sz w:val="18"/>
              </w:rPr>
              <w:t>RCHC-served refugee households housed</w:t>
            </w:r>
          </w:p>
        </w:tc>
        <w:tc>
          <w:tcPr>
            <w:tcW w:type="dxa" w:w="3969"/>
            <w:vAlign w:val="top"/>
            <w:tcBorders>
              <w:bottom w:sz="4" w:val="single" w:color="CDC1A8"/>
            </w:tcBorders>
          </w:tcPr>
          <w:p>
            <w:pPr>
              <w:spacing w:before="80" w:after="80" w:line="324" w:lineRule="auto"/>
            </w:pPr>
            <w:r>
              <w:rPr>
                <w:rFonts w:ascii="Georgia" w:hAnsi="Georgia"/>
                <w:color w:val="161210"/>
                <w:sz w:val="18"/>
              </w:rPr>
              <w:t>Tracked per project</w:t>
            </w:r>
          </w:p>
        </w:tc>
      </w:tr>
    </w:tbl>
    <w:p>
      <w:pPr>
        <w:spacing w:before="160" w:after="160" w:line="324" w:lineRule="auto"/>
        <w:jc w:val="left"/>
      </w:pPr>
    </w:p>
    <w:p>
      <w:pPr>
        <w:spacing w:before="280" w:after="120"/>
      </w:pPr>
      <w:r>
        <w:rPr>
          <w:rFonts w:ascii="Georgia" w:hAnsi="Georgia"/>
          <w:b/>
          <w:i w:val="0"/>
          <w:color w:val="C89344"/>
          <w:sz w:val="24"/>
        </w:rPr>
        <w:t>C · Deeper affordability</w:t>
      </w:r>
    </w:p>
    <w:p>
      <w:pPr>
        <w:spacing w:before="0" w:after="160" w:line="336" w:lineRule="auto"/>
        <w:jc w:val="both"/>
      </w:pPr>
      <w:r>
        <w:rPr>
          <w:rFonts w:ascii="Georgia" w:hAnsi="Georgia"/>
          <w:b w:val="0"/>
          <w:i w:val="0"/>
          <w:color w:val="161210"/>
          <w:sz w:val="20"/>
        </w:rPr>
        <w:t>Affordability is not a floor — it is a ladder. Within the affordable portion of the portfolio, a meaningful percentage of homes will be priced at genuinely deep affordability, accessible to households on social assistance or with very low incomes.</w:t>
      </w:r>
    </w:p>
    <w:tbl>
      <w:tblPr>
        <w:tblW w:type="auto" w:w="0"/>
        <w:jc w:val="center"/>
        <w:tblLayout w:type="fixed"/>
        <w:tblLook w:firstColumn="1" w:firstRow="1" w:lastColumn="0" w:lastRow="0" w:noHBand="0" w:noVBand="1" w:val="04A0"/>
      </w:tblPr>
      <w:tblGrid>
        <w:gridCol w:w="4533"/>
        <w:gridCol w:w="4533"/>
      </w:tblGrid>
      <w:tr>
        <w:tc>
          <w:tcPr>
            <w:tcW w:type="dxa" w:w="5102"/>
            <w:shd w:val="clear" w:color="auto" w:fill="1f1612"/>
            <w:vAlign w:val="center"/>
          </w:tcPr>
          <w:p>
            <w:pPr>
              <w:spacing w:before="80" w:after="80"/>
            </w:pPr>
            <w:r>
              <w:rPr>
                <w:rFonts w:ascii="Consolas" w:hAnsi="Consolas"/>
                <w:b/>
                <w:color w:val="EBDFC4"/>
                <w:sz w:val="16"/>
              </w:rPr>
              <w:t>Affordability tier</w:t>
            </w:r>
          </w:p>
        </w:tc>
        <w:tc>
          <w:tcPr>
            <w:tcW w:type="dxa" w:w="3969"/>
            <w:shd w:val="clear" w:color="auto" w:fill="1f1612"/>
            <w:vAlign w:val="center"/>
          </w:tcPr>
          <w:p>
            <w:pPr>
              <w:spacing w:before="80" w:after="80"/>
            </w:pPr>
            <w:r>
              <w:rPr>
                <w:rFonts w:ascii="Consolas" w:hAnsi="Consolas"/>
                <w:b/>
                <w:color w:val="EBDFC4"/>
                <w:sz w:val="16"/>
              </w:rPr>
              <w:t>Target</w:t>
            </w:r>
          </w:p>
        </w:tc>
      </w:tr>
      <w:tr>
        <w:tc>
          <w:tcPr>
            <w:tcW w:type="dxa" w:w="5102"/>
            <w:vAlign w:val="top"/>
            <w:tcBorders>
              <w:bottom w:sz="4" w:val="single" w:color="CDC1A8"/>
            </w:tcBorders>
          </w:tcPr>
          <w:p>
            <w:pPr>
              <w:spacing w:before="80" w:after="80" w:line="324" w:lineRule="auto"/>
            </w:pPr>
            <w:r>
              <w:rPr>
                <w:rFonts w:ascii="Georgia" w:hAnsi="Georgia"/>
                <w:color w:val="161210"/>
                <w:sz w:val="18"/>
              </w:rPr>
              <w:t>Below 80% of Median Market Rent</w:t>
            </w:r>
          </w:p>
        </w:tc>
        <w:tc>
          <w:tcPr>
            <w:tcW w:type="dxa" w:w="3969"/>
            <w:vAlign w:val="top"/>
            <w:tcBorders>
              <w:bottom w:sz="4" w:val="single" w:color="CDC1A8"/>
            </w:tcBorders>
          </w:tcPr>
          <w:p>
            <w:pPr>
              <w:spacing w:before="80" w:after="80" w:line="324" w:lineRule="auto"/>
            </w:pPr>
            <w:r>
              <w:rPr>
                <w:rFonts w:ascii="Georgia" w:hAnsi="Georgia"/>
                <w:color w:val="161210"/>
                <w:sz w:val="18"/>
              </w:rPr>
              <w:t>Minimum 30% of total portfolio</w:t>
            </w:r>
          </w:p>
        </w:tc>
      </w:tr>
      <w:tr>
        <w:tc>
          <w:tcPr>
            <w:tcW w:type="dxa" w:w="5102"/>
            <w:vAlign w:val="top"/>
            <w:tcBorders>
              <w:bottom w:sz="4" w:val="single" w:color="CDC1A8"/>
            </w:tcBorders>
          </w:tcPr>
          <w:p>
            <w:pPr>
              <w:spacing w:before="80" w:after="80" w:line="324" w:lineRule="auto"/>
            </w:pPr>
            <w:r>
              <w:rPr>
                <w:rFonts w:ascii="Georgia" w:hAnsi="Georgia"/>
                <w:color w:val="161210"/>
                <w:sz w:val="18"/>
              </w:rPr>
              <w:t>Deeply affordable (under $1,000 / month)</w:t>
            </w:r>
          </w:p>
        </w:tc>
        <w:tc>
          <w:tcPr>
            <w:tcW w:type="dxa" w:w="3969"/>
            <w:vAlign w:val="top"/>
            <w:tcBorders>
              <w:bottom w:sz="4" w:val="single" w:color="CDC1A8"/>
            </w:tcBorders>
          </w:tcPr>
          <w:p>
            <w:pPr>
              <w:spacing w:before="80" w:after="80" w:line="324" w:lineRule="auto"/>
            </w:pPr>
            <w:r>
              <w:rPr>
                <w:rFonts w:ascii="Georgia" w:hAnsi="Georgia"/>
                <w:color w:val="161210"/>
                <w:sz w:val="18"/>
              </w:rPr>
              <w:t>~5% of total portfolio</w:t>
            </w:r>
          </w:p>
        </w:tc>
      </w:tr>
      <w:tr>
        <w:tc>
          <w:tcPr>
            <w:tcW w:type="dxa" w:w="5102"/>
            <w:vAlign w:val="top"/>
            <w:tcBorders>
              <w:bottom w:sz="4" w:val="single" w:color="CDC1A8"/>
            </w:tcBorders>
          </w:tcPr>
          <w:p>
            <w:pPr>
              <w:spacing w:before="80" w:after="80" w:line="324" w:lineRule="auto"/>
            </w:pPr>
            <w:r>
              <w:rPr>
                <w:rFonts w:ascii="Georgia" w:hAnsi="Georgia"/>
                <w:color w:val="161210"/>
                <w:sz w:val="18"/>
              </w:rPr>
              <w:t>Affordability covenants locked in title</w:t>
            </w:r>
          </w:p>
        </w:tc>
        <w:tc>
          <w:tcPr>
            <w:tcW w:type="dxa" w:w="3969"/>
            <w:vAlign w:val="top"/>
            <w:tcBorders>
              <w:bottom w:sz="4" w:val="single" w:color="CDC1A8"/>
            </w:tcBorders>
          </w:tcPr>
          <w:p>
            <w:pPr>
              <w:spacing w:before="80" w:after="80" w:line="324" w:lineRule="auto"/>
            </w:pPr>
            <w:r>
              <w:rPr>
                <w:rFonts w:ascii="Georgia" w:hAnsi="Georgia"/>
                <w:color w:val="161210"/>
                <w:sz w:val="18"/>
              </w:rPr>
              <w:t>100% of affordable homes, permanent</w:t>
            </w:r>
          </w:p>
        </w:tc>
      </w:tr>
    </w:tbl>
    <w:p>
      <w:pPr>
        <w:spacing w:before="160" w:after="160" w:line="324" w:lineRule="auto"/>
        <w:jc w:val="left"/>
      </w:pPr>
    </w:p>
    <w:p>
      <w:pPr>
        <w:spacing w:before="280" w:after="120"/>
      </w:pPr>
      <w:r>
        <w:rPr>
          <w:rFonts w:ascii="Georgia" w:hAnsi="Georgia"/>
          <w:b/>
          <w:i w:val="0"/>
          <w:color w:val="C89344"/>
          <w:sz w:val="24"/>
        </w:rPr>
        <w:t>Self-sufficiency after Northpine</w:t>
      </w:r>
    </w:p>
    <w:p>
      <w:pPr>
        <w:spacing w:before="0" w:after="160" w:line="336" w:lineRule="auto"/>
        <w:jc w:val="both"/>
      </w:pPr>
      <w:r>
        <w:rPr>
          <w:rFonts w:ascii="Georgia" w:hAnsi="Georgia"/>
          <w:b w:val="0"/>
          <w:i w:val="0"/>
          <w:color w:val="161210"/>
          <w:sz w:val="20"/>
        </w:rPr>
        <w:t>Ubuntu LTD transitions to 100% earned-revenue self-sufficiency by Month 24 through two mechanisms: a 1.0% development-management fee on total project cost, aligned with delivery success; and a 2.5% success fee on landowner land draws, paid from landowner liquidity rather than project cash flow, with zero impact on affordability. On the current $3.5B secured pipeline this represents approximately $24M in earned revenue over the deployment cycle. Northpine's $2M is a one-time infrastructure investment that creates a permanently self-operating system.</w:t>
      </w:r>
    </w:p>
    <w:p>
      <w:r>
        <w:br w:type="page"/>
      </w:r>
    </w:p>
    <w:p>
      <w:pPr>
        <w:spacing w:before="400" w:after="120" w:line="324" w:lineRule="auto"/>
        <w:jc w:val="left"/>
      </w:pPr>
    </w:p>
    <w:p>
      <w:pPr>
        <w:spacing w:before="200" w:after="360"/>
      </w:pPr>
      <w:r>
        <w:rPr>
          <w:rFonts w:ascii="Consolas" w:hAnsi="Consolas"/>
          <w:b/>
          <w:i w:val="0"/>
          <w:color w:val="C89344"/>
          <w:sz w:val="22"/>
        </w:rPr>
        <w:t xml:space="preserve">14  ·  </w:t>
      </w:r>
      <w:r>
        <w:rPr>
          <w:rFonts w:ascii="Georgia" w:hAnsi="Georgia"/>
          <w:b w:val="0"/>
          <w:i w:val="0"/>
          <w:color w:val="161210"/>
          <w:sz w:val="48"/>
        </w:rPr>
        <w:t>Risk Architecture</w:t>
      </w:r>
    </w:p>
    <w:p>
      <w:pPr>
        <w:spacing w:before="0" w:after="160" w:line="336" w:lineRule="auto"/>
        <w:jc w:val="both"/>
      </w:pPr>
      <w:r>
        <w:rPr>
          <w:rFonts w:ascii="Georgia" w:hAnsi="Georgia"/>
          <w:b w:val="0"/>
          <w:i w:val="0"/>
          <w:color w:val="161210"/>
          <w:sz w:val="20"/>
        </w:rPr>
        <w:t>The Common Ground Initiative embeds risk mitigation into its legal and financial structure. Outcomes are pre-programmed, not discretionary.</w:t>
      </w:r>
    </w:p>
    <w:tbl>
      <w:tblPr>
        <w:tblW w:type="auto" w:w="0"/>
        <w:jc w:val="center"/>
        <w:tblLayout w:type="fixed"/>
        <w:tblLook w:firstColumn="1" w:firstRow="1" w:lastColumn="0" w:lastRow="0" w:noHBand="0" w:noVBand="1" w:val="04A0"/>
      </w:tblPr>
      <w:tblGrid>
        <w:gridCol w:w="4533"/>
        <w:gridCol w:w="4533"/>
      </w:tblGrid>
      <w:tr>
        <w:tc>
          <w:tcPr>
            <w:tcW w:type="dxa" w:w="2551"/>
            <w:shd w:val="clear" w:color="auto" w:fill="1f1612"/>
            <w:vAlign w:val="center"/>
          </w:tcPr>
          <w:p>
            <w:pPr>
              <w:spacing w:before="80" w:after="80"/>
            </w:pPr>
            <w:r>
              <w:rPr>
                <w:rFonts w:ascii="Consolas" w:hAnsi="Consolas"/>
                <w:b/>
                <w:color w:val="EBDFC4"/>
                <w:sz w:val="16"/>
              </w:rPr>
              <w:t>Risk</w:t>
            </w:r>
          </w:p>
        </w:tc>
        <w:tc>
          <w:tcPr>
            <w:tcW w:type="dxa" w:w="6520"/>
            <w:shd w:val="clear" w:color="auto" w:fill="1f1612"/>
            <w:vAlign w:val="center"/>
          </w:tcPr>
          <w:p>
            <w:pPr>
              <w:spacing w:before="80" w:after="80"/>
            </w:pPr>
            <w:r>
              <w:rPr>
                <w:rFonts w:ascii="Consolas" w:hAnsi="Consolas"/>
                <w:b/>
                <w:color w:val="EBDFC4"/>
                <w:sz w:val="16"/>
              </w:rPr>
              <w:t>Structural mitigation</w:t>
            </w:r>
          </w:p>
        </w:tc>
      </w:tr>
      <w:tr>
        <w:tc>
          <w:tcPr>
            <w:tcW w:type="dxa" w:w="2551"/>
            <w:vAlign w:val="top"/>
            <w:tcBorders>
              <w:bottom w:sz="4" w:val="single" w:color="CDC1A8"/>
            </w:tcBorders>
          </w:tcPr>
          <w:p>
            <w:pPr>
              <w:spacing w:before="80" w:after="80" w:line="324" w:lineRule="auto"/>
            </w:pPr>
            <w:r>
              <w:rPr>
                <w:rFonts w:ascii="Georgia" w:hAnsi="Georgia"/>
                <w:color w:val="161210"/>
                <w:sz w:val="18"/>
              </w:rPr>
              <w:t>Year-20 refinancing unavailable</w:t>
            </w:r>
          </w:p>
        </w:tc>
        <w:tc>
          <w:tcPr>
            <w:tcW w:type="dxa" w:w="6520"/>
            <w:vAlign w:val="top"/>
            <w:tcBorders>
              <w:bottom w:sz="4" w:val="single" w:color="CDC1A8"/>
            </w:tcBorders>
          </w:tcPr>
          <w:p>
            <w:pPr>
              <w:spacing w:before="80" w:after="80" w:line="324" w:lineRule="auto"/>
            </w:pPr>
            <w:r>
              <w:rPr>
                <w:rFonts w:ascii="Georgia" w:hAnsi="Georgia"/>
                <w:color w:val="161210"/>
                <w:sz w:val="18"/>
              </w:rPr>
              <w:t>Ground lease auto-extends 5–10 years. Landowner distributions suspend. The non-profit retains 100% NOI. Land is purchased from operations by Year 25–30. Stress-tested at 2.5x equity coverage even under zero appreciation.</w:t>
            </w:r>
          </w:p>
        </w:tc>
      </w:tr>
      <w:tr>
        <w:tc>
          <w:tcPr>
            <w:tcW w:type="dxa" w:w="2551"/>
            <w:vAlign w:val="top"/>
            <w:tcBorders>
              <w:bottom w:sz="4" w:val="single" w:color="CDC1A8"/>
            </w:tcBorders>
          </w:tcPr>
          <w:p>
            <w:pPr>
              <w:spacing w:before="80" w:after="80" w:line="324" w:lineRule="auto"/>
            </w:pPr>
            <w:r>
              <w:rPr>
                <w:rFonts w:ascii="Georgia" w:hAnsi="Georgia"/>
                <w:color w:val="161210"/>
                <w:sz w:val="18"/>
              </w:rPr>
              <w:t>Construction cost overruns</w:t>
            </w:r>
          </w:p>
        </w:tc>
        <w:tc>
          <w:tcPr>
            <w:tcW w:type="dxa" w:w="6520"/>
            <w:vAlign w:val="top"/>
            <w:tcBorders>
              <w:bottom w:sz="4" w:val="single" w:color="CDC1A8"/>
            </w:tcBorders>
          </w:tcPr>
          <w:p>
            <w:pPr>
              <w:spacing w:before="80" w:after="80" w:line="324" w:lineRule="auto"/>
            </w:pPr>
            <w:r>
              <w:rPr>
                <w:rFonts w:ascii="Georgia" w:hAnsi="Georgia"/>
                <w:color w:val="161210"/>
                <w:sz w:val="18"/>
              </w:rPr>
              <w:t>Modular prefab delivery: fixed-price contracts, 50% performance bonds, schedule guarantees, two-year warranties. Factory delivery achieves roughly +/–3% budget variance versus +/–15–25% traditional.</w:t>
            </w:r>
          </w:p>
        </w:tc>
      </w:tr>
      <w:tr>
        <w:tc>
          <w:tcPr>
            <w:tcW w:type="dxa" w:w="2551"/>
            <w:vAlign w:val="top"/>
            <w:tcBorders>
              <w:bottom w:sz="4" w:val="single" w:color="CDC1A8"/>
            </w:tcBorders>
          </w:tcPr>
          <w:p>
            <w:pPr>
              <w:spacing w:before="80" w:after="80" w:line="324" w:lineRule="auto"/>
            </w:pPr>
            <w:r>
              <w:rPr>
                <w:rFonts w:ascii="Georgia" w:hAnsi="Georgia"/>
                <w:color w:val="161210"/>
                <w:sz w:val="18"/>
              </w:rPr>
              <w:t>Non-profit mismanagement</w:t>
            </w:r>
          </w:p>
        </w:tc>
        <w:tc>
          <w:tcPr>
            <w:tcW w:type="dxa" w:w="6520"/>
            <w:vAlign w:val="top"/>
            <w:tcBorders>
              <w:bottom w:sz="4" w:val="single" w:color="CDC1A8"/>
            </w:tcBorders>
          </w:tcPr>
          <w:p>
            <w:pPr>
              <w:spacing w:before="80" w:after="80" w:line="324" w:lineRule="auto"/>
            </w:pPr>
            <w:r>
              <w:rPr>
                <w:rFonts w:ascii="Georgia" w:hAnsi="Georgia"/>
                <w:color w:val="161210"/>
                <w:sz w:val="18"/>
              </w:rPr>
              <w:t>Landowner step-in rights. CMHC first-position security. Real-time digital monitoring. Affordability covenants enforceable against both parties.</w:t>
            </w:r>
          </w:p>
        </w:tc>
      </w:tr>
      <w:tr>
        <w:tc>
          <w:tcPr>
            <w:tcW w:type="dxa" w:w="2551"/>
            <w:vAlign w:val="top"/>
            <w:tcBorders>
              <w:bottom w:sz="4" w:val="single" w:color="CDC1A8"/>
            </w:tcBorders>
          </w:tcPr>
          <w:p>
            <w:pPr>
              <w:spacing w:before="80" w:after="80" w:line="324" w:lineRule="auto"/>
            </w:pPr>
            <w:r>
              <w:rPr>
                <w:rFonts w:ascii="Georgia" w:hAnsi="Georgia"/>
                <w:color w:val="161210"/>
                <w:sz w:val="18"/>
              </w:rPr>
              <w:t>Landowner sells land mid-term</w:t>
            </w:r>
          </w:p>
        </w:tc>
        <w:tc>
          <w:tcPr>
            <w:tcW w:type="dxa" w:w="6520"/>
            <w:vAlign w:val="top"/>
            <w:tcBorders>
              <w:bottom w:sz="4" w:val="single" w:color="CDC1A8"/>
            </w:tcBorders>
          </w:tcPr>
          <w:p>
            <w:pPr>
              <w:spacing w:before="80" w:after="80" w:line="324" w:lineRule="auto"/>
            </w:pPr>
            <w:r>
              <w:rPr>
                <w:rFonts w:ascii="Georgia" w:hAnsi="Georgia"/>
                <w:color w:val="161210"/>
                <w:sz w:val="18"/>
              </w:rPr>
              <w:t>Transfer is restricted — requires non-profit and CMHC consent. All obligations transfer with title. Formula-based exit eliminates speculative profit.</w:t>
            </w:r>
          </w:p>
        </w:tc>
      </w:tr>
      <w:tr>
        <w:tc>
          <w:tcPr>
            <w:tcW w:type="dxa" w:w="2551"/>
            <w:vAlign w:val="top"/>
            <w:tcBorders>
              <w:bottom w:sz="4" w:val="single" w:color="CDC1A8"/>
            </w:tcBorders>
          </w:tcPr>
          <w:p>
            <w:pPr>
              <w:spacing w:before="80" w:after="80" w:line="324" w:lineRule="auto"/>
            </w:pPr>
            <w:r>
              <w:rPr>
                <w:rFonts w:ascii="Georgia" w:hAnsi="Georgia"/>
                <w:color w:val="161210"/>
                <w:sz w:val="18"/>
              </w:rPr>
              <w:t>Platform risk (Ubuntu LTD)</w:t>
            </w:r>
          </w:p>
        </w:tc>
        <w:tc>
          <w:tcPr>
            <w:tcW w:type="dxa" w:w="6520"/>
            <w:vAlign w:val="top"/>
            <w:tcBorders>
              <w:bottom w:sz="4" w:val="single" w:color="CDC1A8"/>
            </w:tcBorders>
          </w:tcPr>
          <w:p>
            <w:pPr>
              <w:spacing w:before="80" w:after="80" w:line="324" w:lineRule="auto"/>
            </w:pPr>
            <w:r>
              <w:rPr>
                <w:rFonts w:ascii="Georgia" w:hAnsi="Georgia"/>
                <w:color w:val="161210"/>
                <w:sz w:val="18"/>
              </w:rPr>
              <w:t>Each project is a standalone SPV with its own balance sheet. No cross-collateralisation. If Ubuntu LTD encounters difficulty, individual projects continue operating independently under their non-profit owners.</w:t>
            </w:r>
          </w:p>
        </w:tc>
      </w:tr>
    </w:tbl>
    <w:p>
      <w:pPr>
        <w:spacing w:before="160" w:after="160" w:line="324" w:lineRule="auto"/>
        <w:jc w:val="left"/>
      </w:pPr>
    </w:p>
    <w:p>
      <w:r>
        <w:br w:type="page"/>
      </w:r>
    </w:p>
    <w:p>
      <w:pPr>
        <w:spacing w:before="400" w:after="120" w:line="324" w:lineRule="auto"/>
        <w:jc w:val="left"/>
      </w:pPr>
    </w:p>
    <w:p>
      <w:pPr>
        <w:spacing w:before="200" w:after="360"/>
      </w:pPr>
      <w:r>
        <w:rPr>
          <w:rFonts w:ascii="Consolas" w:hAnsi="Consolas"/>
          <w:b/>
          <w:i w:val="0"/>
          <w:color w:val="C89344"/>
          <w:sz w:val="22"/>
        </w:rPr>
        <w:t xml:space="preserve">15  ·  </w:t>
      </w:r>
      <w:r>
        <w:rPr>
          <w:rFonts w:ascii="Georgia" w:hAnsi="Georgia"/>
          <w:b w:val="0"/>
          <w:i w:val="0"/>
          <w:color w:val="161210"/>
          <w:sz w:val="48"/>
        </w:rPr>
        <w:t>The Close</w:t>
      </w:r>
    </w:p>
    <w:p>
      <w:pPr>
        <w:spacing w:before="0" w:after="160" w:line="336" w:lineRule="auto"/>
        <w:jc w:val="both"/>
      </w:pPr>
      <w:r>
        <w:rPr>
          <w:rFonts w:ascii="Georgia" w:hAnsi="Georgia"/>
          <w:b w:val="0"/>
          <w:i w:val="0"/>
          <w:color w:val="161210"/>
          <w:sz w:val="20"/>
        </w:rPr>
        <w:t>Northpine was built on the belief that strategic investments should continue to drive change after funding ends. Ubuntu LTD is designed for exactly that.</w:t>
      </w:r>
    </w:p>
    <w:p>
      <w:pPr>
        <w:spacing w:before="0" w:after="160" w:line="336" w:lineRule="auto"/>
        <w:jc w:val="both"/>
      </w:pPr>
      <w:r>
        <w:rPr>
          <w:rFonts w:ascii="Georgia" w:hAnsi="Georgia"/>
          <w:b w:val="0"/>
          <w:i w:val="0"/>
          <w:color w:val="161210"/>
          <w:sz w:val="20"/>
        </w:rPr>
        <w:t>This is not a request to fund a housing project. It is a request to fund the platform that makes an entire generation of housing projects possible — for refugees rebuilding their lives, for families at risk of poverty, for people exiting homelessness and incarceration, and for seniors who deserve to age in their communities.</w:t>
      </w:r>
    </w:p>
    <w:p>
      <w:pPr>
        <w:spacing w:before="0" w:after="160" w:line="336" w:lineRule="auto"/>
        <w:jc w:val="both"/>
      </w:pPr>
      <w:r>
        <w:rPr>
          <w:rFonts w:ascii="Georgia" w:hAnsi="Georgia"/>
          <w:b w:val="0"/>
          <w:i w:val="0"/>
          <w:color w:val="161210"/>
          <w:sz w:val="20"/>
        </w:rPr>
        <w:t>The Common Ground Initiative is the structural mechanic that makes this possible: it aligns private capital with public good, it builds permanent equity for non-profit institutions, and it creates affordable housing that stays affordable forever. With 18 sites secured, 5,623 homes in pipeline, the 906-home Launchpad cohort breaking ground in 2026, a Scarborough portfolio ready to demonstrate the model on the ground, and a clear path to self-sufficiency by Month 24 — the model is ready to move from architecture to deployment.</w:t>
      </w:r>
    </w:p>
    <w:p>
      <w:pPr>
        <w:spacing w:before="0" w:after="160" w:line="336" w:lineRule="auto"/>
        <w:jc w:val="both"/>
      </w:pPr>
      <w:r>
        <w:rPr>
          <w:rFonts w:ascii="Georgia" w:hAnsi="Georgia"/>
          <w:b w:val="0"/>
          <w:i w:val="0"/>
          <w:color w:val="161210"/>
          <w:sz w:val="20"/>
        </w:rPr>
        <w:t>What it needs is the platform infrastructure to activate. That is what this $2,000,000 investment builds — and what it measures through shovels in the ground, keys in the hands of residents, and affordability locked in forever.</w:t>
      </w:r>
    </w:p>
    <w:p>
      <w:pPr>
        <w:spacing w:before="240" w:after="120" w:line="324" w:lineRule="auto"/>
        <w:jc w:val="left"/>
      </w:pPr>
    </w:p>
    <w:p>
      <w:pPr>
        <w:pBdr>
          <w:top w:sz="4" w:val="single" w:color="1F1612"/>
        </w:pBdr>
        <w:spacing w:after="0"/>
      </w:pPr>
      <w:r>
        <w:rPr>
          <w:rFonts w:ascii="Georgia" w:hAnsi="Georgia"/>
          <w:b w:val="0"/>
          <w:i w:val="0"/>
          <w:color w:val="161210"/>
          <w:sz w:val="8"/>
        </w:rPr>
      </w:r>
    </w:p>
    <w:p>
      <w:pPr>
        <w:spacing w:before="200" w:after="200" w:line="324" w:lineRule="auto"/>
        <w:jc w:val="center"/>
      </w:pPr>
      <w:r>
        <w:rPr>
          <w:rFonts w:ascii="Georgia" w:hAnsi="Georgia"/>
          <w:b w:val="0"/>
          <w:i/>
          <w:color w:val="C89344"/>
          <w:sz w:val="30"/>
        </w:rPr>
        <w:t>I don't want Northpine to do what is easy. I want to remain ambitious, dynamic, and never stop caring.</w:t>
      </w:r>
    </w:p>
    <w:p>
      <w:pPr>
        <w:pBdr>
          <w:top w:sz="4" w:val="single" w:color="1F1612"/>
        </w:pBdr>
        <w:spacing w:after="200"/>
      </w:pPr>
      <w:r>
        <w:rPr>
          <w:rFonts w:ascii="Georgia" w:hAnsi="Georgia"/>
          <w:b w:val="0"/>
          <w:i w:val="0"/>
          <w:color w:val="161210"/>
          <w:sz w:val="8"/>
        </w:rPr>
      </w:r>
    </w:p>
    <w:p>
      <w:pPr>
        <w:spacing w:before="0" w:after="480"/>
        <w:jc w:val="center"/>
      </w:pPr>
      <w:r>
        <w:rPr>
          <w:rFonts w:ascii="Consolas" w:hAnsi="Consolas"/>
          <w:b w:val="0"/>
          <w:i w:val="0"/>
          <w:color w:val="3A2D22"/>
          <w:sz w:val="16"/>
        </w:rPr>
        <w:t>— JOHN PHILLIPS, THE NORTHPINE FOUNDATION</w:t>
      </w:r>
    </w:p>
    <w:p>
      <w:pPr>
        <w:pBdr>
          <w:top w:sz="8" w:val="single" w:color="C89344"/>
        </w:pBdr>
        <w:spacing w:before="480" w:after="120"/>
      </w:pPr>
      <w:r>
        <w:rPr>
          <w:rFonts w:ascii="Georgia" w:hAnsi="Georgia"/>
          <w:b w:val="0"/>
          <w:i w:val="0"/>
          <w:color w:val="161210"/>
          <w:sz w:val="4"/>
        </w:rPr>
      </w:r>
    </w:p>
    <w:p>
      <w:pPr>
        <w:jc w:val="center"/>
      </w:pPr>
      <w:r>
        <w:rPr>
          <w:rFonts w:ascii="Consolas" w:hAnsi="Consolas"/>
          <w:b/>
          <w:i w:val="0"/>
          <w:color w:val="C89344"/>
          <w:sz w:val="18"/>
        </w:rPr>
        <w:t>UBUNTU LAND TRUST &amp; DEVELOPMENTS  ·  MAY 2026</w:t>
      </w:r>
    </w:p>
    <w:p>
      <w:r>
        <w:br w:type="page"/>
      </w:r>
    </w:p>
    <w:p>
      <w:pPr>
        <w:spacing w:before="400" w:after="120" w:line="324" w:lineRule="auto"/>
        <w:jc w:val="left"/>
      </w:pPr>
    </w:p>
    <w:p>
      <w:pPr>
        <w:spacing w:before="200" w:after="360"/>
      </w:pPr>
      <w:r>
        <w:rPr>
          <w:rFonts w:ascii="Consolas" w:hAnsi="Consolas"/>
          <w:b/>
          <w:i w:val="0"/>
          <w:color w:val="C89344"/>
          <w:sz w:val="22"/>
        </w:rPr>
        <w:t xml:space="preserve">Addendum A  ·  </w:t>
      </w:r>
      <w:r>
        <w:rPr>
          <w:rFonts w:ascii="Georgia" w:hAnsi="Georgia"/>
          <w:b w:val="0"/>
          <w:i w:val="0"/>
          <w:color w:val="161210"/>
          <w:sz w:val="48"/>
        </w:rPr>
        <w:t>The Scarborough Portfolio</w:t>
      </w:r>
    </w:p>
    <w:p>
      <w:pPr>
        <w:spacing w:before="0" w:after="160" w:line="336" w:lineRule="auto"/>
        <w:jc w:val="both"/>
      </w:pPr>
      <w:r>
        <w:rPr>
          <w:rFonts w:ascii="Georgia" w:hAnsi="Georgia"/>
          <w:b w:val="0"/>
          <w:i w:val="0"/>
          <w:color w:val="161210"/>
          <w:sz w:val="20"/>
        </w:rPr>
        <w:t>Following our conversation, Ubuntu LTD revisited its portfolio and identified three Scarborough sites the platform can access and activate. This addendum profiles each in detail.</w:t>
      </w:r>
    </w:p>
    <w:p>
      <w:pPr>
        <w:spacing w:before="0" w:after="160" w:line="336" w:lineRule="auto"/>
        <w:jc w:val="both"/>
      </w:pPr>
      <w:r>
        <w:rPr>
          <w:rFonts w:ascii="Georgia" w:hAnsi="Georgia"/>
          <w:b w:val="0"/>
          <w:i w:val="0"/>
          <w:color w:val="161210"/>
          <w:sz w:val="20"/>
        </w:rPr>
        <w:t>These three sites — 467 homes in total — are part of the broader pipeline the $2,000,000 platform investment activates. They are presented here so Northpine can see the Common Ground Initiative working in its priority geography. Each site is matched with a community-rooted non-profit operator that takes permanent ownership at Year 20.</w:t>
      </w:r>
    </w:p>
    <w:tbl>
      <w:tblPr>
        <w:tblW w:type="auto" w:w="0"/>
        <w:tblLook w:firstColumn="1" w:firstRow="1" w:lastColumn="0" w:lastRow="0" w:noHBand="0" w:noVBand="1" w:val="04A0"/>
      </w:tblPr>
      <w:tblGrid>
        <w:gridCol w:w="9066"/>
      </w:tblGrid>
      <w:tr>
        <w:tc>
          <w:tcPr>
            <w:tcW w:type="dxa" w:w="9066"/>
            <w:tcBorders>
              <w:top w:sz="4" w:val="single" w:color="CDC1A8"/>
              <w:left w:sz="18" w:val="single" w:color="C89344"/>
              <w:bottom w:sz="4" w:val="single" w:color="CDC1A8"/>
              <w:right w:sz="4" w:val="single" w:color="CDC1A8"/>
            </w:tcBorders>
            <w:shd w:val="clear" w:color="auto" w:fill="fcf6e4"/>
          </w:tcPr>
          <w:p>
            <w:pPr>
              <w:spacing w:after="80"/>
            </w:pPr>
            <w:r>
              <w:rPr>
                <w:rFonts w:ascii="Consolas" w:hAnsi="Consolas"/>
                <w:b/>
                <w:i w:val="0"/>
                <w:color w:val="C89344"/>
                <w:sz w:val="16"/>
              </w:rPr>
              <w:t>SITE 1  ·  FAMILY-HOUSING PILOT</w:t>
            </w:r>
          </w:p>
          <w:tbl>
            <w:tblPr>
              <w:tblW w:type="auto" w:w="0"/>
              <w:tblLayout w:type="fixed"/>
              <w:tblLook w:firstColumn="1" w:firstRow="1" w:lastColumn="0" w:lastRow="0" w:noHBand="0" w:noVBand="1" w:val="04A0"/>
            </w:tblPr>
            <w:tblGrid>
              <w:gridCol w:w="6236"/>
              <w:gridCol w:w="2268"/>
            </w:tblGrid>
            <w:tr>
              <w:tc>
                <w:tcPr>
                  <w:tcW w:type="dxa" w:w="4533"/>
                </w:tcPr>
                <w:p>
                  <w:pPr>
                    <w:spacing w:after="0"/>
                  </w:pPr>
                  <w:r>
                    <w:rPr>
                      <w:rFonts w:ascii="Georgia" w:hAnsi="Georgia"/>
                      <w:b/>
                      <w:i w:val="0"/>
                      <w:color w:val="161210"/>
                      <w:sz w:val="32"/>
                    </w:rPr>
                    <w:t>2008 Brimley Road</w:t>
                  </w:r>
                </w:p>
                <w:p>
                  <w:pPr>
                    <w:spacing w:after="0"/>
                  </w:pPr>
                  <w:r>
                    <w:rPr>
                      <w:rFonts w:ascii="Georgia" w:hAnsi="Georgia"/>
                      <w:b w:val="0"/>
                      <w:i/>
                      <w:color w:val="3A2D22"/>
                      <w:sz w:val="20"/>
                    </w:rPr>
                    <w:t>Scarborough  ·  feasibility by Office Ou  ·  designed under By-Law 1062-2025</w:t>
                  </w:r>
                </w:p>
              </w:tc>
              <w:tc>
                <w:tcPr>
                  <w:tcW w:type="dxa" w:w="4533"/>
                </w:tcPr>
                <w:p>
                  <w:pPr>
                    <w:spacing w:after="0"/>
                    <w:jc w:val="right"/>
                  </w:pPr>
                  <w:r>
                    <w:rPr>
                      <w:rFonts w:ascii="Georgia" w:hAnsi="Georgia"/>
                      <w:b/>
                      <w:i w:val="0"/>
                      <w:color w:val="C89344"/>
                      <w:sz w:val="64"/>
                    </w:rPr>
                    <w:t>30</w:t>
                  </w:r>
                </w:p>
                <w:p>
                  <w:pPr>
                    <w:spacing w:after="0"/>
                    <w:jc w:val="right"/>
                  </w:pPr>
                  <w:r>
                    <w:rPr>
                      <w:rFonts w:ascii="Consolas" w:hAnsi="Consolas"/>
                      <w:b w:val="0"/>
                      <w:i w:val="0"/>
                      <w:color w:val="3A2D22"/>
                      <w:sz w:val="16"/>
                    </w:rPr>
                    <w:t>FAMILY HOMES</w:t>
                  </w:r>
                </w:p>
              </w:tc>
            </w:tr>
          </w:tbl>
          <w:p/>
          <w:p>
            <w:pPr>
              <w:spacing w:before="200" w:after="160" w:line="336" w:lineRule="auto"/>
            </w:pPr>
            <w:r>
              <w:rPr>
                <w:rFonts w:ascii="Georgia" w:hAnsi="Georgia"/>
                <w:b w:val="0"/>
                <w:i w:val="0"/>
                <w:color w:val="161210"/>
                <w:sz w:val="20"/>
              </w:rPr>
              <w:t>The fastest path to a shovel in the ground. Feasibility is complete, with three layout options modelled, and a unit mix dominated by three- and four-bedroom family suites — the housing type Scarborough families most need and the market least supplies. The site is positioned to reach shovel-ready within 6–12 months.</w:t>
            </w:r>
          </w:p>
          <w:tbl>
            <w:tblPr>
              <w:tblW w:type="auto" w:w="0"/>
              <w:tblLayout w:type="fixed"/>
              <w:tblLook w:firstColumn="1" w:firstRow="1" w:lastColumn="0" w:lastRow="0" w:noHBand="0" w:noVBand="1" w:val="04A0"/>
            </w:tblPr>
            <w:tblGrid>
              <w:gridCol w:w="4252"/>
              <w:gridCol w:w="4252"/>
            </w:tblGrid>
            <w:tr>
              <w:tc>
                <w:tcPr>
                  <w:tcW w:type="dxa" w:w="4533"/>
                </w:tcPr>
                <w:p>
                  <w:pPr>
                    <w:spacing w:after="40"/>
                  </w:pPr>
                  <w:r>
                    <w:rPr>
                      <w:rFonts w:ascii="Consolas" w:hAnsi="Consolas"/>
                      <w:b w:val="0"/>
                      <w:i w:val="0"/>
                      <w:color w:val="C89344"/>
                      <w:sz w:val="14"/>
                    </w:rPr>
                    <w:t>SITE</w:t>
                  </w:r>
                </w:p>
                <w:p>
                  <w:pPr>
                    <w:spacing w:after="80"/>
                  </w:pPr>
                  <w:r>
                    <w:rPr>
                      <w:rFonts w:ascii="Georgia" w:hAnsi="Georgia"/>
                      <w:b w:val="0"/>
                      <w:i w:val="0"/>
                      <w:color w:val="161210"/>
                      <w:sz w:val="19"/>
                    </w:rPr>
                    <w:t>~1,080 m² lot  ·  6 storeys</w:t>
                  </w:r>
                </w:p>
              </w:tc>
              <w:tc>
                <w:tcPr>
                  <w:tcW w:type="dxa" w:w="4533"/>
                </w:tcPr>
                <w:p/>
              </w:tc>
            </w:tr>
            <w:tr>
              <w:tc>
                <w:tcPr>
                  <w:tcW w:type="dxa" w:w="4533"/>
                </w:tcPr>
                <w:p>
                  <w:pPr>
                    <w:spacing w:after="40"/>
                  </w:pPr>
                  <w:r>
                    <w:rPr>
                      <w:rFonts w:ascii="Consolas" w:hAnsi="Consolas"/>
                      <w:b w:val="0"/>
                      <w:i w:val="0"/>
                      <w:color w:val="C89344"/>
                      <w:sz w:val="14"/>
                    </w:rPr>
                    <w:t>UNIT MIX</w:t>
                  </w:r>
                </w:p>
                <w:p>
                  <w:pPr>
                    <w:spacing w:after="80"/>
                  </w:pPr>
                  <w:r>
                    <w:rPr>
                      <w:rFonts w:ascii="Georgia" w:hAnsi="Georgia"/>
                      <w:b w:val="0"/>
                      <w:i w:val="0"/>
                      <w:color w:val="161210"/>
                      <w:sz w:val="19"/>
                    </w:rPr>
                    <w:t>Family-sized; heavy 3- and 4-bedroom</w:t>
                  </w:r>
                </w:p>
              </w:tc>
              <w:tc>
                <w:tcPr>
                  <w:tcW w:type="dxa" w:w="4533"/>
                </w:tcPr>
                <w:p/>
              </w:tc>
            </w:tr>
            <w:tr>
              <w:tc>
                <w:tcPr>
                  <w:tcW w:type="dxa" w:w="4533"/>
                </w:tcPr>
                <w:p>
                  <w:pPr>
                    <w:spacing w:after="40"/>
                  </w:pPr>
                  <w:r>
                    <w:rPr>
                      <w:rFonts w:ascii="Consolas" w:hAnsi="Consolas"/>
                      <w:b w:val="0"/>
                      <w:i w:val="0"/>
                      <w:color w:val="C89344"/>
                      <w:sz w:val="14"/>
                    </w:rPr>
                    <w:t>PROPOSED OPERATOR</w:t>
                  </w:r>
                </w:p>
                <w:p>
                  <w:pPr>
                    <w:spacing w:after="80"/>
                  </w:pPr>
                  <w:r>
                    <w:rPr>
                      <w:rFonts w:ascii="Georgia" w:hAnsi="Georgia"/>
                      <w:b w:val="0"/>
                      <w:i w:val="0"/>
                      <w:color w:val="161210"/>
                      <w:sz w:val="19"/>
                    </w:rPr>
                    <w:t>Our Greenway Conservancy</w:t>
                  </w:r>
                </w:p>
              </w:tc>
              <w:tc>
                <w:tcPr>
                  <w:tcW w:type="dxa" w:w="4533"/>
                </w:tcPr>
                <w:p/>
              </w:tc>
            </w:tr>
            <w:tr>
              <w:tc>
                <w:tcPr>
                  <w:tcW w:type="dxa" w:w="4533"/>
                </w:tcPr>
                <w:p>
                  <w:pPr>
                    <w:spacing w:after="40"/>
                  </w:pPr>
                  <w:r>
                    <w:rPr>
                      <w:rFonts w:ascii="Consolas" w:hAnsi="Consolas"/>
                      <w:b w:val="0"/>
                      <w:i w:val="0"/>
                      <w:color w:val="C89344"/>
                      <w:sz w:val="14"/>
                    </w:rPr>
                    <w:t>RESIDENT SERVICES</w:t>
                  </w:r>
                </w:p>
                <w:p>
                  <w:pPr>
                    <w:spacing w:after="80"/>
                  </w:pPr>
                  <w:r>
                    <w:rPr>
                      <w:rFonts w:ascii="Georgia" w:hAnsi="Georgia"/>
                      <w:b w:val="0"/>
                      <w:i w:val="0"/>
                      <w:color w:val="161210"/>
                      <w:sz w:val="19"/>
                    </w:rPr>
                    <w:t>RCHC (refugee pathway)</w:t>
                  </w:r>
                </w:p>
              </w:tc>
              <w:tc>
                <w:tcPr>
                  <w:tcW w:type="dxa" w:w="4533"/>
                </w:tcPr>
                <w:p/>
              </w:tc>
            </w:tr>
            <w:tr>
              <w:tc>
                <w:tcPr>
                  <w:tcW w:type="dxa" w:w="4533"/>
                </w:tcPr>
                <w:p>
                  <w:pPr>
                    <w:spacing w:after="40"/>
                  </w:pPr>
                  <w:r>
                    <w:rPr>
                      <w:rFonts w:ascii="Consolas" w:hAnsi="Consolas"/>
                      <w:b w:val="0"/>
                      <w:i w:val="0"/>
                      <w:color w:val="C89344"/>
                      <w:sz w:val="14"/>
                    </w:rPr>
                    <w:t>STATUS</w:t>
                  </w:r>
                </w:p>
                <w:p>
                  <w:pPr>
                    <w:spacing w:after="80"/>
                  </w:pPr>
                  <w:r>
                    <w:rPr>
                      <w:rFonts w:ascii="Georgia" w:hAnsi="Georgia"/>
                      <w:b w:val="0"/>
                      <w:i w:val="0"/>
                      <w:color w:val="161210"/>
                      <w:sz w:val="19"/>
                    </w:rPr>
                    <w:t>Feasibility complete (3 options)</w:t>
                  </w:r>
                </w:p>
              </w:tc>
              <w:tc>
                <w:tcPr>
                  <w:tcW w:type="dxa" w:w="4533"/>
                </w:tcPr>
                <w:p/>
              </w:tc>
            </w:tr>
            <w:tr>
              <w:tc>
                <w:tcPr>
                  <w:tcW w:type="dxa" w:w="4533"/>
                </w:tcPr>
                <w:p>
                  <w:pPr>
                    <w:spacing w:after="40"/>
                  </w:pPr>
                  <w:r>
                    <w:rPr>
                      <w:rFonts w:ascii="Consolas" w:hAnsi="Consolas"/>
                      <w:b w:val="0"/>
                      <w:i w:val="0"/>
                      <w:color w:val="C89344"/>
                      <w:sz w:val="14"/>
                    </w:rPr>
                    <w:t>TIMELINE</w:t>
                  </w:r>
                </w:p>
                <w:p>
                  <w:pPr>
                    <w:spacing w:after="80"/>
                  </w:pPr>
                  <w:r>
                    <w:rPr>
                      <w:rFonts w:ascii="Georgia" w:hAnsi="Georgia"/>
                      <w:b w:val="0"/>
                      <w:i w:val="0"/>
                      <w:color w:val="161210"/>
                      <w:sz w:val="19"/>
                    </w:rPr>
                    <w:t>Shovel-ready in 6–12 months</w:t>
                  </w:r>
                </w:p>
              </w:tc>
              <w:tc>
                <w:tcPr>
                  <w:tcW w:type="dxa" w:w="4533"/>
                </w:tcPr>
                <w:p/>
              </w:tc>
            </w:tr>
          </w:tbl>
          <w:p/>
        </w:tc>
      </w:tr>
    </w:tbl>
    <w:p>
      <w:pPr>
        <w:spacing w:before="160" w:after="120" w:line="324" w:lineRule="auto"/>
        <w:jc w:val="left"/>
      </w:pPr>
    </w:p>
    <w:tbl>
      <w:tblPr>
        <w:tblW w:type="auto" w:w="0"/>
        <w:tblLook w:firstColumn="1" w:firstRow="1" w:lastColumn="0" w:lastRow="0" w:noHBand="0" w:noVBand="1" w:val="04A0"/>
      </w:tblPr>
      <w:tblGrid>
        <w:gridCol w:w="9066"/>
      </w:tblGrid>
      <w:tr>
        <w:tc>
          <w:tcPr>
            <w:tcW w:type="dxa" w:w="9066"/>
            <w:tcBorders>
              <w:top w:sz="4" w:val="single" w:color="CDC1A8"/>
              <w:left w:sz="18" w:val="single" w:color="C89344"/>
              <w:bottom w:sz="4" w:val="single" w:color="CDC1A8"/>
              <w:right w:sz="4" w:val="single" w:color="CDC1A8"/>
            </w:tcBorders>
            <w:shd w:val="clear" w:color="auto" w:fill="fcf6e4"/>
          </w:tcPr>
          <w:p>
            <w:pPr>
              <w:spacing w:after="80"/>
            </w:pPr>
            <w:r>
              <w:rPr>
                <w:rFonts w:ascii="Consolas" w:hAnsi="Consolas"/>
                <w:b/>
                <w:i w:val="0"/>
                <w:color w:val="C89344"/>
                <w:sz w:val="16"/>
              </w:rPr>
              <w:t>SITE 2  ·  COMMUNITY ANCHOR</w:t>
            </w:r>
          </w:p>
          <w:tbl>
            <w:tblPr>
              <w:tblW w:type="auto" w:w="0"/>
              <w:tblLayout w:type="fixed"/>
              <w:tblLook w:firstColumn="1" w:firstRow="1" w:lastColumn="0" w:lastRow="0" w:noHBand="0" w:noVBand="1" w:val="04A0"/>
            </w:tblPr>
            <w:tblGrid>
              <w:gridCol w:w="6236"/>
              <w:gridCol w:w="2268"/>
            </w:tblGrid>
            <w:tr>
              <w:tc>
                <w:tcPr>
                  <w:tcW w:type="dxa" w:w="4533"/>
                </w:tcPr>
                <w:p>
                  <w:pPr>
                    <w:spacing w:after="0"/>
                  </w:pPr>
                  <w:r>
                    <w:rPr>
                      <w:rFonts w:ascii="Georgia" w:hAnsi="Georgia"/>
                      <w:b/>
                      <w:i w:val="0"/>
                      <w:color w:val="161210"/>
                      <w:sz w:val="32"/>
                    </w:rPr>
                    <w:t>4140 Finch Avenue East — NAMF Cultural Centre</w:t>
                  </w:r>
                </w:p>
                <w:p>
                  <w:pPr>
                    <w:spacing w:after="0"/>
                  </w:pPr>
                  <w:r>
                    <w:rPr>
                      <w:rFonts w:ascii="Georgia" w:hAnsi="Georgia"/>
                      <w:b w:val="0"/>
                      <w:i/>
                      <w:color w:val="3A2D22"/>
                      <w:sz w:val="20"/>
                    </w:rPr>
                    <w:t>Scarborough  ·  North American Muslim Foundation  ·  PAC plans issued Feb 28, 2025</w:t>
                  </w:r>
                </w:p>
              </w:tc>
              <w:tc>
                <w:tcPr>
                  <w:tcW w:type="dxa" w:w="4533"/>
                </w:tcPr>
                <w:p>
                  <w:pPr>
                    <w:spacing w:after="0"/>
                    <w:jc w:val="right"/>
                  </w:pPr>
                  <w:r>
                    <w:rPr>
                      <w:rFonts w:ascii="Georgia" w:hAnsi="Georgia"/>
                      <w:b/>
                      <w:i w:val="0"/>
                      <w:color w:val="C89344"/>
                      <w:sz w:val="64"/>
                    </w:rPr>
                    <w:t>243</w:t>
                  </w:r>
                </w:p>
                <w:p>
                  <w:pPr>
                    <w:spacing w:after="0"/>
                    <w:jc w:val="right"/>
                  </w:pPr>
                  <w:r>
                    <w:rPr>
                      <w:rFonts w:ascii="Consolas" w:hAnsi="Consolas"/>
                      <w:b w:val="0"/>
                      <w:i w:val="0"/>
                      <w:color w:val="3A2D22"/>
                      <w:sz w:val="16"/>
                    </w:rPr>
                    <w:t>AFFORDABLE HOMES</w:t>
                  </w:r>
                </w:p>
              </w:tc>
            </w:tr>
          </w:tbl>
          <w:p/>
          <w:p>
            <w:pPr>
              <w:spacing w:before="200" w:after="160" w:line="336" w:lineRule="auto"/>
            </w:pPr>
            <w:r>
              <w:rPr>
                <w:rFonts w:ascii="Georgia" w:hAnsi="Georgia"/>
                <w:b w:val="0"/>
                <w:i w:val="0"/>
                <w:color w:val="161210"/>
                <w:sz w:val="20"/>
              </w:rPr>
              <w:t>The North American Muslim Foundation operates a converted warehouse at 4140 Finch Avenue East as a prayer hall, school, and community space. The redevelopment delivers 243 affordable homes — 30% below 80% Median Market Rent and 70% at the City rent-controlled rate — alongside a 300-student school, a mosque, a community hall, retail, and medical offices, all on one site.</w:t>
            </w:r>
          </w:p>
          <w:tbl>
            <w:tblPr>
              <w:tblW w:type="auto" w:w="0"/>
              <w:tblLayout w:type="fixed"/>
              <w:tblLook w:firstColumn="1" w:firstRow="1" w:lastColumn="0" w:lastRow="0" w:noHBand="0" w:noVBand="1" w:val="04A0"/>
            </w:tblPr>
            <w:tblGrid>
              <w:gridCol w:w="4252"/>
              <w:gridCol w:w="4252"/>
            </w:tblGrid>
            <w:tr>
              <w:tc>
                <w:tcPr>
                  <w:tcW w:type="dxa" w:w="4533"/>
                </w:tcPr>
                <w:p>
                  <w:pPr>
                    <w:spacing w:after="40"/>
                  </w:pPr>
                  <w:r>
                    <w:rPr>
                      <w:rFonts w:ascii="Consolas" w:hAnsi="Consolas"/>
                      <w:b w:val="0"/>
                      <w:i w:val="0"/>
                      <w:color w:val="C89344"/>
                      <w:sz w:val="14"/>
                    </w:rPr>
                    <w:t>AFFORDABILITY</w:t>
                  </w:r>
                </w:p>
                <w:p>
                  <w:pPr>
                    <w:spacing w:after="80"/>
                  </w:pPr>
                  <w:r>
                    <w:rPr>
                      <w:rFonts w:ascii="Georgia" w:hAnsi="Georgia"/>
                      <w:b w:val="0"/>
                      <w:i w:val="0"/>
                      <w:color w:val="161210"/>
                      <w:sz w:val="19"/>
                    </w:rPr>
                    <w:t>30% below 80% MMR  ·  70% rent-controlled</w:t>
                  </w:r>
                </w:p>
              </w:tc>
              <w:tc>
                <w:tcPr>
                  <w:tcW w:type="dxa" w:w="4533"/>
                </w:tcPr>
                <w:p/>
              </w:tc>
            </w:tr>
            <w:tr>
              <w:tc>
                <w:tcPr>
                  <w:tcW w:type="dxa" w:w="4533"/>
                </w:tcPr>
                <w:p>
                  <w:pPr>
                    <w:spacing w:after="40"/>
                  </w:pPr>
                  <w:r>
                    <w:rPr>
                      <w:rFonts w:ascii="Consolas" w:hAnsi="Consolas"/>
                      <w:b w:val="0"/>
                      <w:i w:val="0"/>
                      <w:color w:val="C89344"/>
                      <w:sz w:val="14"/>
                    </w:rPr>
                    <w:t>COMMUNITY USES</w:t>
                  </w:r>
                </w:p>
                <w:p>
                  <w:pPr>
                    <w:spacing w:after="80"/>
                  </w:pPr>
                  <w:r>
                    <w:rPr>
                      <w:rFonts w:ascii="Georgia" w:hAnsi="Georgia"/>
                      <w:b w:val="0"/>
                      <w:i w:val="0"/>
                      <w:color w:val="161210"/>
                      <w:sz w:val="19"/>
                    </w:rPr>
                    <w:t>300-student school  ·  mosque  ·  community hall</w:t>
                  </w:r>
                </w:p>
              </w:tc>
              <w:tc>
                <w:tcPr>
                  <w:tcW w:type="dxa" w:w="4533"/>
                </w:tcPr>
                <w:p/>
              </w:tc>
            </w:tr>
            <w:tr>
              <w:tc>
                <w:tcPr>
                  <w:tcW w:type="dxa" w:w="4533"/>
                </w:tcPr>
                <w:p>
                  <w:pPr>
                    <w:spacing w:after="40"/>
                  </w:pPr>
                  <w:r>
                    <w:rPr>
                      <w:rFonts w:ascii="Consolas" w:hAnsi="Consolas"/>
                      <w:b w:val="0"/>
                      <w:i w:val="0"/>
                      <w:color w:val="C89344"/>
                      <w:sz w:val="14"/>
                    </w:rPr>
                    <w:t>OPERATOR / TITLEHOLDER</w:t>
                  </w:r>
                </w:p>
                <w:p>
                  <w:pPr>
                    <w:spacing w:after="80"/>
                  </w:pPr>
                  <w:r>
                    <w:rPr>
                      <w:rFonts w:ascii="Georgia" w:hAnsi="Georgia"/>
                      <w:b w:val="0"/>
                      <w:i w:val="0"/>
                      <w:color w:val="161210"/>
                      <w:sz w:val="19"/>
                    </w:rPr>
                    <w:t>NAMF</w:t>
                  </w:r>
                </w:p>
              </w:tc>
              <w:tc>
                <w:tcPr>
                  <w:tcW w:type="dxa" w:w="4533"/>
                </w:tcPr>
                <w:p/>
              </w:tc>
            </w:tr>
            <w:tr>
              <w:tc>
                <w:tcPr>
                  <w:tcW w:type="dxa" w:w="4533"/>
                </w:tcPr>
                <w:p>
                  <w:pPr>
                    <w:spacing w:after="40"/>
                  </w:pPr>
                  <w:r>
                    <w:rPr>
                      <w:rFonts w:ascii="Consolas" w:hAnsi="Consolas"/>
                      <w:b w:val="0"/>
                      <w:i w:val="0"/>
                      <w:color w:val="C89344"/>
                      <w:sz w:val="14"/>
                    </w:rPr>
                    <w:t>STATUS</w:t>
                  </w:r>
                </w:p>
                <w:p>
                  <w:pPr>
                    <w:spacing w:after="80"/>
                  </w:pPr>
                  <w:r>
                    <w:rPr>
                      <w:rFonts w:ascii="Georgia" w:hAnsi="Georgia"/>
                      <w:b w:val="0"/>
                      <w:i w:val="0"/>
                      <w:color w:val="161210"/>
                      <w:sz w:val="19"/>
                    </w:rPr>
                    <w:t>PAC architectural plans issued Feb 2025</w:t>
                  </w:r>
                </w:p>
              </w:tc>
              <w:tc>
                <w:tcPr>
                  <w:tcW w:type="dxa" w:w="4533"/>
                </w:tcPr>
                <w:p/>
              </w:tc>
            </w:tr>
            <w:tr>
              <w:tc>
                <w:tcPr>
                  <w:tcW w:type="dxa" w:w="4533"/>
                </w:tcPr>
                <w:p>
                  <w:pPr>
                    <w:spacing w:after="40"/>
                  </w:pPr>
                  <w:r>
                    <w:rPr>
                      <w:rFonts w:ascii="Consolas" w:hAnsi="Consolas"/>
                      <w:b w:val="0"/>
                      <w:i w:val="0"/>
                      <w:color w:val="C89344"/>
                      <w:sz w:val="14"/>
                    </w:rPr>
                    <w:t>TIMELINE</w:t>
                  </w:r>
                </w:p>
                <w:p>
                  <w:pPr>
                    <w:spacing w:after="80"/>
                  </w:pPr>
                  <w:r>
                    <w:rPr>
                      <w:rFonts w:ascii="Georgia" w:hAnsi="Georgia"/>
                      <w:b w:val="0"/>
                      <w:i w:val="0"/>
                      <w:color w:val="161210"/>
                      <w:sz w:val="19"/>
                    </w:rPr>
                    <w:t>Entitlements advancing; financing-ready 18–24 months</w:t>
                  </w:r>
                </w:p>
              </w:tc>
              <w:tc>
                <w:tcPr>
                  <w:tcW w:type="dxa" w:w="4533"/>
                </w:tcPr>
                <w:p/>
              </w:tc>
            </w:tr>
            <w:tr>
              <w:tc>
                <w:tcPr>
                  <w:tcW w:type="dxa" w:w="4533"/>
                </w:tcPr>
                <w:p>
                  <w:pPr>
                    <w:spacing w:after="40"/>
                  </w:pPr>
                  <w:r>
                    <w:rPr>
                      <w:rFonts w:ascii="Consolas" w:hAnsi="Consolas"/>
                      <w:b w:val="0"/>
                      <w:i w:val="0"/>
                      <w:color w:val="C89344"/>
                      <w:sz w:val="14"/>
                    </w:rPr>
                    <w:t>ROLE</w:t>
                  </w:r>
                </w:p>
                <w:p>
                  <w:pPr>
                    <w:spacing w:after="80"/>
                  </w:pPr>
                  <w:r>
                    <w:rPr>
                      <w:rFonts w:ascii="Georgia" w:hAnsi="Georgia"/>
                      <w:b w:val="0"/>
                      <w:i w:val="0"/>
                      <w:color w:val="161210"/>
                      <w:sz w:val="19"/>
                    </w:rPr>
                    <w:t>Community anchor of the Scarborough portfolio</w:t>
                  </w:r>
                </w:p>
              </w:tc>
              <w:tc>
                <w:tcPr>
                  <w:tcW w:type="dxa" w:w="4533"/>
                </w:tcPr>
                <w:p/>
              </w:tc>
            </w:tr>
          </w:tbl>
          <w:p/>
        </w:tc>
      </w:tr>
    </w:tbl>
    <w:p>
      <w:pPr>
        <w:spacing w:before="160" w:after="120" w:line="324" w:lineRule="auto"/>
        <w:jc w:val="left"/>
      </w:pPr>
    </w:p>
    <w:tbl>
      <w:tblPr>
        <w:tblW w:type="auto" w:w="0"/>
        <w:tblLook w:firstColumn="1" w:firstRow="1" w:lastColumn="0" w:lastRow="0" w:noHBand="0" w:noVBand="1" w:val="04A0"/>
      </w:tblPr>
      <w:tblGrid>
        <w:gridCol w:w="9066"/>
      </w:tblGrid>
      <w:tr>
        <w:tc>
          <w:tcPr>
            <w:tcW w:type="dxa" w:w="9066"/>
            <w:tcBorders>
              <w:top w:sz="4" w:val="single" w:color="CDC1A8"/>
              <w:left w:sz="18" w:val="single" w:color="C89344"/>
              <w:bottom w:sz="4" w:val="single" w:color="CDC1A8"/>
              <w:right w:sz="4" w:val="single" w:color="CDC1A8"/>
            </w:tcBorders>
            <w:shd w:val="clear" w:color="auto" w:fill="fcf6e4"/>
          </w:tcPr>
          <w:p>
            <w:pPr>
              <w:spacing w:after="80"/>
            </w:pPr>
            <w:r>
              <w:rPr>
                <w:rFonts w:ascii="Consolas" w:hAnsi="Consolas"/>
                <w:b/>
                <w:i w:val="0"/>
                <w:color w:val="C89344"/>
                <w:sz w:val="16"/>
              </w:rPr>
              <w:t>SITE 3  ·  CORRIDOR DENSITY</w:t>
            </w:r>
          </w:p>
          <w:tbl>
            <w:tblPr>
              <w:tblW w:type="auto" w:w="0"/>
              <w:tblLayout w:type="fixed"/>
              <w:tblLook w:firstColumn="1" w:firstRow="1" w:lastColumn="0" w:lastRow="0" w:noHBand="0" w:noVBand="1" w:val="04A0"/>
            </w:tblPr>
            <w:tblGrid>
              <w:gridCol w:w="6236"/>
              <w:gridCol w:w="2268"/>
            </w:tblGrid>
            <w:tr>
              <w:tc>
                <w:tcPr>
                  <w:tcW w:type="dxa" w:w="4533"/>
                </w:tcPr>
                <w:p>
                  <w:pPr>
                    <w:spacing w:after="0"/>
                  </w:pPr>
                  <w:r>
                    <w:rPr>
                      <w:rFonts w:ascii="Georgia" w:hAnsi="Georgia"/>
                      <w:b/>
                      <w:i w:val="0"/>
                      <w:color w:val="161210"/>
                      <w:sz w:val="32"/>
                    </w:rPr>
                    <w:t>3175–3181 Sheppard Avenue East</w:t>
                  </w:r>
                </w:p>
                <w:p>
                  <w:pPr>
                    <w:spacing w:after="0"/>
                  </w:pPr>
                  <w:r>
                    <w:rPr>
                      <w:rFonts w:ascii="Georgia" w:hAnsi="Georgia"/>
                      <w:b w:val="0"/>
                      <w:i/>
                      <w:color w:val="3A2D22"/>
                      <w:sz w:val="20"/>
                    </w:rPr>
                    <w:t>Scarborough  ·  Tam O'Shanter-Sullivan  ·  Avenues designation</w:t>
                  </w:r>
                </w:p>
              </w:tc>
              <w:tc>
                <w:tcPr>
                  <w:tcW w:type="dxa" w:w="4533"/>
                </w:tcPr>
                <w:p>
                  <w:pPr>
                    <w:spacing w:after="0"/>
                    <w:jc w:val="right"/>
                  </w:pPr>
                  <w:r>
                    <w:rPr>
                      <w:rFonts w:ascii="Georgia" w:hAnsi="Georgia"/>
                      <w:b/>
                      <w:i w:val="0"/>
                      <w:color w:val="C89344"/>
                      <w:sz w:val="64"/>
                    </w:rPr>
                    <w:t>194</w:t>
                  </w:r>
                </w:p>
                <w:p>
                  <w:pPr>
                    <w:spacing w:after="0"/>
                    <w:jc w:val="right"/>
                  </w:pPr>
                  <w:r>
                    <w:rPr>
                      <w:rFonts w:ascii="Consolas" w:hAnsi="Consolas"/>
                      <w:b w:val="0"/>
                      <w:i w:val="0"/>
                      <w:color w:val="3A2D22"/>
                      <w:sz w:val="16"/>
                    </w:rPr>
                    <w:t>MIXED-USE HOMES</w:t>
                  </w:r>
                </w:p>
              </w:tc>
            </w:tr>
          </w:tbl>
          <w:p/>
          <w:p>
            <w:pPr>
              <w:spacing w:before="200" w:after="160" w:line="336" w:lineRule="auto"/>
            </w:pPr>
            <w:r>
              <w:rPr>
                <w:rFonts w:ascii="Georgia" w:hAnsi="Georgia"/>
                <w:b w:val="0"/>
                <w:i w:val="0"/>
                <w:color w:val="161210"/>
                <w:sz w:val="20"/>
              </w:rPr>
              <w:t>Four consolidated parcels on the Sheppard high-density corridor — 29,741 SF (0.683 acres) — with entitlements advanced through Doran Design Build. The proposal is a 14-storey, 194-unit mixed-use building with 5,290 SF of ground-floor retail. The site carries an Avenues designation, so no Official Plan Amendment is required. Colliers appraised the land at $12.2M (March 2024).</w:t>
            </w:r>
          </w:p>
          <w:tbl>
            <w:tblPr>
              <w:tblW w:type="auto" w:w="0"/>
              <w:tblLayout w:type="fixed"/>
              <w:tblLook w:firstColumn="1" w:firstRow="1" w:lastColumn="0" w:lastRow="0" w:noHBand="0" w:noVBand="1" w:val="04A0"/>
            </w:tblPr>
            <w:tblGrid>
              <w:gridCol w:w="4252"/>
              <w:gridCol w:w="4252"/>
            </w:tblGrid>
            <w:tr>
              <w:tc>
                <w:tcPr>
                  <w:tcW w:type="dxa" w:w="4533"/>
                </w:tcPr>
                <w:p>
                  <w:pPr>
                    <w:spacing w:after="40"/>
                  </w:pPr>
                  <w:r>
                    <w:rPr>
                      <w:rFonts w:ascii="Consolas" w:hAnsi="Consolas"/>
                      <w:b w:val="0"/>
                      <w:i w:val="0"/>
                      <w:color w:val="C89344"/>
                      <w:sz w:val="14"/>
                    </w:rPr>
                    <w:t>SITE</w:t>
                  </w:r>
                </w:p>
                <w:p>
                  <w:pPr>
                    <w:spacing w:after="80"/>
                  </w:pPr>
                  <w:r>
                    <w:rPr>
                      <w:rFonts w:ascii="Georgia" w:hAnsi="Georgia"/>
                      <w:b w:val="0"/>
                      <w:i w:val="0"/>
                      <w:color w:val="161210"/>
                      <w:sz w:val="19"/>
                    </w:rPr>
                    <w:t>29,741 SF / 0.683 acres  ·  4 parcels</w:t>
                  </w:r>
                </w:p>
              </w:tc>
              <w:tc>
                <w:tcPr>
                  <w:tcW w:type="dxa" w:w="4533"/>
                </w:tcPr>
                <w:p/>
              </w:tc>
            </w:tr>
            <w:tr>
              <w:tc>
                <w:tcPr>
                  <w:tcW w:type="dxa" w:w="4533"/>
                </w:tcPr>
                <w:p>
                  <w:pPr>
                    <w:spacing w:after="40"/>
                  </w:pPr>
                  <w:r>
                    <w:rPr>
                      <w:rFonts w:ascii="Consolas" w:hAnsi="Consolas"/>
                      <w:b w:val="0"/>
                      <w:i w:val="0"/>
                      <w:color w:val="C89344"/>
                      <w:sz w:val="14"/>
                    </w:rPr>
                    <w:t>BUILDING</w:t>
                  </w:r>
                </w:p>
                <w:p>
                  <w:pPr>
                    <w:spacing w:after="80"/>
                  </w:pPr>
                  <w:r>
                    <w:rPr>
                      <w:rFonts w:ascii="Georgia" w:hAnsi="Georgia"/>
                      <w:b w:val="0"/>
                      <w:i w:val="0"/>
                      <w:color w:val="161210"/>
                      <w:sz w:val="19"/>
                    </w:rPr>
                    <w:t>14 storeys  ·  5,290 SF retail</w:t>
                  </w:r>
                </w:p>
              </w:tc>
              <w:tc>
                <w:tcPr>
                  <w:tcW w:type="dxa" w:w="4533"/>
                </w:tcPr>
                <w:p/>
              </w:tc>
            </w:tr>
            <w:tr>
              <w:tc>
                <w:tcPr>
                  <w:tcW w:type="dxa" w:w="4533"/>
                </w:tcPr>
                <w:p>
                  <w:pPr>
                    <w:spacing w:after="40"/>
                  </w:pPr>
                  <w:r>
                    <w:rPr>
                      <w:rFonts w:ascii="Consolas" w:hAnsi="Consolas"/>
                      <w:b w:val="0"/>
                      <w:i w:val="0"/>
                      <w:color w:val="C89344"/>
                      <w:sz w:val="14"/>
                    </w:rPr>
                    <w:t>LAND VALUE</w:t>
                  </w:r>
                </w:p>
                <w:p>
                  <w:pPr>
                    <w:spacing w:after="80"/>
                  </w:pPr>
                  <w:r>
                    <w:rPr>
                      <w:rFonts w:ascii="Georgia" w:hAnsi="Georgia"/>
                      <w:b w:val="0"/>
                      <w:i w:val="0"/>
                      <w:color w:val="161210"/>
                      <w:sz w:val="19"/>
                    </w:rPr>
                    <w:t>$12.2M (Colliers, March 2024)</w:t>
                  </w:r>
                </w:p>
              </w:tc>
              <w:tc>
                <w:tcPr>
                  <w:tcW w:type="dxa" w:w="4533"/>
                </w:tcPr>
                <w:p/>
              </w:tc>
            </w:tr>
            <w:tr>
              <w:tc>
                <w:tcPr>
                  <w:tcW w:type="dxa" w:w="4533"/>
                </w:tcPr>
                <w:p>
                  <w:pPr>
                    <w:spacing w:after="40"/>
                  </w:pPr>
                  <w:r>
                    <w:rPr>
                      <w:rFonts w:ascii="Consolas" w:hAnsi="Consolas"/>
                      <w:b w:val="0"/>
                      <w:i w:val="0"/>
                      <w:color w:val="C89344"/>
                      <w:sz w:val="14"/>
                    </w:rPr>
                    <w:t>PROPOSED OPERATOR</w:t>
                  </w:r>
                </w:p>
                <w:p>
                  <w:pPr>
                    <w:spacing w:after="80"/>
                  </w:pPr>
                  <w:r>
                    <w:rPr>
                      <w:rFonts w:ascii="Georgia" w:hAnsi="Georgia"/>
                      <w:b w:val="0"/>
                      <w:i w:val="0"/>
                      <w:color w:val="161210"/>
                      <w:sz w:val="19"/>
                    </w:rPr>
                    <w:t>Community operator partner (in discussion)</w:t>
                  </w:r>
                </w:p>
              </w:tc>
              <w:tc>
                <w:tcPr>
                  <w:tcW w:type="dxa" w:w="4533"/>
                </w:tcPr>
                <w:p/>
              </w:tc>
            </w:tr>
            <w:tr>
              <w:tc>
                <w:tcPr>
                  <w:tcW w:type="dxa" w:w="4533"/>
                </w:tcPr>
                <w:p>
                  <w:pPr>
                    <w:spacing w:after="40"/>
                  </w:pPr>
                  <w:r>
                    <w:rPr>
                      <w:rFonts w:ascii="Consolas" w:hAnsi="Consolas"/>
                      <w:b w:val="0"/>
                      <w:i w:val="0"/>
                      <w:color w:val="C89344"/>
                      <w:sz w:val="14"/>
                    </w:rPr>
                    <w:t>STATUS</w:t>
                  </w:r>
                </w:p>
                <w:p>
                  <w:pPr>
                    <w:spacing w:after="80"/>
                  </w:pPr>
                  <w:r>
                    <w:rPr>
                      <w:rFonts w:ascii="Georgia" w:hAnsi="Georgia"/>
                      <w:b w:val="0"/>
                      <w:i w:val="0"/>
                      <w:color w:val="161210"/>
                      <w:sz w:val="19"/>
                    </w:rPr>
                    <w:t>ZBA in process  ·  contribution LOI in negotiation</w:t>
                  </w:r>
                </w:p>
              </w:tc>
              <w:tc>
                <w:tcPr>
                  <w:tcW w:type="dxa" w:w="4533"/>
                </w:tcPr>
                <w:p/>
              </w:tc>
            </w:tr>
            <w:tr>
              <w:tc>
                <w:tcPr>
                  <w:tcW w:type="dxa" w:w="4533"/>
                </w:tcPr>
                <w:p>
                  <w:pPr>
                    <w:spacing w:after="40"/>
                  </w:pPr>
                  <w:r>
                    <w:rPr>
                      <w:rFonts w:ascii="Consolas" w:hAnsi="Consolas"/>
                      <w:b w:val="0"/>
                      <w:i w:val="0"/>
                      <w:color w:val="C89344"/>
                      <w:sz w:val="14"/>
                    </w:rPr>
                    <w:t>TIMELINE</w:t>
                  </w:r>
                </w:p>
                <w:p>
                  <w:pPr>
                    <w:spacing w:after="80"/>
                  </w:pPr>
                  <w:r>
                    <w:rPr>
                      <w:rFonts w:ascii="Georgia" w:hAnsi="Georgia"/>
                      <w:b w:val="0"/>
                      <w:i w:val="0"/>
                      <w:color w:val="161210"/>
                      <w:sz w:val="19"/>
                    </w:rPr>
                    <w:t>Entitlement-led; 12–24 months to readiness</w:t>
                  </w:r>
                </w:p>
              </w:tc>
              <w:tc>
                <w:tcPr>
                  <w:tcW w:type="dxa" w:w="4533"/>
                </w:tcPr>
                <w:p/>
              </w:tc>
            </w:tr>
          </w:tbl>
          <w:p/>
        </w:tc>
      </w:tr>
    </w:tbl>
    <w:p>
      <w:pPr>
        <w:spacing w:before="160" w:after="120" w:line="324" w:lineRule="auto"/>
        <w:jc w:val="left"/>
      </w:pPr>
    </w:p>
    <w:tbl>
      <w:tblPr>
        <w:tblW w:type="auto" w:w="0"/>
        <w:tblLook w:firstColumn="1" w:firstRow="1" w:lastColumn="0" w:lastRow="0" w:noHBand="0" w:noVBand="1" w:val="04A0"/>
      </w:tblPr>
      <w:tblGrid>
        <w:gridCol w:w="9066"/>
      </w:tblGrid>
      <w:tr>
        <w:tc>
          <w:tcPr>
            <w:tcW w:type="dxa" w:w="9066"/>
            <w:shd w:val="clear" w:color="auto" w:fill="fbf3da"/>
            <w:tcBorders>
              <w:top w:sz="4" w:val="single" w:color="C89344"/>
              <w:left w:sz="18" w:val="single" w:color="C89344"/>
              <w:bottom w:sz="4" w:val="single" w:color="C89344"/>
              <w:right w:sz="4" w:val="single" w:color="C89344"/>
            </w:tcBorders>
          </w:tcPr>
          <w:p>
            <w:pPr>
              <w:spacing w:after="80"/>
            </w:pPr>
            <w:r>
              <w:rPr>
                <w:rFonts w:ascii="Consolas" w:hAnsi="Consolas"/>
                <w:b/>
                <w:i w:val="0"/>
                <w:color w:val="C89344"/>
                <w:sz w:val="16"/>
              </w:rPr>
              <w:t>A NOTE ON THE SCARBOROUGH SITES</w:t>
            </w:r>
          </w:p>
          <w:p>
            <w:pPr>
              <w:spacing w:after="80" w:line="336" w:lineRule="auto"/>
            </w:pPr>
            <w:r>
              <w:rPr>
                <w:rFonts w:ascii="Georgia" w:hAnsi="Georgia"/>
                <w:b w:val="0"/>
                <w:i w:val="0"/>
                <w:color w:val="161210"/>
                <w:sz w:val="20"/>
              </w:rPr>
              <w:t>These three sites are at different stages of readiness. Brimley has completed feasibility and is closest to construction. NAMF's entitlements are advancing on issued PAC plans. Sheppard is progressing through its Zoning By-law Amendment, with a Letter of Intent to contribute the assembled parcels into the Common Ground structure currently in negotiation. The platform investment is what carries each of them through pre-development to financing-ready.</w:t>
            </w:r>
          </w:p>
        </w:tc>
      </w:tr>
    </w:tbl>
    <w:p>
      <w:pPr>
        <w:spacing w:before="160" w:after="160" w:line="324" w:lineRule="auto"/>
        <w:jc w:val="left"/>
      </w:pPr>
    </w:p>
    <w:sectPr w:rsidR="00FC693F" w:rsidRPr="0006063C" w:rsidSect="00034616">
      <w:headerReference w:type="default" r:id="rId9"/>
      <w:footerReference w:type="default" r:id="rId10"/>
      <w:pgSz w:w="12240" w:h="15840"/>
      <w:pgMar w:top="1701" w:right="1587" w:bottom="1361" w:left="158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olas" w:hAnsi="Consolas"/>
        <w:color w:val="3A2D22"/>
        <w:sz w:val="16"/>
      </w:rP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nsolas" w:hAnsi="Consolas"/>
        <w:color w:val="3A2D22"/>
        <w:sz w:val="16"/>
      </w:rPr>
      <w:t>UBUNTU LTD  ·  THE NORTHPINE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60"/>
    </w:pPr>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