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Consolas" w:hAnsi="Consolas"/>
          <w:color w:val="3A2D22"/>
          <w:sz w:val="16"/>
        </w:rPr>
        <w:t xml:space="preserve">Re:  </w:t>
      </w:r>
      <w:r>
        <w:rPr>
          <w:rFonts w:ascii="Georgia" w:hAnsi="Georgia"/>
          <w:i/>
          <w:sz w:val="22"/>
        </w:rPr>
        <w:t>[Parcel address] — Contribution to Common Ground Initiative</w:t>
      </w:r>
    </w:p>
    <w:p>
      <w:pPr>
        <w:spacing w:before="2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7370"/>
      </w:tblGrid>
      <w:tr>
        <w:tc>
          <w:tcPr>
            <w:tcW w:type="dxa" w:w="4759"/>
          </w:tcPr>
          <w:p>
            <w:r>
              <w:rPr>
                <w:rFonts w:ascii="Consolas" w:hAnsi="Consolas"/>
                <w:color w:val="3A2D22"/>
                <w:sz w:val="16"/>
              </w:rPr>
              <w:t>Between:</w:t>
            </w:r>
          </w:p>
        </w:tc>
        <w:tc>
          <w:tcPr>
            <w:tcW w:type="dxa" w:w="4759"/>
          </w:tcPr>
          <w:p>
            <w:r>
              <w:rPr>
                <w:rFonts w:ascii="Georgia" w:hAnsi="Georgia"/>
                <w:sz w:val="20"/>
              </w:rPr>
              <w:t>[Landowner legal name] ("Contributor")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/>
                <w:color w:val="3A2D22"/>
                <w:sz w:val="16"/>
              </w:rPr>
              <w:t>And:</w:t>
            </w:r>
          </w:p>
        </w:tc>
        <w:tc>
          <w:tcPr>
            <w:tcW w:type="dxa" w:w="4759"/>
          </w:tcPr>
          <w:p>
            <w:r>
              <w:rPr>
                <w:rFonts w:ascii="Georgia" w:hAnsi="Georgia"/>
                <w:sz w:val="20"/>
              </w:rPr>
              <w:t>Ubuntu Land Trust and Developments ("Ubuntu LTD")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/>
                <w:color w:val="3A2D22"/>
                <w:sz w:val="16"/>
              </w:rPr>
              <w:t>Date:</w:t>
            </w:r>
          </w:p>
        </w:tc>
        <w:tc>
          <w:tcPr>
            <w:tcW w:type="dxa" w:w="4759"/>
          </w:tcPr>
          <w:p>
            <w:r>
              <w:rPr>
                <w:rFonts w:ascii="Georgia" w:hAnsi="Georgia"/>
                <w:sz w:val="20"/>
              </w:rPr>
              <w:t>[YYYY-MM-DD]</w:t>
            </w:r>
          </w:p>
        </w:tc>
      </w:tr>
    </w:tbl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§1  ·  Parcel</w:t>
      </w:r>
    </w:p>
    <w:p>
      <w:pPr>
        <w:jc w:val="both"/>
      </w:pPr>
      <w:r>
        <w:rPr>
          <w:rFonts w:ascii="Georgia" w:hAnsi="Georgia"/>
          <w:sz w:val="19"/>
        </w:rPr>
        <w:t>The parties acknowledge the entitled parcel located at [address], legally described as [legal description].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§2  ·  Contribution mechanic</w:t>
      </w:r>
    </w:p>
    <w:p>
      <w:pPr>
        <w:jc w:val="both"/>
      </w:pPr>
      <w:r>
        <w:rPr>
          <w:rFonts w:ascii="Georgia" w:hAnsi="Georgia"/>
          <w:sz w:val="19"/>
        </w:rPr>
        <w:t>Contributor shall contribute the Parcel into a project-level Special Purpose Vehicle ("SPV") in exchange for preferred-equity units of the SPV. The contribution is not a sale.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§3  ·  Project structure</w:t>
      </w:r>
    </w:p>
    <w:p>
      <w:pPr>
        <w:jc w:val="both"/>
      </w:pPr>
      <w:r>
        <w:rPr>
          <w:rFonts w:ascii="Georgia" w:hAnsi="Georgia"/>
          <w:sz w:val="19"/>
        </w:rPr>
        <w:t>The SPV shall develop the Parcel as part of the Common Ground Initiative, with a mission-aligned non-profit operator taking ownership of the building entity on day one of occupancy.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§4  ·  Financing</w:t>
      </w:r>
    </w:p>
    <w:p>
      <w:pPr>
        <w:jc w:val="both"/>
      </w:pPr>
      <w:r>
        <w:rPr>
          <w:rFonts w:ascii="Georgia" w:hAnsi="Georgia"/>
          <w:sz w:val="19"/>
        </w:rPr>
        <w:t>Construction financing shall be sought through the Canada Mortgage and Housing Corporation (CMHC) and Build Canada Homes (BCH) on institution-grade terms.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§5  ·  Year-20 land purchase</w:t>
      </w:r>
    </w:p>
    <w:p>
      <w:pPr>
        <w:jc w:val="both"/>
      </w:pPr>
      <w:r>
        <w:rPr>
          <w:rFonts w:ascii="Georgia" w:hAnsi="Georgia"/>
          <w:sz w:val="19"/>
        </w:rPr>
        <w:t>At Year 20, Contributor's preferred-equity interest shall be redeemed at fair value, funded from accumulated mortgage paydown together with equity remaining in the SPV. Upon redemption, the non-profit operator acquires the Parcel fee-simple.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§6  ·  Exclusivity</w:t>
      </w:r>
      <w:r>
        <w:rPr>
          <w:rFonts w:ascii="Consolas" w:hAnsi="Consolas"/>
          <w:b/>
          <w:color w:val="A14A23"/>
          <w:sz w:val="15"/>
        </w:rPr>
        <w:t xml:space="preserve">   · BINDING</w:t>
      </w:r>
    </w:p>
    <w:p>
      <w:pPr>
        <w:jc w:val="both"/>
      </w:pPr>
      <w:r>
        <w:rPr>
          <w:rFonts w:ascii="Georgia" w:hAnsi="Georgia"/>
          <w:sz w:val="19"/>
        </w:rPr>
        <w:t>For a period of [60 / 90] days from the date of this LOI, Contributor shall not solicit or accept competing offers from third parties in respect of the Parcel.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§7  ·  Diligence</w:t>
      </w:r>
    </w:p>
    <w:p>
      <w:pPr>
        <w:jc w:val="both"/>
      </w:pPr>
      <w:r>
        <w:rPr>
          <w:rFonts w:ascii="Georgia" w:hAnsi="Georgia"/>
          <w:sz w:val="19"/>
        </w:rPr>
        <w:t>The parties shall cooperate on customary diligence: title, zoning, environmental, geotechnical, and operator readiness.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§8  ·  Definitive documents</w:t>
      </w:r>
    </w:p>
    <w:p>
      <w:pPr>
        <w:jc w:val="both"/>
      </w:pPr>
      <w:r>
        <w:rPr>
          <w:rFonts w:ascii="Georgia" w:hAnsi="Georgia"/>
          <w:sz w:val="19"/>
        </w:rPr>
        <w:t>The parties shall negotiate in good faith toward a Contribution Agreement, SPV LP Agreement, and Operator Lease, targeted for execution within the diligence period.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§9  ·  Confidentiality</w:t>
      </w:r>
      <w:r>
        <w:rPr>
          <w:rFonts w:ascii="Consolas" w:hAnsi="Consolas"/>
          <w:b/>
          <w:color w:val="A14A23"/>
          <w:sz w:val="15"/>
        </w:rPr>
        <w:t xml:space="preserve">   · BINDING</w:t>
      </w:r>
    </w:p>
    <w:p>
      <w:pPr>
        <w:jc w:val="both"/>
      </w:pPr>
      <w:r>
        <w:rPr>
          <w:rFonts w:ascii="Georgia" w:hAnsi="Georgia"/>
          <w:sz w:val="19"/>
        </w:rPr>
        <w:t>The terms herein are confidential between the parties and their advisors save as required by law or the Ontario Securities Commission.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§10  ·  Non-binding</w:t>
      </w:r>
    </w:p>
    <w:p>
      <w:pPr>
        <w:jc w:val="both"/>
      </w:pPr>
      <w:r>
        <w:rPr>
          <w:rFonts w:ascii="Georgia" w:hAnsi="Georgia"/>
          <w:sz w:val="19"/>
        </w:rPr>
        <w:t>Save §6, §9, and §11, this letter is non-binding. No obligation to close arises until execution of definitive documents.</w:t>
      </w:r>
    </w:p>
    <w:p>
      <w:pPr>
        <w:spacing w:before="240" w:after="80"/>
      </w:pPr>
      <w:r>
        <w:rPr>
          <w:rFonts w:ascii="Georgia" w:hAnsi="Georgia"/>
          <w:b/>
          <w:color w:val="161210"/>
          <w:sz w:val="22"/>
        </w:rPr>
        <w:t>§11  ·  Governing law</w:t>
      </w:r>
      <w:r>
        <w:rPr>
          <w:rFonts w:ascii="Consolas" w:hAnsi="Consolas"/>
          <w:b/>
          <w:color w:val="A14A23"/>
          <w:sz w:val="15"/>
        </w:rPr>
        <w:t xml:space="preserve">   · BINDING</w:t>
      </w:r>
    </w:p>
    <w:p>
      <w:pPr>
        <w:jc w:val="both"/>
      </w:pPr>
      <w:r>
        <w:rPr>
          <w:rFonts w:ascii="Georgia" w:hAnsi="Georgia"/>
          <w:sz w:val="19"/>
        </w:rPr>
        <w:t>Province of Ontario. Disputes referred to private arbitration in Toronto under ADRIC rules.</w:t>
      </w:r>
    </w:p>
    <w:p>
      <w:pPr>
        <w:spacing w:before="5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59"/>
          </w:tcPr>
          <w:p>
            <w:r>
              <w:rPr>
                <w:rFonts w:ascii="Consolas" w:hAnsi="Consolas"/>
                <w:color w:val="3A2D22"/>
                <w:sz w:val="16"/>
              </w:rPr>
              <w:t>For the Contributor</w:t>
            </w:r>
          </w:p>
        </w:tc>
        <w:tc>
          <w:tcPr>
            <w:tcW w:type="dxa" w:w="4759"/>
          </w:tcPr>
          <w:p>
            <w:r>
              <w:rPr>
                <w:rFonts w:ascii="Consolas" w:hAnsi="Consolas"/>
                <w:color w:val="3A2D22"/>
                <w:sz w:val="16"/>
              </w:rPr>
              <w:t>For Ubuntu LTD</w:t>
            </w:r>
          </w:p>
        </w:tc>
      </w:tr>
      <w:tr>
        <w:tc>
          <w:tcPr>
            <w:tcW w:type="dxa" w:w="4759"/>
          </w:tcPr>
          <w:p>
            <w:pPr>
              <w:spacing w:before="800"/>
            </w:pPr>
            <w:r>
              <w:rPr>
                <w:rFonts w:ascii="Georgia" w:hAnsi="Georgia"/>
                <w:color w:val="161210"/>
                <w:sz w:val="20"/>
              </w:rPr>
              <w:t>______________________________</w:t>
            </w:r>
          </w:p>
        </w:tc>
        <w:tc>
          <w:tcPr>
            <w:tcW w:type="dxa" w:w="4759"/>
          </w:tcPr>
          <w:p>
            <w:pPr>
              <w:spacing w:before="800"/>
            </w:pPr>
            <w:r>
              <w:rPr>
                <w:rFonts w:ascii="Georgia" w:hAnsi="Georgia"/>
                <w:color w:val="161210"/>
                <w:sz w:val="20"/>
              </w:rPr>
              <w:t>______________________________</w:t>
            </w:r>
          </w:p>
        </w:tc>
      </w:tr>
      <w:tr>
        <w:tc>
          <w:tcPr>
            <w:tcW w:type="dxa" w:w="4759"/>
          </w:tcPr>
          <w:p>
            <w:r>
              <w:rPr>
                <w:rFonts w:ascii="Georgia" w:hAnsi="Georgia"/>
                <w:sz w:val="20"/>
              </w:rPr>
              <w:t>[Contributor name]</w:t>
            </w:r>
            <w:r>
              <w:rPr>
                <w:rFonts w:ascii="Georgia" w:hAnsi="Georgia"/>
                <w:sz w:val="20"/>
              </w:rPr>
              <w:t>, [title]</w:t>
            </w:r>
          </w:p>
        </w:tc>
        <w:tc>
          <w:tcPr>
            <w:tcW w:type="dxa" w:w="4759"/>
          </w:tcPr>
          <w:p>
            <w:r>
              <w:rPr>
                <w:rFonts w:ascii="Georgia" w:hAnsi="Georgia"/>
                <w:sz w:val="20"/>
              </w:rPr>
              <w:t>Jonathan Okubay</w:t>
            </w:r>
            <w:r>
              <w:rPr>
                <w:rFonts w:ascii="Georgia" w:hAnsi="Georgia"/>
                <w:sz w:val="20"/>
              </w:rPr>
              <w:t>, Managing Director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/>
                <w:color w:val="3A2D22"/>
                <w:sz w:val="16"/>
              </w:rPr>
              <w:t>Date: [YYYY-MM-DD]</w:t>
            </w:r>
          </w:p>
        </w:tc>
        <w:tc>
          <w:tcPr>
            <w:tcW w:type="dxa" w:w="4759"/>
          </w:tcPr>
          <w:p>
            <w:r>
              <w:rPr>
                <w:rFonts w:ascii="Consolas" w:hAnsi="Consolas"/>
                <w:color w:val="3A2D22"/>
                <w:sz w:val="16"/>
              </w:rPr>
              <w:t>Date: [YYYY-MM-DD]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87" w:right="1361" w:bottom="1134" w:left="1361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1F1612"/>
      </w:pBdr>
    </w:pPr>
    <w:r>
      <w:rPr>
        <w:sz w:val="2"/>
      </w:rPr>
    </w:r>
  </w:p>
  <w:tbl>
    <w:tblPr>
      <w:tblW w:type="auto" w:w="0"/>
      <w:tblLook w:firstColumn="1" w:firstRow="1" w:lastColumn="0" w:lastRow="0" w:noHBand="0" w:noVBand="1" w:val="04A0"/>
    </w:tblPr>
    <w:tblGrid>
      <w:gridCol w:w="5953"/>
      <w:gridCol w:w="3402"/>
    </w:tblGrid>
    <w:tr>
      <w:tc>
        <w:tcPr>
          <w:tcW w:type="dxa" w:w="4677"/>
        </w:tcPr>
        <w:p>
          <w:r>
            <w:rPr>
              <w:rFonts w:ascii="Consolas" w:hAnsi="Consolas"/>
              <w:color w:val="161210"/>
              <w:sz w:val="14"/>
            </w:rPr>
            <w:t>UBUNTU LTD  ·  COMMON GROUND INITIATIVE  ·  LOI</w:t>
          </w:r>
        </w:p>
      </w:tc>
      <w:tc>
        <w:tcPr>
          <w:tcW w:type="dxa" w:w="4677"/>
        </w:tcPr>
        <w:p>
          <w:pPr>
            <w:jc w:val="right"/>
          </w:pPr>
          <w:r>
            <w:rPr>
              <w:rFonts w:ascii="Consolas" w:hAnsi="Consolas"/>
              <w:color w:val="3A2D22"/>
              <w:sz w:val="14"/>
            </w:rPr>
            <w:t>UBT-[YR]-[NN]-LOI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3685"/>
    </w:tblGrid>
    <w:tr>
      <w:tc>
        <w:tcPr>
          <w:tcW w:type="dxa" w:w="4677"/>
        </w:tcPr>
        <w:p>
          <w:r>
            <w:rPr>
              <w:rFonts w:ascii="Georgia" w:hAnsi="Georgia"/>
              <w:color w:val="161210"/>
              <w:sz w:val="32"/>
            </w:rPr>
            <w:t>Ubuntu</w:t>
          </w:r>
        </w:p>
        <w:p>
          <w:r>
            <w:rPr>
              <w:rFonts w:ascii="Consolas" w:hAnsi="Consolas"/>
              <w:color w:val="3A2D22"/>
              <w:sz w:val="13"/>
            </w:rPr>
            <w:t>LAND TRUST &amp; DEVELOPMENTS</w:t>
          </w:r>
        </w:p>
      </w:tc>
      <w:tc>
        <w:tcPr>
          <w:tcW w:type="dxa" w:w="4677"/>
        </w:tcPr>
        <w:p>
          <w:pPr>
            <w:jc w:val="right"/>
          </w:pPr>
          <w:r>
            <w:rPr>
              <w:rFonts w:ascii="Consolas" w:hAnsi="Consolas"/>
              <w:b/>
              <w:color w:val="D4A04A"/>
              <w:sz w:val="16"/>
            </w:rPr>
            <w:t>LETTER OF INTENT</w:t>
          </w:r>
        </w:p>
        <w:p>
          <w:pPr>
            <w:jc w:val="right"/>
          </w:pPr>
          <w:r>
            <w:rPr>
              <w:rFonts w:ascii="Consolas" w:hAnsi="Consolas"/>
              <w:color w:val="3A2D22"/>
              <w:sz w:val="14"/>
            </w:rPr>
            <w:t>Non-binding except §§ 6, 9, 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Georgia" w:hAnsi="Georgi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