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4A760427" w:rsidR="00254FCB" w:rsidRPr="006F4BB0" w:rsidRDefault="00254FCB" w:rsidP="006F4BB0">
      <w:r w:rsidRPr="006F4BB0">
        <w:rPr>
          <w:b/>
          <w:bCs/>
        </w:rPr>
        <w:t>Authors</w:t>
      </w:r>
      <w:r w:rsidRPr="006F4BB0">
        <w:t xml:space="preserve">: Jason R. Andrews, MD*,1 and Isaac I </w:t>
      </w:r>
      <w:proofErr w:type="spellStart"/>
      <w:r w:rsidRPr="006F4BB0">
        <w:t>Bogoch</w:t>
      </w:r>
      <w:proofErr w:type="spellEnd"/>
      <w:r w:rsidRPr="006F4BB0">
        <w:t>, MD2</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3D05DDC7" w:rsidR="00834829" w:rsidRPr="006F4BB0" w:rsidRDefault="00834829" w:rsidP="006F4BB0">
      <w:r w:rsidRPr="006F4BB0">
        <w:rPr>
          <w:b/>
          <w:bCs/>
        </w:rPr>
        <w:t>Manuscript word count</w:t>
      </w:r>
      <w:r w:rsidRPr="006F4BB0">
        <w:t xml:space="preserve">: </w:t>
      </w:r>
      <w:r w:rsidR="006F4BB0">
        <w:t>560</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5DFB0A1B"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1418DB" w:rsidRPr="006F4BB0">
        <w:rPr>
          <w:highlight w:val="yellow"/>
        </w:rPr>
        <w:t>XX</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77777777" w:rsidR="00254FCB" w:rsidRPr="006F4BB0" w:rsidRDefault="00254FCB" w:rsidP="006F4BB0"/>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3B08FC75" w:rsidR="006F4BB0" w:rsidRPr="006F4BB0" w:rsidRDefault="006F4BB0" w:rsidP="006F4BB0">
      <w:bookmarkStart w:id="1" w:name="introduction"/>
      <w:r w:rsidRPr="006F4BB0">
        <w:t xml:space="preserve">A severe cluster of Andes virus (ANDV) aboard the MV </w:t>
      </w:r>
      <w:proofErr w:type="spellStart"/>
      <w:r w:rsidRPr="006F4BB0">
        <w:t>Hondius</w:t>
      </w:r>
      <w:proofErr w:type="spellEnd"/>
      <w:r w:rsidRPr="006F4BB0">
        <w:t xml:space="preserve"> prompted epidemiological risk assessment. Retrospective analysis of the 1996 El </w:t>
      </w:r>
      <w:proofErr w:type="spellStart"/>
      <w:r w:rsidRPr="006F4BB0">
        <w:t>Bolsón</w:t>
      </w:r>
      <w:proofErr w:type="spellEnd"/>
      <w:r w:rsidRPr="006F4BB0">
        <w:t xml:space="preserve"> and 2018 </w:t>
      </w:r>
      <w:proofErr w:type="spellStart"/>
      <w:r w:rsidRPr="006F4BB0">
        <w:t>Epuyén</w:t>
      </w:r>
      <w:proofErr w:type="spellEnd"/>
      <w:r w:rsidRPr="006F4BB0">
        <w:t xml:space="preserve"> outbreaks identified prolonged incubation, substantial early transmission, and superspreading potential (k=0.23).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244282B5" w:rsidR="00075358" w:rsidRPr="006F4BB0" w:rsidRDefault="006F4BB0" w:rsidP="006F4BB0">
      <w:r w:rsidRPr="006F4BB0">
        <w:lastRenderedPageBreak/>
        <w:t>Hantavirus Pulmonary Syndrome (HPS) is a severe respiratory disease w</w:t>
      </w:r>
      <w:r w:rsidRPr="006F4BB0">
        <w:t xml:space="preserve">ith a case fatality rate historically exceeding 30%. While most hantaviruses are transmitted exclusively via inhalation of aerosolized rodent excreta, the Andes </w:t>
      </w:r>
      <w:proofErr w:type="spellStart"/>
      <w:r w:rsidRPr="006F4BB0">
        <w:t>orthohantavirus</w:t>
      </w:r>
      <w:proofErr w:type="spellEnd"/>
      <w:r w:rsidRPr="006F4BB0">
        <w:t xml:space="preserve"> (ANDV) </w:t>
      </w:r>
      <w:r w:rsidR="00254FCB" w:rsidRPr="006F4BB0">
        <w:t>also has</w:t>
      </w:r>
      <w:r w:rsidRPr="006F4BB0">
        <w:t xml:space="preserve"> capacity for sustained human-to-human transmission. Following t</w:t>
      </w:r>
      <w:r w:rsidRPr="006F4BB0">
        <w:t xml:space="preserve">he notification of an ANDV cluster </w:t>
      </w:r>
      <w:r w:rsidRPr="006F4BB0">
        <w:t xml:space="preserve">aboard the </w:t>
      </w:r>
      <w:r w:rsidRPr="006F4BB0">
        <w:t xml:space="preserve">MV </w:t>
      </w:r>
      <w:proofErr w:type="spellStart"/>
      <w:r w:rsidRPr="006F4BB0">
        <w:t>Hondius</w:t>
      </w:r>
      <w:proofErr w:type="spellEnd"/>
      <w:r w:rsidRPr="006F4BB0">
        <w:t xml:space="preserve"> cruise ship (Supplementary Figure S1), we rapidly modeled the transmission dynamics of the virus to inform public health monitoring and intervention strateg</w:t>
      </w:r>
      <w:r w:rsidRPr="006F4BB0">
        <w:t xml:space="preserve">ies. We utilized complete, unredacted contact networks from the two most extensively documented historical ANDV outbreaks; </w:t>
      </w:r>
      <w:r w:rsidRPr="006F4BB0">
        <w:t xml:space="preserve">the 1996 cluster in El </w:t>
      </w:r>
      <w:proofErr w:type="spellStart"/>
      <w:r w:rsidRPr="006F4BB0">
        <w:t>Bolsón</w:t>
      </w:r>
      <w:proofErr w:type="spellEnd"/>
      <w:r w:rsidRPr="006F4BB0">
        <w:t xml:space="preserve">, Argentina (18 cases) [1], and the 2018–2019 outbreak in </w:t>
      </w:r>
      <w:proofErr w:type="spellStart"/>
      <w:r w:rsidRPr="006F4BB0">
        <w:t>Epuyén</w:t>
      </w:r>
      <w:proofErr w:type="spellEnd"/>
      <w:r w:rsidRPr="006F4BB0">
        <w:t>, Argentina (34 cases) [2]. We</w:t>
      </w:r>
      <w:r w:rsidRPr="006F4BB0">
        <w:t xml:space="preserve"> </w:t>
      </w:r>
      <w:r w:rsidRPr="006F4BB0">
        <w:t>define the fundamental epidemiological parameters.</w:t>
      </w:r>
    </w:p>
    <w:p w14:paraId="38382B86" w14:textId="77777777" w:rsidR="00075358" w:rsidRPr="006F4BB0" w:rsidRDefault="006F4BB0" w:rsidP="006F4BB0">
      <w:bookmarkStart w:id="2" w:name="methods"/>
      <w:bookmarkEnd w:id="1"/>
      <w:r w:rsidRPr="006F4BB0">
        <w:t>Patient-level line lists detailing exposure windows, symptom onset dates, and infector-</w:t>
      </w:r>
      <w:proofErr w:type="spellStart"/>
      <w:r w:rsidRPr="006F4BB0">
        <w:t>infectee</w:t>
      </w:r>
      <w:proofErr w:type="spellEnd"/>
      <w:r w:rsidRPr="006F4BB0">
        <w:t xml:space="preserve"> pairs were extracted from primary literature appendices [1, 2]. To calculate the incubation period, we applie</w:t>
      </w:r>
      <w:r w:rsidRPr="006F4BB0">
        <w:t xml:space="preserve">d an interval-censored Maximum Likelihood Estimation (MLE) framework [3] to the bounded social exposures in the 2018 </w:t>
      </w:r>
      <w:proofErr w:type="spellStart"/>
      <w:r w:rsidRPr="006F4BB0">
        <w:t>Epuyén</w:t>
      </w:r>
      <w:proofErr w:type="spellEnd"/>
      <w:r w:rsidRPr="006F4BB0">
        <w:t xml:space="preserve"> cohort (</w:t>
      </w:r>
      <m:oMath>
        <m:r>
          <w:rPr>
            <w:rFonts w:ascii="Cambria Math" w:hAnsi="Cambria Math"/>
          </w:rPr>
          <m:t>N</m:t>
        </m:r>
        <m:r>
          <m:rPr>
            <m:sty m:val="p"/>
          </m:rPr>
          <w:rPr>
            <w:rFonts w:ascii="Cambria Math" w:hAnsi="Cambria Math"/>
          </w:rPr>
          <m:t>=</m:t>
        </m:r>
        <m:r>
          <w:rPr>
            <w:rFonts w:ascii="Cambria Math" w:hAnsi="Cambria Math"/>
          </w:rPr>
          <m:t>34</m:t>
        </m:r>
      </m:oMath>
      <w:r w:rsidRPr="006F4BB0">
        <w:t>). Generation times and the infectiousness profile were deconvoluted mathematically from the empirical serial intervals</w:t>
      </w:r>
      <w:r w:rsidRPr="006F4BB0">
        <w:t xml:space="preserve"> recorded in the 1996 El </w:t>
      </w:r>
      <w:proofErr w:type="spellStart"/>
      <w:r w:rsidRPr="006F4BB0">
        <w:t>Bolsón</w:t>
      </w:r>
      <w:proofErr w:type="spellEnd"/>
      <w:r w:rsidRPr="006F4BB0">
        <w:t xml:space="preserve"> transmission network [4]. Transmission heterogeneity was assessed by fitting a Negative Binomial distribution to the aggregated offspring distribution of both outbreaks, enabling the calculation of the basic reproduction num</w:t>
      </w:r>
      <w:r w:rsidRPr="006F4BB0">
        <w:t>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w:t>
      </w:r>
      <w:proofErr w:type="spellStart"/>
      <w:r w:rsidRPr="006F4BB0">
        <w:t>llowing</w:t>
      </w:r>
      <w:proofErr w:type="spellEnd"/>
      <w:r w:rsidRPr="006F4BB0">
        <w:t xml:space="preserve"> a single ship-board introduction. Code and underlying data are available at: github.com/</w:t>
      </w:r>
      <w:proofErr w:type="spellStart"/>
      <w:r w:rsidRPr="006F4BB0">
        <w:t>jasonandr</w:t>
      </w:r>
      <w:proofErr w:type="spellEnd"/>
      <w:r w:rsidRPr="006F4BB0">
        <w:t>/Andes-virus-epi</w:t>
      </w:r>
    </w:p>
    <w:p w14:paraId="0BE7A61C" w14:textId="3BAA6482" w:rsidR="00075358" w:rsidRPr="006F4BB0" w:rsidRDefault="006F4BB0" w:rsidP="006F4BB0">
      <w:bookmarkStart w:id="3" w:name="results"/>
      <w:bookmarkEnd w:id="2"/>
      <w:r w:rsidRPr="006F4BB0">
        <w:t>Interval-censored MLE demonstrated a median human-to-human incubation period of 20.1 days. We conducted comparative lognormal modeling</w:t>
      </w:r>
      <w:r w:rsidRPr="006F4BB0">
        <w:t xml:space="preserve"> against historically established environmental (rodent-to-human) incubation periods (median 18.5 days) [6]. The resulting density distributions are virtually identical (Figure 1A), proving that the prolonged incubation period is intrinsic to ANDV pathogen</w:t>
      </w:r>
      <w:r w:rsidRPr="006F4BB0">
        <w:t>esis and remains unaffected by environmental or human exposure</w:t>
      </w:r>
      <w:r w:rsidRPr="006F4BB0">
        <w:t>.</w:t>
      </w:r>
    </w:p>
    <w:p w14:paraId="50DC3F56" w14:textId="0887349A" w:rsidR="00075358" w:rsidRPr="006F4BB0" w:rsidRDefault="006F4BB0" w:rsidP="006F4BB0">
      <w:r w:rsidRPr="006F4BB0">
        <w:t xml:space="preserve">Analysis of the empirical generation time curves revealed a substantial leftward shift relative to symptom onset, indicating that approximately 24% </w:t>
      </w:r>
      <w:r w:rsidRPr="006F4BB0">
        <w:t xml:space="preserve">of transmission occurs during </w:t>
      </w:r>
      <w:r w:rsidR="00B3539E" w:rsidRPr="006F4BB0">
        <w:t>a</w:t>
      </w:r>
      <w:r w:rsidRPr="006F4BB0">
        <w:t xml:space="preserve"> </w:t>
      </w:r>
      <w:proofErr w:type="spellStart"/>
      <w:r w:rsidRPr="006F4BB0">
        <w:t>presymptomatic</w:t>
      </w:r>
      <w:proofErr w:type="spellEnd"/>
      <w:r w:rsidR="00B3539E" w:rsidRPr="006F4BB0">
        <w:t>, subclinical,</w:t>
      </w:r>
      <w:r w:rsidRPr="006F4BB0">
        <w:t xml:space="preserve"> or early prodromal phase, prior to the onset of severe febrile illness (Figure 1B).</w:t>
      </w:r>
    </w:p>
    <w:p w14:paraId="2C76A4CE" w14:textId="0E0DA509" w:rsidR="00075358" w:rsidRPr="006F4BB0" w:rsidRDefault="006F4BB0" w:rsidP="006F4BB0">
      <w:r w:rsidRPr="006F4BB0">
        <w:t xml:space="preserve">Negative binomial regression on the combined empirical offspring distribution yielded an overall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of 0.96, b</w:t>
      </w:r>
      <w:proofErr w:type="spellStart"/>
      <w:r w:rsidRPr="006F4BB0">
        <w:t>ut</w:t>
      </w:r>
      <w:proofErr w:type="spellEnd"/>
      <w:r w:rsidRPr="006F4BB0">
        <w:t xml:space="preserve"> low dispersion parameter (</w:t>
      </w:r>
      <m:oMath>
        <m:r>
          <w:rPr>
            <w:rFonts w:ascii="Cambria Math" w:hAnsi="Cambria Math"/>
          </w:rPr>
          <m:t>k</m:t>
        </m:r>
      </m:oMath>
      <w:r w:rsidRPr="006F4BB0">
        <w:t>) of 0.23 (Figure 1C)</w:t>
      </w:r>
      <w:r w:rsidR="00B3539E" w:rsidRPr="006F4BB0">
        <w:t xml:space="preserve">, suggestive of </w:t>
      </w:r>
      <w:r w:rsidRPr="006F4BB0">
        <w:t>superspreading dynamics [5]. The majority of infected individuals (</w:t>
      </w:r>
      <w:r w:rsidR="00B3539E" w:rsidRPr="006F4BB0">
        <w:t>&gt;8</w:t>
      </w:r>
      <w:r w:rsidRPr="006F4BB0">
        <w:t>0</w:t>
      </w:r>
      <w:r w:rsidRPr="006F4BB0">
        <w:t xml:space="preserve">%) </w:t>
      </w:r>
      <w:r w:rsidRPr="006F4BB0">
        <w:t xml:space="preserve">generated zero </w:t>
      </w:r>
      <w:r w:rsidR="00B3539E" w:rsidRPr="006F4BB0">
        <w:t xml:space="preserve">or single </w:t>
      </w:r>
      <w:r w:rsidRPr="006F4BB0">
        <w:t>secondary cases, while a minority of “</w:t>
      </w:r>
      <w:proofErr w:type="spellStart"/>
      <w:r w:rsidRPr="006F4BB0">
        <w:t>superspreaders</w:t>
      </w:r>
      <w:proofErr w:type="spellEnd"/>
      <w:r w:rsidRPr="006F4BB0">
        <w:t>” were responsible fo</w:t>
      </w:r>
      <w:r w:rsidR="00B3539E" w:rsidRPr="006F4BB0">
        <w:t>r</w:t>
      </w:r>
      <w:r w:rsidRPr="006F4BB0">
        <w:t xml:space="preserve"> multi-generational transmission chains.</w:t>
      </w:r>
    </w:p>
    <w:p w14:paraId="5E9D2F27" w14:textId="50F0C0C1" w:rsidR="00075358" w:rsidRPr="006F4BB0" w:rsidRDefault="006F4BB0" w:rsidP="006F4BB0">
      <w:r w:rsidRPr="006F4BB0">
        <w:t>Utilizing these parameters in the branching process simulation, we found that 78.5% of single-case introductions resulted in immediate stochastic extinction (generating zero secondary cases). However, outbreaks that</w:t>
      </w:r>
      <w:r w:rsidRPr="006F4BB0">
        <w:t xml:space="preserve"> evaded early extinction were subjected to the “fat tail” of the </w:t>
      </w:r>
      <w:r w:rsidRPr="006F4BB0">
        <w:lastRenderedPageBreak/>
        <w:t>negative binomial distribution, with a small probability of explosive clustering (Supplementary Figure S2).</w:t>
      </w:r>
    </w:p>
    <w:p w14:paraId="7EAA9202" w14:textId="51EBBB7D" w:rsidR="00254FCB" w:rsidRPr="006F4BB0" w:rsidRDefault="00254FCB" w:rsidP="006F4BB0">
      <w:bookmarkStart w:id="4" w:name="discussion"/>
      <w:bookmarkEnd w:id="3"/>
      <w:r w:rsidRPr="006F4BB0">
        <w:t xml:space="preserve">These epidemiological characteristics complicate monitoring in high-density settings such as a cruise ship. A prolonged incubation period combined with </w:t>
      </w:r>
      <w:proofErr w:type="spellStart"/>
      <w:r w:rsidRPr="006F4BB0">
        <w:t>presymptomatic</w:t>
      </w:r>
      <w:proofErr w:type="spellEnd"/>
      <w:r w:rsidR="006F4BB0" w:rsidRPr="006F4BB0">
        <w:t xml:space="preserve">, </w:t>
      </w:r>
      <w:r w:rsidRPr="006F4BB0">
        <w:t>subclinical</w:t>
      </w:r>
      <w:r w:rsidR="006F4BB0" w:rsidRPr="006F4BB0">
        <w:t xml:space="preserve">, or prodromal </w:t>
      </w:r>
      <w:r w:rsidRPr="006F4BB0">
        <w:t xml:space="preserve">shedding limits the effectiveness of symptom-based screening, as secondary transmission may occur before overt symptoms emerge, lending credence for </w:t>
      </w:r>
      <w:r w:rsidR="006F4BB0" w:rsidRPr="006F4BB0">
        <w:t xml:space="preserve">periodic testing and </w:t>
      </w:r>
      <w:r w:rsidRPr="006F4BB0">
        <w:t xml:space="preserve">longer isolation or quarantine periods. Contact tracing should prioritize identifying high-risk congregational events where </w:t>
      </w:r>
      <w:r w:rsidR="00B3539E" w:rsidRPr="006F4BB0">
        <w:t>early</w:t>
      </w:r>
      <w:r w:rsidRPr="006F4BB0">
        <w:t xml:space="preserve"> shedding likely occurred.</w:t>
      </w:r>
      <w:r w:rsidR="006F4BB0" w:rsidRPr="006F4BB0">
        <w:t xml:space="preserve"> </w:t>
      </w:r>
      <w:r w:rsidRPr="006F4BB0">
        <w:t>Because most infected individuals do not transmit the virus, large uncontained outbreaks are statistically unlikely. Branching process simulations show that most introductions end in rapid stochastic extinction, making exponential spread improbable despite the risk of localized superspreading events</w:t>
      </w:r>
      <w:r w:rsidR="006F4BB0" w:rsidRPr="006F4BB0">
        <w:t xml:space="preserve"> in enclosed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5" w:name="references"/>
      <w:bookmarkEnd w:id="4"/>
      <w:r w:rsidRPr="006F4BB0">
        <w:rPr>
          <w:b/>
          <w:bCs/>
        </w:rPr>
        <w:t>References</w:t>
      </w:r>
      <w:r>
        <w:rPr>
          <w:b/>
          <w:bCs/>
        </w:rPr>
        <w:t>:</w:t>
      </w:r>
    </w:p>
    <w:p w14:paraId="2CE0B6E5" w14:textId="77777777" w:rsidR="00075358" w:rsidRPr="006F4BB0" w:rsidRDefault="006F4BB0" w:rsidP="006F4BB0">
      <w:pPr>
        <w:pStyle w:val="ListParagraph"/>
        <w:numPr>
          <w:ilvl w:val="0"/>
          <w:numId w:val="4"/>
        </w:numPr>
      </w:pPr>
      <w:proofErr w:type="spellStart"/>
      <w:r w:rsidRPr="006F4BB0">
        <w:t>Padula</w:t>
      </w:r>
      <w:proofErr w:type="spellEnd"/>
      <w:r w:rsidRPr="006F4BB0">
        <w:t xml:space="preserve"> PJ, Edelstein A, Miguel SD, López NM, </w:t>
      </w:r>
      <w:proofErr w:type="spellStart"/>
      <w:r w:rsidRPr="006F4BB0">
        <w:t>Francos</w:t>
      </w:r>
      <w:proofErr w:type="spellEnd"/>
      <w:r w:rsidRPr="006F4BB0">
        <w:t xml:space="preserve"> CM, Suárez VC. Epidemic outbreak of hantavirus pulmonary syndrome in Argentina. Molecular evidence for person-to-person transmission of Ande</w:t>
      </w:r>
      <w:r w:rsidRPr="006F4BB0">
        <w:t xml:space="preserve">s virus. </w:t>
      </w:r>
      <w:r w:rsidRPr="006F4BB0">
        <w:t>Virology</w:t>
      </w:r>
      <w:r w:rsidRPr="006F4BB0">
        <w:t>. 1998;241(2):323-330.</w:t>
      </w:r>
    </w:p>
    <w:p w14:paraId="43D548E1" w14:textId="77777777" w:rsidR="00075358" w:rsidRPr="006F4BB0" w:rsidRDefault="006F4BB0" w:rsidP="006F4BB0">
      <w:pPr>
        <w:pStyle w:val="ListParagraph"/>
        <w:numPr>
          <w:ilvl w:val="0"/>
          <w:numId w:val="4"/>
        </w:numPr>
      </w:pPr>
      <w:r w:rsidRPr="006F4BB0">
        <w:t xml:space="preserve">Martinez VP, Di Paola N, Alonso DO, et al. “Super-Spreaders” and Person-to-Person Transmission of Andes Virus in Argentina. </w:t>
      </w:r>
      <w:r w:rsidRPr="006F4BB0">
        <w:t>New England Journal of Medicine</w:t>
      </w:r>
      <w:r w:rsidRPr="006F4BB0">
        <w:t>. 2020;383(23):2230-2241.</w:t>
      </w:r>
    </w:p>
    <w:p w14:paraId="6859C9D6" w14:textId="77777777" w:rsidR="00075358" w:rsidRPr="006F4BB0" w:rsidRDefault="006F4BB0" w:rsidP="006F4BB0">
      <w:pPr>
        <w:pStyle w:val="ListParagraph"/>
        <w:numPr>
          <w:ilvl w:val="0"/>
          <w:numId w:val="4"/>
        </w:numPr>
      </w:pPr>
      <w:r w:rsidRPr="006F4BB0">
        <w:t xml:space="preserve">Lauer SA, </w:t>
      </w:r>
      <w:proofErr w:type="spellStart"/>
      <w:r w:rsidRPr="006F4BB0">
        <w:t>Grantz</w:t>
      </w:r>
      <w:proofErr w:type="spellEnd"/>
      <w:r w:rsidRPr="006F4BB0">
        <w:t xml:space="preserve"> KH, Bi Q, et al. T</w:t>
      </w:r>
      <w:r w:rsidRPr="006F4BB0">
        <w:t xml:space="preserve">he Incubation Period of Coronavirus Disease 2019 (COVID-19) From Publicly Reported Confirmed Cases: Estimation and Application. </w:t>
      </w:r>
      <w:r w:rsidRPr="006F4BB0">
        <w:t>Annals of Internal Medicine</w:t>
      </w:r>
      <w:r w:rsidRPr="006F4BB0">
        <w:t>.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w:t>
      </w:r>
      <w:r w:rsidRPr="006F4BB0">
        <w:t xml:space="preserve">bility of COVID-19. </w:t>
      </w:r>
      <w:r w:rsidRPr="006F4BB0">
        <w:t>Nature Medicine</w:t>
      </w:r>
      <w:r w:rsidRPr="006F4BB0">
        <w:t>. 2020;26(5):672-675.</w:t>
      </w:r>
    </w:p>
    <w:p w14:paraId="5565485A" w14:textId="77777777" w:rsidR="00075358" w:rsidRPr="006F4BB0" w:rsidRDefault="006F4BB0" w:rsidP="006F4BB0">
      <w:pPr>
        <w:pStyle w:val="ListParagraph"/>
        <w:numPr>
          <w:ilvl w:val="0"/>
          <w:numId w:val="4"/>
        </w:numPr>
      </w:pPr>
      <w:r w:rsidRPr="006F4BB0">
        <w:t xml:space="preserve">Lloyd-Smith JO, Schreiber SJ, Kopp PE, Getz WM. Superspreading and the effect of individual variation on disease emergence. </w:t>
      </w:r>
      <w:r w:rsidRPr="006F4BB0">
        <w:t>Nature</w:t>
      </w:r>
      <w:r w:rsidRPr="006F4BB0">
        <w:t>. 2005;438(7066):355-359.</w:t>
      </w:r>
    </w:p>
    <w:p w14:paraId="2995777E" w14:textId="77777777" w:rsidR="00075358" w:rsidRPr="006F4BB0" w:rsidRDefault="006F4BB0" w:rsidP="006F4BB0">
      <w:pPr>
        <w:pStyle w:val="ListParagraph"/>
        <w:numPr>
          <w:ilvl w:val="0"/>
          <w:numId w:val="4"/>
        </w:numPr>
      </w:pPr>
      <w:r w:rsidRPr="006F4BB0">
        <w:t xml:space="preserve">Vial PA, </w:t>
      </w:r>
      <w:proofErr w:type="spellStart"/>
      <w:r w:rsidRPr="006F4BB0">
        <w:t>Valdivieso</w:t>
      </w:r>
      <w:proofErr w:type="spellEnd"/>
      <w:r w:rsidRPr="006F4BB0">
        <w:t xml:space="preserve"> F, Mertz G, et al. Incu</w:t>
      </w:r>
      <w:r w:rsidRPr="006F4BB0">
        <w:t xml:space="preserve">bation period of hantavirus cardiopulmonary syndrome. </w:t>
      </w:r>
      <w:r w:rsidRPr="006F4BB0">
        <w:t>Emerging Infectious Diseases</w:t>
      </w:r>
      <w:r w:rsidRPr="006F4BB0">
        <w:t>. 2006;12(8):1271-1273.</w:t>
      </w:r>
    </w:p>
    <w:p w14:paraId="6615EB99" w14:textId="17B05AC3" w:rsidR="00075358" w:rsidRPr="00F15FB2" w:rsidRDefault="00075358">
      <w:pPr>
        <w:rPr>
          <w:rFonts w:ascii="Calibri" w:hAnsi="Calibri" w:cs="Calibri"/>
          <w:color w:val="000000" w:themeColor="text1"/>
        </w:rPr>
      </w:pPr>
    </w:p>
    <w:p w14:paraId="5850EFDE" w14:textId="77777777" w:rsidR="0005455D" w:rsidRDefault="006F4BB0">
      <w:pPr>
        <w:pStyle w:val="FirstParagraph"/>
        <w:rPr>
          <w:rFonts w:ascii="Calibri" w:hAnsi="Calibri" w:cs="Calibri"/>
          <w:color w:val="000000" w:themeColor="text1"/>
        </w:rPr>
      </w:pPr>
      <w:bookmarkStart w:id="6" w:name="figures-and-legends"/>
      <w:bookmarkEnd w:id="5"/>
      <w:r w:rsidRPr="00F15FB2">
        <w:rPr>
          <w:rFonts w:ascii="Calibri" w:hAnsi="Calibri" w:cs="Calibri"/>
          <w:noProof/>
          <w:color w:val="000000" w:themeColor="text1"/>
        </w:rPr>
        <w:lastRenderedPageBreak/>
        <w:drawing>
          <wp:inline distT="0" distB="0" distL="0" distR="0" wp14:anchorId="326B1015" wp14:editId="0C9E8DC2">
            <wp:extent cx="4863830" cy="8370543"/>
            <wp:effectExtent l="0" t="0" r="0" b="0"/>
            <wp:docPr id="15" name="Picture" descr="Combined Historical Analysis"/>
            <wp:cNvGraphicFramePr/>
            <a:graphic xmlns:a="http://schemas.openxmlformats.org/drawingml/2006/main">
              <a:graphicData uri="http://schemas.openxmlformats.org/drawingml/2006/picture">
                <pic:pic xmlns:pic="http://schemas.openxmlformats.org/drawingml/2006/picture">
                  <pic:nvPicPr>
                    <pic:cNvPr id="16" name="Picture" descr="/Users/jasonandrews/.gemini/antigravity/brain/26e83a96-4a63-4226-94fe-627b326b4048/artifacts/combined_historical_analysis_1778877200.png"/>
                    <pic:cNvPicPr>
                      <a:picLocks noChangeAspect="1" noChangeArrowheads="1"/>
                    </pic:cNvPicPr>
                  </pic:nvPicPr>
                  <pic:blipFill>
                    <a:blip r:embed="rId5"/>
                    <a:stretch>
                      <a:fillRect/>
                    </a:stretch>
                  </pic:blipFill>
                  <pic:spPr bwMode="auto">
                    <a:xfrm>
                      <a:off x="0" y="0"/>
                      <a:ext cx="4922706" cy="8471868"/>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p>
    <w:p w14:paraId="71D94937" w14:textId="39B10D1D" w:rsidR="00075358" w:rsidRPr="00F15FB2" w:rsidRDefault="006F4BB0">
      <w:pPr>
        <w:pStyle w:val="FirstParagraph"/>
        <w:rPr>
          <w:rFonts w:ascii="Calibri" w:hAnsi="Calibri" w:cs="Calibri"/>
          <w:color w:val="000000" w:themeColor="text1"/>
        </w:rPr>
      </w:pPr>
      <w:r w:rsidRPr="00F15FB2">
        <w:rPr>
          <w:rFonts w:ascii="Calibri" w:hAnsi="Calibri" w:cs="Calibri"/>
          <w:b/>
          <w:bCs/>
          <w:color w:val="000000" w:themeColor="text1"/>
        </w:rPr>
        <w:lastRenderedPageBreak/>
        <w:t>Figure 1. Synthesized Transmission Dynamics of Andes Virus.</w:t>
      </w:r>
      <w:r w:rsidRPr="00F15FB2">
        <w:rPr>
          <w:rFonts w:ascii="Calibri" w:hAnsi="Calibri" w:cs="Calibri"/>
          <w:color w:val="000000" w:themeColor="text1"/>
        </w:rPr>
        <w:t xml:space="preserve"> (A) Comparative incubation dynamics showing overlaid lognormal probability density functions of the human-to-human incubation period (median 20.1 days, derived via MLE) against the established environmental exposure period (median 18.5 days; Vial et al., </w:t>
      </w:r>
      <w:r w:rsidRPr="00F15FB2">
        <w:rPr>
          <w:rFonts w:ascii="Calibri" w:hAnsi="Calibri" w:cs="Calibri"/>
          <w:color w:val="000000" w:themeColor="text1"/>
        </w:rPr>
        <w:t xml:space="preserve">2006). (B) Infectiousness profile relative to symptom onset, deconvoluted from the 1996 El </w:t>
      </w:r>
      <w:proofErr w:type="spellStart"/>
      <w:r w:rsidRPr="00F15FB2">
        <w:rPr>
          <w:rFonts w:ascii="Calibri" w:hAnsi="Calibri" w:cs="Calibri"/>
          <w:color w:val="000000" w:themeColor="text1"/>
        </w:rPr>
        <w:t>Bolsón</w:t>
      </w:r>
      <w:proofErr w:type="spellEnd"/>
      <w:r w:rsidRPr="00F15FB2">
        <w:rPr>
          <w:rFonts w:ascii="Calibri" w:hAnsi="Calibri" w:cs="Calibri"/>
          <w:color w:val="000000" w:themeColor="text1"/>
        </w:rPr>
        <w:t xml:space="preserve"> serial intervals, illustrating approximately 24% </w:t>
      </w:r>
      <w:proofErr w:type="spellStart"/>
      <w:r w:rsidRPr="00F15FB2">
        <w:rPr>
          <w:rFonts w:ascii="Calibri" w:hAnsi="Calibri" w:cs="Calibri"/>
          <w:color w:val="000000" w:themeColor="text1"/>
        </w:rPr>
        <w:t>presymptomatic</w:t>
      </w:r>
      <w:proofErr w:type="spellEnd"/>
      <w:r w:rsidRPr="00F15FB2">
        <w:rPr>
          <w:rFonts w:ascii="Calibri" w:hAnsi="Calibri" w:cs="Calibri"/>
          <w:color w:val="000000" w:themeColor="text1"/>
        </w:rPr>
        <w:t xml:space="preserve"> shedding. (C) Negative binomial regression fit to the empirical offspring distribution (1996 a</w:t>
      </w:r>
      <w:r w:rsidRPr="00F15FB2">
        <w:rPr>
          <w:rFonts w:ascii="Calibri" w:hAnsi="Calibri" w:cs="Calibri"/>
          <w:color w:val="000000" w:themeColor="text1"/>
        </w:rPr>
        <w:t>nd 2018 combined data), revealing extreme transmission heterogeneity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7" w:name="supplementary-appendices"/>
      <w:bookmarkEnd w:id="0"/>
      <w:bookmarkEnd w:id="6"/>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8" w:name="Xe536cde35c1e33aa0946ff7d626dcf93c8e3a7d"/>
      <w:r w:rsidRPr="006B70A6">
        <w:rPr>
          <w:rFonts w:ascii="Calibri" w:hAnsi="Calibri" w:cs="Calibri"/>
          <w:b/>
          <w:bCs/>
          <w:color w:val="000000" w:themeColor="text1"/>
          <w:sz w:val="24"/>
          <w:szCs w:val="24"/>
        </w:rPr>
        <w:t xml:space="preserve">Empirical Timeline of the MV </w:t>
      </w:r>
      <w:proofErr w:type="spellStart"/>
      <w:r w:rsidRPr="006B70A6">
        <w:rPr>
          <w:rFonts w:ascii="Calibri" w:hAnsi="Calibri" w:cs="Calibri"/>
          <w:b/>
          <w:bCs/>
          <w:color w:val="000000" w:themeColor="text1"/>
          <w:sz w:val="24"/>
          <w:szCs w:val="24"/>
        </w:rPr>
        <w:t>Hondius</w:t>
      </w:r>
      <w:proofErr w:type="spellEnd"/>
      <w:r w:rsidRPr="006B70A6">
        <w:rPr>
          <w:rFonts w:ascii="Calibri" w:hAnsi="Calibri" w:cs="Calibri"/>
          <w:b/>
          <w:bCs/>
          <w:color w:val="000000" w:themeColor="text1"/>
          <w:sz w:val="24"/>
          <w:szCs w:val="24"/>
        </w:rPr>
        <w:t xml:space="preserve"> Outbreak</w:t>
      </w:r>
    </w:p>
    <w:p w14:paraId="7944C0C3"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We reconstructed the empirical patient-level timeline of the outbreak using </w:t>
      </w:r>
      <w:r w:rsidRPr="00F15FB2">
        <w:rPr>
          <w:rFonts w:ascii="Calibri" w:hAnsi="Calibri" w:cs="Calibri"/>
          <w:color w:val="000000" w:themeColor="text1"/>
        </w:rPr>
        <w:t>notification data from the World Health Organization. The visualization strictly adheres to reported milestones, documenting the duration of exposure on the vessel, clinical symptom onset, and dates of death for the primary and secondary clusters, highligh</w:t>
      </w:r>
      <w:r w:rsidRPr="00F15FB2">
        <w:rPr>
          <w:rFonts w:ascii="Calibri" w:hAnsi="Calibri" w:cs="Calibri"/>
          <w:color w:val="000000" w:themeColor="text1"/>
        </w:rPr>
        <w:t>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6"/>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 xml:space="preserve">Supplementary Figure S1. Patient-Level Timeline of the MV </w:t>
      </w:r>
      <w:proofErr w:type="spellStart"/>
      <w:r w:rsidRPr="00F15FB2">
        <w:rPr>
          <w:rFonts w:ascii="Calibri" w:hAnsi="Calibri" w:cs="Calibri"/>
          <w:b/>
          <w:bCs/>
          <w:color w:val="000000" w:themeColor="text1"/>
        </w:rPr>
        <w:t>Hondius</w:t>
      </w:r>
      <w:proofErr w:type="spellEnd"/>
      <w:r w:rsidRPr="00F15FB2">
        <w:rPr>
          <w:rFonts w:ascii="Calibri" w:hAnsi="Calibri" w:cs="Calibri"/>
          <w:b/>
          <w:bCs/>
          <w:color w:val="000000" w:themeColor="text1"/>
        </w:rPr>
        <w:t xml:space="preserve"> Andes Virus Outbreak.</w:t>
      </w:r>
      <w:r w:rsidRPr="00F15FB2">
        <w:rPr>
          <w:rFonts w:ascii="Calibri" w:hAnsi="Calibri" w:cs="Calibri"/>
          <w:color w:val="000000" w:themeColor="text1"/>
        </w:rPr>
        <w:t xml:space="preserve"> Gantt chart illustrating the time spent on the </w:t>
      </w:r>
      <w:r w:rsidRPr="00F15FB2">
        <w:rPr>
          <w:rFonts w:ascii="Calibri" w:hAnsi="Calibri" w:cs="Calibri"/>
          <w:color w:val="000000" w:themeColor="text1"/>
        </w:rPr>
        <w:t>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9" w:name="X6dadb0cfcccd537fb3c1039059a04313178fd6a"/>
      <w:bookmarkEnd w:id="8"/>
      <w:r w:rsidRPr="00BD7EC8">
        <w:rPr>
          <w:rFonts w:ascii="Calibri" w:hAnsi="Calibri" w:cs="Calibri"/>
          <w:b/>
          <w:bCs/>
          <w:color w:val="000000" w:themeColor="text1"/>
          <w:sz w:val="24"/>
          <w:szCs w:val="24"/>
        </w:rPr>
        <w:t>Stochastic Extinction Simulation</w:t>
      </w:r>
    </w:p>
    <w:p w14:paraId="45F3D05B"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We executed a branching process simulation utilizing the empirical transmission parameters </w:t>
      </w:r>
      <w:r w:rsidRPr="00F15FB2">
        <w:rPr>
          <w:rFonts w:ascii="Calibri" w:hAnsi="Calibri" w:cs="Calibri"/>
          <w:color w:val="000000" w:themeColor="text1"/>
        </w:rPr>
        <w:t>(</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to model 50,000 theoretical virus introductions. The resulting raincloud plot demonstrates the paradox of the dispersion parameter: while the probability of stochastic extinction at the index case is elevated compared to homogenous path</w:t>
      </w:r>
      <w:proofErr w:type="spellStart"/>
      <w:r w:rsidRPr="00F15FB2">
        <w:rPr>
          <w:rFonts w:ascii="Calibri" w:hAnsi="Calibri" w:cs="Calibri"/>
          <w:color w:val="000000" w:themeColor="text1"/>
        </w:rPr>
        <w:t>ogens</w:t>
      </w:r>
      <w:proofErr w:type="spellEnd"/>
      <w:r w:rsidRPr="00F15FB2">
        <w:rPr>
          <w:rFonts w:ascii="Calibri" w:hAnsi="Calibri" w:cs="Calibri"/>
          <w:color w:val="000000" w:themeColor="text1"/>
        </w:rPr>
        <w:t>, outbreaks that survive the first generation are subjected to the “fat tail” of the negative binomial distribution, occasionally exploding into massive clusters.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7"/>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w:t>
      </w:r>
      <w:r w:rsidRPr="00F15FB2">
        <w:rPr>
          <w:rFonts w:ascii="Calibri" w:hAnsi="Calibri" w:cs="Calibri"/>
          <w:color w:val="000000" w:themeColor="text1"/>
        </w:rPr>
        <w:t xml:space="preserve"> KDE, jittered raw iterations, and boxplot) representing the total outbreak sizes over 50,000 simulated generations. The explicit log-scale x-axis highlights extreme long-tail clustering events.</w:t>
      </w:r>
    </w:p>
    <w:p w14:paraId="018A8A55" w14:textId="77777777" w:rsidR="00075358" w:rsidRPr="00F15FB2" w:rsidRDefault="006F4BB0">
      <w:pPr>
        <w:pStyle w:val="Heading2"/>
        <w:rPr>
          <w:rFonts w:ascii="Calibri" w:hAnsi="Calibri" w:cs="Calibri"/>
          <w:color w:val="000000" w:themeColor="text1"/>
          <w:sz w:val="24"/>
          <w:szCs w:val="24"/>
        </w:rPr>
      </w:pPr>
      <w:bookmarkStart w:id="10" w:name="appendix-c-demographic-stratification"/>
      <w:bookmarkEnd w:id="9"/>
      <w:r w:rsidRPr="00F15FB2">
        <w:rPr>
          <w:rFonts w:ascii="Calibri" w:hAnsi="Calibri" w:cs="Calibri"/>
          <w:color w:val="000000" w:themeColor="text1"/>
          <w:sz w:val="24"/>
          <w:szCs w:val="24"/>
        </w:rPr>
        <w:t>Appendix C: 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Analysis of the </w:t>
      </w:r>
      <w:r w:rsidRPr="00F15FB2">
        <w:rPr>
          <w:rFonts w:ascii="Calibri" w:hAnsi="Calibri" w:cs="Calibri"/>
          <w:color w:val="000000" w:themeColor="text1"/>
        </w:rPr>
        <w:t xml:space="preserve">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line list mapped patient age against individual reproduction numbers. Infectiousness did not linearly correlate with age; rather, superspreading was bound to high-risk social behavioral events (e.g., attending specific indoor gatherings while i</w:t>
      </w:r>
      <w:r w:rsidRPr="00F15FB2">
        <w:rPr>
          <w:rFonts w:ascii="Calibri" w:hAnsi="Calibri" w:cs="Calibri"/>
          <w:color w:val="000000" w:themeColor="text1"/>
        </w:rPr>
        <w:t>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outbreak.</w:t>
      </w:r>
      <w:bookmarkEnd w:id="7"/>
      <w:bookmarkEnd w:id="10"/>
    </w:p>
    <w:sectPr w:rsidR="00075358" w:rsidRPr="00F15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5455D"/>
    <w:rsid w:val="00075358"/>
    <w:rsid w:val="000F7FF2"/>
    <w:rsid w:val="001418DB"/>
    <w:rsid w:val="00254FCB"/>
    <w:rsid w:val="006B70A6"/>
    <w:rsid w:val="006F4BB0"/>
    <w:rsid w:val="0072495F"/>
    <w:rsid w:val="00834829"/>
    <w:rsid w:val="00880D73"/>
    <w:rsid w:val="00B3539E"/>
    <w:rsid w:val="00BD7EC8"/>
    <w:rsid w:val="00C84FB1"/>
    <w:rsid w:val="00F15FB2"/>
    <w:rsid w:val="00F5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Isaac Bogoch</cp:lastModifiedBy>
  <cp:revision>4</cp:revision>
  <dcterms:created xsi:type="dcterms:W3CDTF">2026-05-15T21:55:00Z</dcterms:created>
  <dcterms:modified xsi:type="dcterms:W3CDTF">2026-05-15T23:06:00Z</dcterms:modified>
</cp:coreProperties>
</file>