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w:body><w:p w14:paraId="73AFF5F9" w14:textId="77777777" w:rsidR="001418DB" w:rsidRPr="006F4BB0" w:rsidRDefault="001418DB" w:rsidP="006F4BB0"><w:bookmarkStart w:id="0" w:name="X70367a6876a9cacf8940db2258c7dd9b2f64906"/></w:p><w:p w14:paraId="08CB3CC3" w14:textId="77777777" w:rsidR="001418DB" w:rsidRPr="006F4BB0" w:rsidRDefault="001418DB" w:rsidP="006F4BB0"><w:r w:rsidRPr="006F4BB0"><w:rPr><w:b/><w:bCs/></w:rPr><w:t>Manuscript type</w:t></w:r><w:r w:rsidRPr="006F4BB0"><w:t>: Rapid Communication</w:t></w:r></w:p><w:p w14:paraId="0C3A272D" w14:textId="7325B630" w:rsidR="00075358" w:rsidRPr="006F4BB0" w:rsidRDefault="001418DB" w:rsidP="006F4BB0"><w:r w:rsidRPr="006F4BB0"><w:br/></w:r><w:r w:rsidRPr="006F4BB0"><w:rPr><w:b/><w:bCs/></w:rPr><w:t>Title</w:t></w:r><w:r w:rsidRPr="006F4BB0"><w:t xml:space="preserve">: </w:t></w:r><w:r w:rsidR="006F4BB0" w:rsidRPr="006F4BB0"><w:t xml:space="preserve">Epidemiological characteristics of Andes </w:t></w:r><w:r w:rsidRPr="006F4BB0"><w:t>v</w:t></w:r><w:r w:rsidR="006F4BB0" w:rsidRPr="006F4BB0"><w:t>irus and implications for monitoring outbreaks</w:t></w:r></w:p><w:p w14:paraId="2CC3A5B1" w14:textId="77777777" w:rsidR="00F15FB2" w:rsidRPr="006F4BB0" w:rsidRDefault="00F15FB2" w:rsidP="006F4BB0"/><w:p w14:paraId="293E24D8" w14:textId="36AB1EFB" w:rsidR="00254FCB" w:rsidRPr="006F4BB0" w:rsidRDefault="00254FCB" w:rsidP="006F4BB0"><w:r w:rsidRPr="006F4BB0"><w:rPr><w:b/><w:bCs/></w:rPr><w:t>Authors</w:t></w:r><w:r w:rsidRPr="006F4BB0"><w:t>: Jason R. Andrews, MD,</w:t></w:r><w:r w:rsidRPr="007F67CB"><w:rPr><w:vertAlign w:val="superscript"/></w:rPr><w:t>1</w:t></w:r><w:r w:rsidRPr="006F4BB0"><w:t xml:space="preserve"> and Isaac I Bogoch, MD</w:t></w:r><w:r w:rsidRPr="007F67CB"><w:rPr><w:vertAlign w:val="superscript"/></w:rPr><w:t>2</w:t></w:r><w:r w:rsidR="00E82F71"><w:rPr><w:vertAlign w:val="superscript"/></w:rPr><w:t>*</w:t></w:r></w:p><w:p w14:paraId="4B3168C7" w14:textId="07E9F437" w:rsidR="00254FCB" w:rsidRPr="006F4BB0" w:rsidRDefault="00254FCB" w:rsidP="006F4BB0"><w:r w:rsidRPr="006F4BB0"><w:rPr><w:b/><w:bCs/></w:rPr><w:t>Affiliations</w:t></w:r><w:r w:rsidRPr="006F4BB0"><w:t>:</w:t></w:r></w:p><w:p w14:paraId="3FADD8E4" w14:textId="77777777" w:rsidR="001418DB" w:rsidRPr="006F4BB0" w:rsidRDefault="001418DB" w:rsidP="006F4BB0"><w:r w:rsidRPr="006F4BB0"><w:t>1. Division of Infectious Diseases and Geographic Medicine, Department of Medicine, Stanford University School of Medicine, Stanford, California.</w:t></w:r></w:p><w:p w14:paraId="19D10D5F" w14:textId="34E7E7A1" w:rsidR="001418DB" w:rsidRPr="006F4BB0" w:rsidRDefault="001418DB" w:rsidP="006F4BB0"><w:r w:rsidRPr="006F4BB0"><w:t>2. Department of Medicine, University of Toronto, Toronto, Ontario, Canada</w:t></w:r></w:p><w:p w14:paraId="7E68C371" w14:textId="03FABB0D" w:rsidR="001418DB" w:rsidRPr="006F4BB0" w:rsidRDefault="001418DB" w:rsidP="006F4BB0"/><w:p w14:paraId="5C1C2A54" w14:textId="5BB160BF" w:rsidR="00254FCB" w:rsidRPr="006F4BB0" w:rsidRDefault="00254FCB" w:rsidP="006F4BB0"><w:r w:rsidRPr="006F4BB0"><w:rPr><w:b/><w:bCs/></w:rPr><w:t>Keywork</w:t></w:r><w:r w:rsidR="001418DB" w:rsidRPr="006F4BB0"><w:rPr><w:b/><w:bCs/></w:rPr><w:t>s</w:t></w:r><w:r w:rsidRPr="006F4BB0"><w:t>: Andes virus; Hantavirus; Outbreak; Cruise; Travel</w:t></w:r></w:p><w:p w14:paraId="180B0962" w14:textId="416B7FCB" w:rsidR="00254FCB" w:rsidRPr="006F4BB0" w:rsidRDefault="00254FCB" w:rsidP="006F4BB0"><w:pPr><w:rPr><w:b/><w:bCs/></w:rPr></w:pPr></w:p><w:p w14:paraId="2DFDB241" w14:textId="07BB06F1" w:rsidR="00075358" w:rsidRPr="006F4BB0" w:rsidRDefault="000F7FF2" w:rsidP="006F4BB0"><w:r w:rsidRPr="006F4BB0"><w:rPr><w:b/><w:bCs/></w:rPr><w:t>Abstract word count</w:t></w:r><w:r w:rsidRPr="006F4BB0"><w:t xml:space="preserve">: </w:t></w:r><w:r w:rsidR="00254FCB" w:rsidRPr="006F4BB0"><w:t>5</w:t></w:r><w:r w:rsidR="006F4BB0"><w:t>2</w:t></w:r></w:p><w:p w14:paraId="386E65DC" w14:textId="3D05DDC7" w:rsidR="00834829" w:rsidRPr="006F4BB0" w:rsidRDefault="00834829" w:rsidP="006F4BB0"><w:r w:rsidRPr="006F4BB0"><w:rPr><w:b/><w:bCs/></w:rPr><w:t>Manuscript word count</w:t></w:r><w:r w:rsidRPr="006F4BB0"><w:t xml:space="preserve">: </w:t></w:r><w:r w:rsidR="006F4BB0"><w:t>560</w:t></w:r></w:p><w:p w14:paraId="3779F27F" w14:textId="61952A68" w:rsidR="00254FCB" w:rsidRPr="006F4BB0" w:rsidRDefault="00254FCB" w:rsidP="006F4BB0"><w:r w:rsidRPr="006F4BB0"><w:rPr><w:b/><w:bCs/></w:rPr><w:t>References</w:t></w:r><w:r w:rsidRPr="006F4BB0"><w:t>: 6</w:t></w:r></w:p><w:p w14:paraId="44EA0634" w14:textId="19620E5B" w:rsidR="00254FCB" w:rsidRPr="006F4BB0" w:rsidRDefault="00254FCB" w:rsidP="006F4BB0"><w:r w:rsidRPr="006F4BB0"><w:rPr><w:b/><w:bCs/></w:rPr><w:t>Author Contributions</w:t></w:r><w:r w:rsidRPr="006F4BB0"><w:t xml:space="preserve">: Both authors were responsible for conceiving the idea, analysis, writing, and revising. </w:t></w:r></w:p><w:p w14:paraId="6A17CC05" w14:textId="7B5DF36F" w:rsidR="00254FCB" w:rsidRPr="006F4BB0" w:rsidRDefault="00254FCB" w:rsidP="006F4BB0"><w:r w:rsidRPr="006F4BB0"><w:rPr><w:b/><w:bCs/></w:rPr><w:t>Funding</w:t></w:r><w:r w:rsidRPr="006F4BB0"><w:t>:</w:t></w:r><w:r w:rsidR="006F4BB0"><w:t xml:space="preserve"> </w:t></w:r><w:r w:rsidR="001418DB" w:rsidRPr="006F4BB0"><w:t xml:space="preserve">JRA is funded by </w:t></w:r><w:r w:rsidR="00CF5AB3"><w:t>the National Institutes of Health</w:t></w:r><w:r w:rsidR="00AF15A0"><w:t xml:space="preserve"> (K24 </w:t></w:r><w:r w:rsidR="00AF15A0" w:rsidRPr="00AF15A0"><w:t>AI182647</w:t></w:r><w:r w:rsidR="00AF15A0"><w:t>)</w:t></w:r><w:r w:rsidR="006F4BB0"><w:t xml:space="preserve">, </w:t></w:r><w:r w:rsidR="006F4BB0" w:rsidRPr="006F4BB0"><w:t>IIB is funded by the Canadian Institutes for Health Research</w:t></w:r></w:p><w:p w14:paraId="2E92D68A" w14:textId="0BD7C355" w:rsidR="00254FCB" w:rsidRPr="006F4BB0" w:rsidRDefault="00254FCB" w:rsidP="006F4BB0"><w:r w:rsidRPr="006F4BB0"><w:rPr><w:b/><w:bCs/></w:rPr><w:t>Author Statements</w:t></w:r><w:r w:rsidRPr="006F4BB0"><w:t>: IIB consults to the Weapons Threat Reduction Program at Global Affairs Canada.</w:t></w:r></w:p><w:p w14:paraId="2441D8FC" w14:textId="656D9360" w:rsidR="00254FCB" w:rsidRPr="006F4BB0" w:rsidRDefault="00422D6B" w:rsidP="006F4BB0"><w:r><w:t xml:space="preserve">*Correspondence </w:t></w:r><w:commentRangeStart w:id="1"/><w:r><w:t>to</w:t></w:r><w:commentRangeEnd w:id="1"/><w:r w:rsidR="00C22DFD"><w:rPr><w:rStyle w:val="CommentReference"/><w:sz w:val="24"/><w:szCs w:val="24"/></w:rPr><w:commentReference w:id="1"/></w:r><w:r><w:t xml:space="preserve">: </w:t></w:r></w:p><w:p w14:paraId="6343BB1E" w14:textId="77777777" w:rsidR="00834829" w:rsidRPr="006F4BB0" w:rsidRDefault="00834829" w:rsidP="006F4BB0"/><w:p w14:paraId="36BD6610" w14:textId="77777777" w:rsidR="00B3539E" w:rsidRPr="006F4BB0" w:rsidRDefault="00B3539E" w:rsidP="006F4BB0"><w:r w:rsidRPr="006F4BB0"><w:br w:type="page"/></w:r></w:p><w:p w14:paraId="42EC8A00" w14:textId="531A65BA" w:rsidR="00834829" w:rsidRPr="006F4BB0" w:rsidRDefault="00254FCB" w:rsidP="006F4BB0"><w:r w:rsidRPr="006F4BB0"><w:rPr><w:b/><w:bCs/></w:rPr><w:lastRenderedPageBreak/><w:t>Highlight</w:t></w:r><w:r w:rsidRPr="006F4BB0"><w:t>:</w:t></w:r></w:p><w:p w14:paraId="64B875CB" w14:textId="51A698DA" w:rsidR="006F4BB0" w:rsidRPr="006F4BB0" w:rsidRDefault="006F4BB0" w:rsidP="006F4BB0"><w:bookmarkStart w:id="2" w:name="introduction"/><w:r w:rsidRPr="006F4BB0"><w:t xml:space="preserve">A cluster of Andes virus (ANDV) </w:t></w:r><w:r w:rsidR="00D25A07"><w:t xml:space="preserve">cases </w:t></w:r><w:r w:rsidRPr="006F4BB0"><w:t>aboard the MV Hondius prompted epidemiological risk assessment. Retrospective analysis of the 1996 El Bolsón and 2018 Epuyén outbreaks identified prolonged incubation, substantial early transmission, and transmission heterogeneity (k=0.23). Despite monitoring challenges, branching-process simulations suggest most introductions result in stochastic extinction, limiting large-scale outbreak risk.</w:t></w:r></w:p><w:p w14:paraId="02A23288" w14:textId="77777777" w:rsidR="00254FCB" w:rsidRPr="006F4BB0" w:rsidRDefault="00254FCB" w:rsidP="006F4BB0"><w:r w:rsidRPr="006F4BB0"><w:br w:type="page"/></w:r></w:p><w:p w14:paraId="2B40587B" w14:textId="6E06697D" w:rsidR="00075358" w:rsidRPr="006F4BB0" w:rsidRDefault="006F4BB0" w:rsidP="006F4BB0"><w:r w:rsidRPr="006F4BB0"><w:lastRenderedPageBreak/><w:t xml:space="preserve">Hantavirus Pulmonary Syndrome (HPS) is a severe respiratory disease with a case fatality rate historically exceeding 30%. While most hantaviruses are transmitted exclusively via inhalation of aerosolized rodent excreta, the Andes orthohantavirus (ANDV) </w:t></w:r><w:r w:rsidR="00254FCB" w:rsidRPr="006F4BB0"><w:t>also has</w:t></w:r><w:r w:rsidRPr="006F4BB0"><w:t xml:space="preserve"> capacity for human-to-human transmission. Following the notification of an ANDV cluster aboard the MV Hondius cruise ship (Supplementary Figure S1), we </w:t></w:r><w:r w:rsidR="00523885"><w:t>re-</w:t></w:r><w:r w:rsidR="00FC7079"><w:t xml:space="preserve">evaluated historical data of ANDV transmission </w:t></w:r><w:r w:rsidRPr="006F4BB0"><w:t>to inform public health monitoring and intervention strategies. We utilized contact networks from the two most extensively documented historical ANDV outbreaks; the 1996 cluster in El Bolsón, Argentina (18 cases) [1], and the 2018–2019 outbreak in Epuyén, Argentina (34 cases) [2]. We define the fundamental epidemiological parameters.</w:t></w:r></w:p><w:p w14:paraId="38382B86" w14:textId="09A8F37F" w:rsidR="00075358" w:rsidRPr="006F4BB0" w:rsidRDefault="006F4BB0" w:rsidP="006F4BB0"><w:bookmarkStart w:id="3" w:name="methods"/><w:bookmarkEnd w:id="2"/><w:r w:rsidRPr="006F4BB0"><w:t xml:space="preserve">Patient-level line lists detailing exposure windows, symptom onset dates, and infector-infectee pairs were extracted from primary literature appendices [1, 2]. To calculate the incubation period, we applied an interval-censored Maximum Likelihood Estimation (MLE) framework [3] to the bounded social exposures in the 2018 Epuyén </w:t></w:r><w:r w:rsidR="000D50AE"><w:t xml:space="preserve">cohort. For comparison, we modeled the distribution of environmental (rodent-to-human) incubation periods using 32 point-source exposures from historical literature [6]. </w:t></w:r><w:r w:rsidRPr="006F4BB0"><w:t>Generation times and the infectiousness profile were deconvoluted mathematically from the empirical serial intervals recorded in the 1996 El Bolsón transmission network [4]. Transmission heterogeneity was assessed by fitting a Negative Binomial distribution to the aggregated offspring distribution of both outbreaks, enabling the calculation of the basic reproduction number (</w:t></w:r><m:oMath><m:sSub><m:sSubPr><m:ctrlPr><w:rPr><w:rFonts w:ascii="Cambria Math" w:hAnsi="Cambria Math"/></w:rPr></m:ctrlPr></m:sSubPr><m:e><m:r><w:rPr><w:rFonts w:ascii="Cambria Math" w:hAnsi="Cambria Math"/></w:rPr><m:t>R</m:t></m:r></m:e><m:sub><m:r><w:rPr><w:rFonts w:ascii="Cambria Math" w:hAnsi="Cambria Math"/></w:rPr><m:t>0</m:t></m:r></m:sub></m:sSub></m:oMath><w:r w:rsidRPr="006F4BB0"><w:t>) and the dispersion parameter (</w:t></w:r><m:oMath><m:r><w:rPr><w:rFonts w:ascii="Cambria Math" w:hAnsi="Cambria Math"/></w:rPr><m:t>k</m:t></m:r></m:oMath><w:r w:rsidRPr="006F4BB0"><w:t xml:space="preserve">) [5]. Finally, we conducted a 50,000-iteration branching process simulation parameterized by the derived </w:t></w:r><m:oMath><m:sSub><m:sSubPr><m:ctrlPr><w:rPr><w:rFonts w:ascii="Cambria Math" w:hAnsi="Cambria Math"/></w:rPr></m:ctrlPr></m:sSubPr><m:e><m:r><w:rPr><w:rFonts w:ascii="Cambria Math" w:hAnsi="Cambria Math"/></w:rPr><m:t>R</m:t></m:r></m:e><m:sub><m:r><w:rPr><w:rFonts w:ascii="Cambria Math" w:hAnsi="Cambria Math"/></w:rPr><m:t>0</m:t></m:r></m:sub></m:sSub></m:oMath><w:r w:rsidRPr="006F4BB0"><w:t xml:space="preserve"> and </w:t></w:r><m:oMath><m:r><w:rPr><w:rFonts w:ascii="Cambria Math" w:hAnsi="Cambria Math"/></w:rPr><m:t>k</m:t></m:r></m:oMath><w:r w:rsidRPr="006F4BB0"><w:t xml:space="preserve"> values to estimate the probability of stochastic extinction versus large-scale epidemic growth following a single ship-board introduction. Code and underlying data are available at: github.com/jasonandr/Andes-virus-epi</w:t></w:r></w:p><w:p w14:paraId="50DC3F56" w14:textId="666FC2E2" w:rsidR="00075358" w:rsidRPr="006F4BB0" w:rsidRDefault="006F4BB0" w:rsidP="006F4BB0"><w:bookmarkStart w:id="5" w:name="results"/><w:bookmarkEnd w:id="3"/><w:r w:rsidRPr="006F4BB0"><w:t>Interval-censored MLE demonstrated a median human-to-human incubation period of 20.1 days</w:t></w:r><w:r w:rsidR="00707A9B"><w:t xml:space="preserve"> (IQR 14.8-27.2)</w:t></w:r><w:r w:rsidRPr="006F4BB0"><w:t>. We conducted comparative lognormal modeling against historically established environmental (rodent-to-human) incubation periods (median 18.5 days</w:t></w:r><w:r w:rsidR="0092471F"><w:t>, IQR 13.8-24.7</w:t></w:r><w:r w:rsidRPr="006F4BB0"><w:t xml:space="preserve">) [6]. This environmental benchmark dataset comprises 32 historically confirmed point-source rodent exposures. The resulting density distributions </w:t></w:r><w:r w:rsidR="00CC1BDF"><w:t xml:space="preserve">were </w:t></w:r><w:r w:rsidR="00285887"><w:t xml:space="preserve">very </w:t></w:r><w:r w:rsidR="00CC1BDF"><w:t>similar</w:t></w:r><w:r w:rsidRPr="006F4BB0"><w:t xml:space="preserve"> (Figure 1A), </w:t></w:r><w:r w:rsidR="00313904"><w:t>demonstrating</w:t></w:r><w:r w:rsidRPr="006F4BB0"><w:t xml:space="preserve"> that the prolonged incubation period is intrinsic to ANDV pathogenesis</w:t></w:r><w:r w:rsidR="001435F8"><w:t xml:space="preserve"> and not specific to exposure route</w:t></w:r><w:r w:rsidRPr="006F4BB0"><w:t>.</w:t></w:r><w:r w:rsidR="003A64CC"><w:t xml:space="preserve"> </w:t></w:r><w:r w:rsidRPr="006F4BB0"><w:t xml:space="preserve">Analysis of the empirical generation time curves revealed that approximately 24% of transmission occurs during </w:t></w:r><w:r w:rsidR="00B3539E" w:rsidRPr="006F4BB0"><w:t>a</w:t></w:r><w:r w:rsidRPr="006F4BB0"><w:t xml:space="preserve"> presymptomatic</w:t></w:r><w:r w:rsidR="00B3539E" w:rsidRPr="006F4BB0"><w:t>, subclinical,</w:t></w:r><w:r w:rsidRPr="006F4BB0"><w:t xml:space="preserve"> or early prodromal phase, prior to the onset of severe febrile illness (Figure 1B).</w:t></w:r></w:p><w:p w14:paraId="2C76A4CE" w14:textId="0E0DA509" w:rsidR="00075358" w:rsidRPr="006F4BB0" w:rsidRDefault="006F4BB0" w:rsidP="006F4BB0"><w:r w:rsidRPr="006F4BB0"><w:t xml:space="preserve">Negative binomial regression on the combined empirical offspring distribution yielded an overall </w:t></w:r><m:oMath><m:sSub><m:sSubPr><m:ctrlPr><w:rPr><w:rFonts w:ascii="Cambria Math" w:hAnsi="Cambria Math"/></w:rPr></m:ctrlPr></m:sSubPr><m:e><m:r><w:rPr><w:rFonts w:ascii="Cambria Math" w:hAnsi="Cambria Math"/></w:rPr><m:t>R</m:t></m:r></m:e><m:sub><m:r><w:rPr><w:rFonts w:ascii="Cambria Math" w:hAnsi="Cambria Math"/></w:rPr><m:t>0</m:t></m:r></m:sub></m:sSub></m:oMath><w:r w:rsidRPr="006F4BB0"><w:t xml:space="preserve"> of 0.96, but low dispersion parameter (</w:t></w:r><m:oMath><m:r><w:rPr><w:rFonts w:ascii="Cambria Math" w:hAnsi="Cambria Math"/></w:rPr><m:t>k</m:t></m:r></m:oMath><w:r w:rsidRPr="006F4BB0"><w:t>) of 0.23 (Figure 1C)</w:t></w:r><w:r w:rsidR="00B3539E" w:rsidRPr="006F4BB0"><w:t xml:space="preserve">, suggestive of </w:t></w:r><w:r w:rsidRPr="006F4BB0"><w:t xml:space="preserve">transmission heterogeneity [5]. The majority of infected individuals </w:t></w:r><w:r w:rsidRPr="006F4BB0"><w:t xml:space="preserve">(&gt;80%, comprising 68.5% generating zero and 12.6% generating one)</w:t></w:r>="1.0"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w:body><w:p w14:paraId="73AFF5F9" w14:textId="77777777" w:rsidR="001418DB" w:rsidRPr="006F4BB0" w:rsidRDefault="001418DB" w:rsidP="006F4BB0"><w:bookmarkStart w:id="0" w:name="X70367a6876a9cacf8940db2258c7dd9b2f64906"/></w:p><w:p w14:paraId="08CB3CC3" w14:textId="77777777" w:rsidR="001418DB" w:rsidRPr="006F4BB0" w:rsidRDefault="001418DB" w:rsidP="006F4BB0"><w:r w:rsidRPr="006F4BB0"><w:rPr><w:b/><w:bCs/></w:rPr><w:t>Manuscript type</w:t></w:r><w:r w:rsidRPr="006F4BB0"><w:t>: Rapid Communication</w:t></w:r></w:p><w:p w14:paraId="0C3A272D" w14:textId="7325B630" w:rsidR="00075358" w:rsidRPr="006F4BB0" w:rsidRDefault="001418DB" w:rsidP="006F4BB0"><w:r w:rsidRPr="006F4BB0"><w:br/></w:r><w:r w:rsidRPr="006F4BB0"><w:rPr><w:b/><w:bCs/></w:rPr><w:t>Title</w:t></w:r><w:r w:rsidRPr="006F4BB0"><w:t xml:space="preserve">: </w:t></w:r><w:r w:rsidR="006F4BB0" w:rsidRPr="006F4BB0"><w:t xml:space="preserve">Epidemiological characteristics of Andes </w:t></w:r><w:r w:rsidRPr="006F4BB0"><w:t>v</w:t></w:r><w:r w:rsidR="006F4BB0" w:rsidRPr="006F4BB0"><w:t>irus and implications for monitoring outbreaks</w:t></w:r></w:p><w:p w14:paraId="2CC3A5B1" w14:textId="77777777" w:rsidR="00F15FB2" w:rsidRPr="006F4BB0" w:rsidRDefault="00F15FB2" w:rsidP="006F4BB0"/><w:p w14:paraId="293E24D8" w14:textId="36AB1EFB" w:rsidR="00254FCB" w:rsidRPr="006F4BB0" w:rsidRDefault="00254FCB" w:rsidP="006F4BB0"><w:r w:rsidRPr="006F4BB0"><w:rPr><w:b/><w:bCs/></w:rPr><w:t>Authors</w:t></w:r><w:r w:rsidRPr="006F4BB0"><w:t>: Jason R. Andrews, MD,</w:t></w:r><w:r w:rsidRPr="007F67CB"><w:rPr><w:vertAlign w:val="superscript"/></w:rPr><w:t>1</w:t></w:r><w:r w:rsidRPr="006F4BB0"><w:t xml:space="preserve"> and Isaac I Bogoch, MD</w:t></w:r><w:r w:rsidRPr="007F67CB"><w:rPr><w:vertAlign w:val="superscript"/></w:rPr><w:t>2</w:t></w:r><w:r w:rsidR="00E82F71"><w:rPr><w:vertAlign w:val="superscript"/></w:rPr><w:t>*</w:t></w:r></w:p><w:p w14:paraId="4B3168C7" w14:textId="07E9F437" w:rsidR="00254FCB" w:rsidRPr="006F4BB0" w:rsidRDefault="00254FCB" w:rsidP="006F4BB0"><w:r w:rsidRPr="006F4BB0"><w:rPr><w:b/><w:bCs/></w:rPr><w:t>Affiliations</w:t></w:r><w:r w:rsidRPr="006F4BB0"><w:t>:</w:t></w:r></w:p><w:p w14:paraId="3FADD8E4" w14:textId="77777777" w:rsidR="001418DB" w:rsidRPr="006F4BB0" w:rsidRDefault="001418DB" w:rsidP="006F4BB0"><w:r w:rsidRPr="006F4BB0"><w:t>1. Division of Infectious Diseases and Geographic Medicine, Department of Medicine, Stanford University School of Medicine, Stanford, California.</w:t></w:r></w:p><w:p w14:paraId="19D10D5F" w14:textId="34E7E7A1" w:rsidR="001418DB" w:rsidRPr="006F4BB0" w:rsidRDefault="001418DB" w:rsidP="006F4BB0"><w:r w:rsidRPr="006F4BB0"><w:t>2. Department of Medicine, University of Toronto, Toronto, Ontario, Canada</w:t></w:r></w:p><w:p w14:paraId="7E68C371" w14:textId="03FABB0D" w:rsidR="001418DB" w:rsidRPr="006F4BB0" w:rsidRDefault="001418DB" w:rsidP="006F4BB0"/><w:p w14:paraId="5C1C2A54" w14:textId="5BB160BF" w:rsidR="00254FCB" w:rsidRPr="006F4BB0" w:rsidRDefault="00254FCB" w:rsidP="006F4BB0"><w:r w:rsidRPr="006F4BB0"><w:rPr><w:b/><w:bCs/></w:rPr><w:t>Keywork</w:t></w:r><w:r w:rsidR="001418DB" w:rsidRPr="006F4BB0"><w:rPr><w:b/><w:bCs/></w:rPr><w:t>s</w:t></w:r><w:r w:rsidRPr="006F4BB0"><w:t>: Andes virus; Hantavirus; Outbreak; Cruise; Travel</w:t></w:r></w:p><w:p w14:paraId="180B0962" w14:textId="416B7FCB" w:rsidR="00254FCB" w:rsidRPr="006F4BB0" w:rsidRDefault="00254FCB" w:rsidP="006F4BB0"><w:pPr><w:rPr><w:b/><w:bCs/></w:rPr></w:pPr></w:p><w:p w14:paraId="2DFDB241" w14:textId="07BB06F1" w:rsidR="00075358" w:rsidRPr="006F4BB0" w:rsidRDefault="000F7FF2" w:rsidP="006F4BB0"><w:r w:rsidRPr="006F4BB0"><w:rPr><w:b/><w:bCs/></w:rPr><w:t>Abstract word count</w:t></w:r><w:r w:rsidRPr="006F4BB0"><w:t xml:space="preserve">: </w:t></w:r><w:r w:rsidR="00254FCB" w:rsidRPr="006F4BB0"><w:t>5</w:t></w:r><w:r w:rsidR="006F4BB0"><w:t>2</w:t></w:r></w:p><w:p w14:paraId="386E65DC" w14:textId="3D05DDC7" w:rsidR="00834829" w:rsidRPr="006F4BB0" w:rsidRDefault="00834829" w:rsidP="006F4BB0"><w:r w:rsidRPr="006F4BB0"><w:rPr><w:b/><w:bCs/></w:rPr><w:t>Manuscript word count</w:t></w:r><w:r w:rsidRPr="006F4BB0"><w:t xml:space="preserve">: </w:t></w:r><w:r w:rsidR="006F4BB0"><w:t>560</w:t></w:r></w:p><w:p w14:paraId="3779F27F" w14:textId="61952A68" w:rsidR="00254FCB" w:rsidRPr="006F4BB0" w:rsidRDefault="00254FCB" w:rsidP="006F4BB0"><w:r w:rsidRPr="006F4BB0"><w:rPr><w:b/><w:bCs/></w:rPr><w:t>References</w:t></w:r><w:r w:rsidRPr="006F4BB0"><w:t>: 6</w:t></w:r></w:p><w:p w14:paraId="44EA0634" w14:textId="19620E5B" w:rsidR="00254FCB" w:rsidRPr="006F4BB0" w:rsidRDefault="00254FCB" w:rsidP="006F4BB0"><w:r w:rsidRPr="006F4BB0"><w:rPr><w:b/><w:bCs/></w:rPr><w:t>Author Contributions</w:t></w:r><w:r w:rsidRPr="006F4BB0"><w:t xml:space="preserve">: Both authors were responsible for conceiving the idea, analysis, writing, and revising. </w:t></w:r></w:p><w:p w14:paraId="6A17CC05" w14:textId="7B5DF36F" w:rsidR="00254FCB" w:rsidRPr="006F4BB0" w:rsidRDefault="00254FCB" w:rsidP="006F4BB0"><w:r w:rsidRPr="006F4BB0"><w:rPr><w:b/><w:bCs/></w:rPr><w:t>Funding</w:t></w:r><w:r w:rsidRPr="006F4BB0"><w:t>:</w:t></w:r><w:r w:rsidR="006F4BB0"><w:t xml:space="preserve"> </w:t></w:r><w:r w:rsidR="001418DB" w:rsidRPr="006F4BB0"><w:t xml:space="preserve">JRA is funded by </w:t></w:r><w:r w:rsidR="00CF5AB3"><w:t>the National Institutes of Health</w:t></w:r><w:r w:rsidR="00AF15A0"><w:t xml:space="preserve"> (K24 </w:t></w:r><w:r w:rsidR="00AF15A0" w:rsidRPr="00AF15A0"><w:t>AI182647</w:t></w:r><w:r w:rsidR="00AF15A0"><w:t>)</w:t></w:r><w:r w:rsidR="006F4BB0"><w:t xml:space="preserve">, </w:t></w:r><w:r w:rsidR="006F4BB0" w:rsidRPr="006F4BB0"><w:t>IIB is funded by the Canadian Institutes for Health Research</w:t></w:r></w:p><w:p w14:paraId="2E92D68A" w14:textId="0BD7C355" w:rsidR="00254FCB" w:rsidRPr="006F4BB0" w:rsidRDefault="00254FCB" w:rsidP="006F4BB0"><w:r w:rsidRPr="006F4BB0"><w:rPr><w:b/><w:bCs/></w:rPr><w:t>Author Statements</w:t></w:r><w:r w:rsidRPr="006F4BB0"><w:t>: IIB consults to the Weapons Threat Reduction Program at Global Affairs Canada.</w:t></w:r></w:p><w:p w14:paraId="2441D8FC" w14:textId="656D9360" w:rsidR="00254FCB" w:rsidRPr="006F4BB0" w:rsidRDefault="00422D6B" w:rsidP="006F4BB0"><w:r><w:t xml:space="preserve">*Correspondence </w:t></w:r><w:commentRangeStart w:id="1"/><w:r><w:t>to</w:t></w:r><w:commentRangeEnd w:id="1"/><w:r w:rsidR="00C22DFD"><w:rPr><w:rStyle w:val="CommentReference"/><w:sz w:val="24"/><w:szCs w:val="24"/></w:rPr><w:commentReference w:id="1"/></w:r><w:r><w:t xml:space="preserve">: </w:t></w:r></w:p><w:p w14:paraId="6343BB1E" w14:textId="77777777" w:rsidR="00834829" w:rsidRPr="006F4BB0" w:rsidRDefault="00834829" w:rsidP="006F4BB0"/><w:p w14:paraId="36BD6610" w14:textId="77777777" w:rsidR="00B3539E" w:rsidRPr="006F4BB0" w:rsidRDefault="00B3539E" w:rsidP="006F4BB0"><w:r w:rsidRPr="006F4BB0"><w:br w:type="page"/></w:r></w:p><w:p w14:paraId="42EC8A00" w14:textId="531A65BA" w:rsidR="00834829" w:rsidRPr="006F4BB0" w:rsidRDefault="00254FCB" w:rsidP="006F4BB0"><w:r w:rsidRPr="006F4BB0"><w:rPr><w:b/><w:bCs/></w:rPr><w:lastRenderedPageBreak/><w:t>Highlight</w:t></w:r><w:r w:rsidRPr="006F4BB0"><w:t>:</w:t></w:r></w:p><w:p w14:paraId="64B875CB" w14:textId="51A698DA" w:rsidR="006F4BB0" w:rsidRPr="006F4BB0" w:rsidRDefault="006F4BB0" w:rsidP="006F4BB0"><w:bookmarkStart w:id="2" w:name="introduction"/><w:r w:rsidRPr="006F4BB0"><w:t xml:space="preserve">A cluster of Andes virus (ANDV) </w:t></w:r><w:r w:rsidR="00D25A07"><w:t xml:space="preserve">cases </w:t></w:r><w:r w:rsidRPr="006F4BB0"><w:t>aboard the MV Hondius prompted epidemiological risk assessment. Retrospective analysis of the 1996 El Bolsón and 2018 Epuyén outbreaks identified prolonged incubation, substantial early transmission, and transmission heterogeneity (k=0.23). Despite monitoring challenges, branching-process simulations suggest most introductions result in stochastic extinction, limiting large-scale outbreak risk.</w:t></w:r></w:p><w:p w14:paraId="02A23288" w14:textId="77777777" w:rsidR="00254FCB" w:rsidRPr="006F4BB0" w:rsidRDefault="00254FCB" w:rsidP="006F4BB0"><w:r w:rsidRPr="006F4BB0"><w:br w:type="page"/></w:r></w:p><w:p w14:paraId="2B40587B" w14:textId="6E06697D" w:rsidR="00075358" w:rsidRPr="006F4BB0" w:rsidRDefault="006F4BB0" w:rsidP="006F4BB0"><w:r w:rsidRPr="006F4BB0"><w:lastRenderedPageBreak/><w:t xml:space="preserve">Hantavirus Pulmonary Syndrome (HPS) is a severe respiratory disease with a case fatality rate historically exceeding 30%. While most hantaviruses are transmitted exclusively via inhalation of aerosolized rodent excreta, the Andes orthohantavirus (ANDV) </w:t></w:r><w:r w:rsidR="00254FCB" w:rsidRPr="006F4BB0"><w:t>also has</w:t></w:r><w:r w:rsidRPr="006F4BB0"><w:t xml:space="preserve"> capacity for human-to-human transmission. Following the notification of an ANDV cluster aboard the MV Hondius cruise ship (Supplementary Figure S1), we </w:t></w:r><w:r w:rsidR="00523885"><w:t>re-</w:t></w:r><w:r w:rsidR="00FC7079"><w:t xml:space="preserve">evaluated historical data of ANDV transmission </w:t></w:r><w:r w:rsidRPr="006F4BB0"><w:t>to inform public health monitoring and intervention strategies. We utilized contact networks from the two most extensively documented historical ANDV outbreaks; the 1996 cluster in El Bolsón, Argentina (18 cases) [1], and the 2018–2019 outbreak in Epuyén, Argentina (34 cases) [2]. We define the fundamental epidemiological parameters.</w:t></w:r></w:p><w:p w14:paraId="38382B86" w14:textId="09A8F37F" w:rsidR="00075358" w:rsidRPr="006F4BB0" w:rsidRDefault="006F4BB0" w:rsidP="006F4BB0"><w:bookmarkStart w:id="3" w:name="methods"/><w:bookmarkEnd w:id="2"/><w:r w:rsidRPr="006F4BB0"><w:t xml:space="preserve">Patient-level line lists detailing exposure windows, symptom onset dates, and infector-infectee pairs were extracted from primary literature appendices [1, 2]. To calculate the incubation period, we applied an interval-censored Maximum Likelihood Estimation (MLE) framework [3] to the bounded social exposures in the 2018 Epuyén </w:t></w:r><w:r w:rsidR="000D50AE"><w:t xml:space="preserve">cohort. For comparison, we modeled the distribution of environmental (rodent-to-human) incubation periods using 32 point-source exposures from historical literature [6]. </w:t></w:r><w:r w:rsidRPr="006F4BB0"><w:t>Generation times and the infectiousness profile were deconvoluted mathematically from the empirical serial intervals recorded in the 1996 El Bolsón transmission network [4]. Transmission heterogeneity was assessed by fitting a Negative Binomial distribution to the aggregated offspring distribution of both outbreaks, enabling the calculation of the basic reproduction number (</w:t></w:r><m:oMath><m:sSub><m:sSubPr><m:ctrlPr><w:rPr><w:rFonts w:ascii="Cambria Math" w:hAnsi="Cambria Math"/></w:rPr></m:ctrlPr></m:sSubPr><m:e><m:r><w:rPr><w:rFonts w:ascii="Cambria Math" w:hAnsi="Cambria Math"/></w:rPr><m:t>R</m:t></m:r></m:e><m:sub><m:r><w:rPr><w:rFonts w:ascii="Cambria Math" w:hAnsi="Cambria Math"/></w:rPr><m:t>0</m:t></m:r></m:sub></m:sSub></m:oMath><w:r w:rsidRPr="006F4BB0"><w:t>) and the dispersion parameter (</w:t></w:r><m:oMath><m:r><w:rPr><w:rFonts w:ascii="Cambria Math" w:hAnsi="Cambria Math"/></w:rPr><m:t>k</m:t></m:r></m:oMath><w:r w:rsidRPr="006F4BB0"><w:t xml:space="preserve">) [5]. Finally, we conducted a 50,000-iteration branching process simulation parameterized by the derived </w:t></w:r><m:oMath><m:sSub><m:sSubPr><m:ctrlPr><w:rPr><w:rFonts w:ascii="Cambria Math" w:hAnsi="Cambria Math"/></w:rPr></m:ctrlPr></m:sSubPr><m:e><m:r><w:rPr><w:rFonts w:ascii="Cambria Math" w:hAnsi="Cambria Math"/></w:rPr><m:t>R</m:t></m:r></m:e><m:sub><m:r><w:rPr><w:rFonts w:ascii="Cambria Math" w:hAnsi="Cambria Math"/></w:rPr><m:t>0</m:t></m:r></m:sub></m:sSub></m:oMath><w:r w:rsidRPr="006F4BB0"><w:t xml:space="preserve"> and </w:t></w:r><m:oMath><m:r><w:rPr><w:rFonts w:ascii="Cambria Math" w:hAnsi="Cambria Math"/></w:rPr><m:t>k</m:t></m:r></m:oMath><w:r w:rsidRPr="006F4BB0"><w:t xml:space="preserve"> values to estimate the probability of stochastic extinction versus large-scale epidemic growth following a single ship-board introduction. Code and underlying data are available at: github.com/jasonandr/Andes-virus-epi</w:t></w:r></w:p><w:p w14:paraId="50DC3F56" w14:textId="666FC2E2" w:rsidR="00075358" w:rsidRPr="006F4BB0" w:rsidRDefault="006F4BB0" w:rsidP="006F4BB0"><w:bookmarkStart w:id="5" w:name="results"/><w:bookmarkEnd w:id="3"/><w:r w:rsidRPr="006F4BB0"><w:t>Interval-censored MLE demonstrated a median human-to-human incubation period of 20.1 days</w:t></w:r><w:r w:rsidR="00707A9B"><w:t xml:space="preserve"> (IQR 14.8-27.2)</w:t></w:r><w:r w:rsidRPr="006F4BB0"><w:t>. We conducted comparative lognormal modeling against historically established environmental (rodent-to-human) incubation periods (median 18.5 days</w:t></w:r><w:r w:rsidR="0092471F"><w:t>, IQR 13.8-24.7</w:t></w:r><w:r w:rsidRPr="006F4BB0"><w:t xml:space="preserve">) [6]. This environmental benchmark dataset comprises 32 historically confirmed point-source rodent exposures. The resulting density distributions </w:t></w:r><w:r w:rsidR="00CC1BDF"><w:t xml:space="preserve">were </w:t></w:r><w:r w:rsidR="00285887"><w:t xml:space="preserve">very </w:t></w:r><w:r w:rsidR="00CC1BDF"><w:t>similar</w:t></w:r><w:r w:rsidRPr="006F4BB0"><w:t xml:space="preserve"> (Figure 1A), </w:t></w:r><w:r w:rsidR="00313904"><w:t>demonstrating</w:t></w:r><w:r w:rsidRPr="006F4BB0"><w:t xml:space="preserve"> that the prolonged incubation period is intrinsic to ANDV pathogenesis</w:t></w:r><w:r w:rsidR="001435F8"><w:t xml:space="preserve"> and not specific to exposure route</w:t></w:r><w:r w:rsidRPr="006F4BB0"><w:t>.</w:t></w:r><w:r w:rsidR="003A64CC"><w:t xml:space="preserve"> </w:t></w:r><w:r w:rsidRPr="006F4BB0"><w:t xml:space="preserve">Analysis of the empirical generation time curves revealed that approximately 24% of transmission occurs during </w:t></w:r><w:r w:rsidR="00B3539E" w:rsidRPr="006F4BB0"><w:t>a</w:t></w:r><w:r w:rsidRPr="006F4BB0"><w:t xml:space="preserve"> presymptomatic</w:t></w:r><w:r w:rsidR="00B3539E" w:rsidRPr="006F4BB0"><w:t>, subclinical,</w:t></w:r><w:r w:rsidRPr="006F4BB0"><w:t xml:space="preserve"> or early prodromal phase, prior to the onset of severe febrile illness (Figure 1B).</w:t></w:r></w:p><w:p w14:paraId="2C76A4CE" w14:textId="0E0DA509" w:rsidR="00075358" w:rsidRPr="006F4BB0" w:rsidRDefault="006F4BB0" w:rsidP="006F4BB0"><w:r w:rsidRPr="006F4BB0"><w:t xml:space="preserve">Negative binomial regression on the combined empirical offspring distribution yielded an overall </w:t></w:r><m:oMath><m:sSub><m:sSubPr><m:ctrlPr><w:rPr><w:rFonts w:ascii="Cambria Math" w:hAnsi="Cambria Math"/></w:rPr></m:ctrlPr></m:sSubPr><m:e><m:r><w:rPr><w:rFonts w:ascii="Cambria Math" w:hAnsi="Cambria Math"/></w:rPr><m:t>R</m:t></m:r></m:e><m:sub><m:r><w:rPr><w:rFonts w:ascii="Cambria Math" w:hAnsi="Cambria Math"/></w:rPr><m:t>0</m:t></m:r></m:sub></m:sSub></m:oMath><w:r w:rsidRPr="006F4BB0"><w:t xml:space="preserve"> of 0.96, but low dispersion parameter (</w:t></w:r><m:oMath><m:r><w:rPr><w:rFonts w:ascii="Cambria Math" w:hAnsi="Cambria Math"/></w:rPr><m:t>k</m:t></m:r></m:oMath><w:r w:rsidRPr="006F4BB0"><w:t>) of 0.23 (Figure 1C)</w:t></w:r><w:r w:rsidR="00B3539E" w:rsidRPr="006F4BB0"><w:t xml:space="preserve">, suggestive of </w:t></w:r><w:r w:rsidRPr="006F4BB0"><w:t xml:space="preserve">transmission heterogeneity [5]. The majority of infected individuals </w:t></w:r><w:commentRangeStart w:id="6"/><w:r w:rsidRPr="006F4BB0"><w:t>(</w:t></w:r><w:r w:rsidR="00B3539E" w:rsidRPr="006F4BB0"><w:t>&gt;8</w:t></w:r><w:r w:rsidRPr="006F4BB0"><w:t>0</w:t></w:r><w:commentRangeEnd w:id="6"/><w:r w:rsidR="00734BBD" w:rsidRPr="006F4BB0"><w:rPr><w:rStyle w:val="CommentReference"/><w:sz w:val="24"/><w:szCs w:val="24"/></w:rPr><w:commentReference w:id="6"/></w:r><w:r w:rsidRPr="006F4BB0"><w:t xml:space="preserve">%) generated zero </w:t></w:r><w:r w:rsidR="00B3539E" w:rsidRPr="006F4BB0"><w:t xml:space="preserve">or single </w:t></w:r><w:r w:rsidRPr="006F4BB0"><w:t>secondary cases, while a minority of “superspreaders” were responsible fo</w:t></w:r><w:r w:rsidR="00B3539E" w:rsidRPr="006F4BB0"><w:t>r</w:t></w:r><w:r w:rsidRPr="006F4BB0"><w:t xml:space="preserve"> multi-generational transmission chains.</w:t></w:r></w:p><w:p w14:paraId="5E9D2F27" w14:textId="68B8BD7E" w:rsidR="00075358" w:rsidRPr="006F4BB0" w:rsidRDefault="006F4BB0" w:rsidP="006F4BB0"><w:r w:rsidRPr="006F4BB0"><w:t xml:space="preserve">Utilizing these parameters in the branching process simulation, we found that 68.5% of single-case introductions resulted in immediate stochastic extinction (generating zero </w:t></w:r><w:r w:rsidRPr="006F4BB0"><w:lastRenderedPageBreak/><w:t xml:space="preserve">secondary cases). However, outbreaks that evaded early extinction </w:t></w:r><w:r w:rsidR="001A089B"><w:t>had</w:t></w:r><w:r w:rsidRPr="006F4BB0"><w:t xml:space="preserve"> a small probability of explosive </w:t></w:r><w:r w:rsidR="004D2D13"><w:t>growth</w:t></w:r><w:r w:rsidRPr="006F4BB0"><w:t xml:space="preserve"> (Supplementary Figure S2).</w:t></w:r></w:p><w:p w14:paraId="7EAA9202" w14:textId="6597A714" w:rsidR="00254FCB" w:rsidRPr="006F4BB0" w:rsidRDefault="00254FCB" w:rsidP="006F4BB0"><w:bookmarkStart w:id="7" w:name="discussion"/><w:bookmarkEnd w:id="5"/><w:r w:rsidRPr="006F4BB0"><w:t>These epidemiological characteristics complicate monitoring in high-density settings such as a cruise ship. A prolonged incubation period combined with presymptomatic</w:t></w:r><w:r w:rsidR="006F4BB0" w:rsidRPr="006F4BB0"><w:t xml:space="preserve">, </w:t></w:r><w:r w:rsidRPr="006F4BB0"><w:t>subclinical</w:t></w:r><w:r w:rsidR="006F4BB0" w:rsidRPr="006F4BB0"><w:t xml:space="preserve">, or prodromal </w:t></w:r><w:r w:rsidRPr="006F4BB0"><w:t>shedding limits the effectiveness of symptom-based screening, as secondary transmission may occur before overt symptoms emerge</w:t></w:r><w:r w:rsidR="004027F3"><w:t>.</w:t></w:r><w:r w:rsidRPr="006F4BB0"><w:t xml:space="preserve"> </w:t></w:r><w:commentRangeStart w:id="8"/><w:r w:rsidR="00C82E72"><w:t xml:space="preserve">Forty-five day </w:t></w:r><w:commentRangeEnd w:id="8"/><w:r w:rsidR="00B70590"><w:rPr><w:rStyle w:val="CommentReference"/><w:sz w:val="24"/><w:szCs w:val="24"/></w:rPr><w:commentReference w:id="8"/></w:r><w:r w:rsidR="00C82E72"><w:t>q</w:t></w:r><w:r w:rsidR="00EA3295"><w:t xml:space="preserve">uarantine of exposed individuals with </w:t></w:r><w:r w:rsidR="00A15A6F"><w:t xml:space="preserve">periodic testing irrespective of symptoms </w:t></w:r><w:r w:rsidR="00E905ED"><w:t xml:space="preserve">is appropriate. </w:t></w:r><w:r w:rsidRPr="006F4BB0"><w:t>Because most infected individuals do not transmit the virus, large uncontained outbreaks are statistically unlikely. Branching process simulations show that most introductions end in rapid stochastic extinction, making exponential spread improbable despite the risk of localized superspreading events</w:t></w:r><w:r w:rsidR="006F4BB0" w:rsidRPr="006F4BB0"><w:t xml:space="preserve"> in enclosed environments</w:t></w:r><w:r w:rsidRPr="006F4BB0"><w:t>.</w:t></w:r></w:p><w:p w14:paraId="167E0408" w14:textId="7C244D24" w:rsidR="00075358" w:rsidRPr="006F4BB0" w:rsidRDefault="00075358" w:rsidP="006F4BB0"/><w:p w14:paraId="7B6D5848" w14:textId="2D05F48A" w:rsidR="00075358" w:rsidRPr="006F4BB0" w:rsidRDefault="006F4BB0" w:rsidP="006F4BB0"><w:bookmarkStart w:id="9" w:name="references"/><w:bookmarkEnd w:id="7"/><w:r w:rsidRPr="006F4BB0"><w:rPr><w:b/><w:bCs/></w:rPr><w:t>References</w:t></w:r><w:r><w:rPr><w:b/><w:bCs/></w:rPr><w:t>:</w:t></w:r></w:p><w:p w14:paraId="2CE0B6E5" w14:textId="77777777" w:rsidR="00075358" w:rsidRPr="006F4BB0" w:rsidRDefault="006F4BB0" w:rsidP="006F4BB0"><w:pPr><w:pStyle w:val="ListParagraph"/><w:numPr><w:ilvl w:val="0"/><w:numId w:val="4"/></w:numPr></w:pPr><w:r w:rsidRPr="006F4BB0"><w:t>Padula PJ, Edelstein A, Miguel SD, López NM, Francos CM, Suárez VC. Epidemic outbreak of hantavirus pulmonary syndrome in Argentina. Molecular evidence for person-to-person transmission of Andes virus. Virology. 1998;241(2):323-330.</w:t></w:r></w:p><w:p w14:paraId="43D548E1" w14:textId="77777777" w:rsidR="00075358" w:rsidRPr="006F4BB0" w:rsidRDefault="006F4BB0" w:rsidP="006F4BB0"><w:pPr><w:pStyle w:val="ListParagraph"/><w:numPr><w:ilvl w:val="0"/><w:numId w:val="4"/></w:numPr></w:pPr><w:r w:rsidRPr="006F4BB0"><w:t>Martinez VP, Di Paola N, Alonso DO, et al. “Super-Spreaders” and Person-to-Person Transmission of Andes Virus in Argentina. New England Journal of Medicine. 2020;383(23):2230-2241.</w:t></w:r></w:p><w:p w14:paraId="6859C9D6" w14:textId="77777777" w:rsidR="00075358" w:rsidRPr="006F4BB0" w:rsidRDefault="006F4BB0" w:rsidP="006F4BB0"><w:pPr><w:pStyle w:val="ListParagraph"/><w:numPr><w:ilvl w:val="0"/><w:numId w:val="4"/></w:numPr></w:pPr><w:r w:rsidRPr="006F4BB0"><w:t>Lauer SA, Grantz KH, Bi Q, et al. The Incubation Period of Coronavirus Disease 2019 (COVID-19) From Publicly Reported Confirmed Cases: Estimation and Application. Annals of Internal Medicine. 2020;172(9):577-582.</w:t></w:r></w:p><w:p w14:paraId="57A0F85F" w14:textId="77777777" w:rsidR="00075358" w:rsidRPr="006F4BB0" w:rsidRDefault="006F4BB0" w:rsidP="006F4BB0"><w:pPr><w:pStyle w:val="ListParagraph"/><w:numPr><w:ilvl w:val="0"/><w:numId w:val="4"/></w:numPr></w:pPr><w:r w:rsidRPr="006F4BB0"><w:t>He X, Lau EHY, Wu P, et al. Temporal dynamics in viral shedding and transmissibility of COVID-19. Nature Medicine. 2020;26(5):672-675.</w:t></w:r></w:p><w:p w14:paraId="5565485A" w14:textId="77777777" w:rsidR="00075358" w:rsidRPr="006F4BB0" w:rsidRDefault="006F4BB0" w:rsidP="006F4BB0"><w:pPr><w:pStyle w:val="ListParagraph"/><w:numPr><w:ilvl w:val="0"/><w:numId w:val="4"/></w:numPr></w:pPr><w:r w:rsidRPr="006F4BB0"><w:t>Lloyd-Smith JO, Schreiber SJ, Kopp PE, Getz WM. Superspreading and the effect of individual variation on disease emergence. Nature. 2005;438(7066):355-359.</w:t></w:r></w:p><w:p w14:paraId="2995777E" w14:textId="77777777" w:rsidR="00075358" w:rsidRPr="006F4BB0" w:rsidRDefault="006F4BB0" w:rsidP="006F4BB0"><w:pPr><w:pStyle w:val="ListParagraph"/><w:numPr><w:ilvl w:val="0"/><w:numId w:val="4"/></w:numPr></w:pPr><w:r w:rsidRPr="006F4BB0"><w:t>Vial PA, Valdivieso F, Mertz G, et al. Incubation period of hantavirus cardiopulmonary syndrome. Emerging Infectious Diseases. 2006;12(8):1271-1273.</w:t></w:r></w:p><w:p w14:paraId="6615EB99" w14:textId="17B05AC3" w:rsidR="00075358" w:rsidRPr="00F15FB2" w:rsidRDefault="00075358"><w:pPr><w:rPr><w:rFonts w:ascii="Calibri" w:hAnsi="Calibri" w:cs="Calibri"/><w:color w:val="000000" w:themeColor="text1"/></w:rPr></w:pPr></w:p><w:p w14:paraId="5850EFDE" w14:textId="77777777" w:rsidR="0005455D" w:rsidRDefault="006F4BB0"><w:pPr><w:pStyle w:val="FirstParagraph"/><w:rPr><w:rFonts w:ascii="Calibri" w:hAnsi="Calibri" w:cs="Calibri"/><w:color w:val="000000" w:themeColor="text1"/></w:rPr></w:pPr><w:bookmarkStart w:id="10" w:name="figures-and-legends"/><w:bookmarkEnd w:id="9"/><w:r w:rsidRPr="00F15FB2"><w:rPr><w:rFonts w:ascii="Calibri" w:hAnsi="Calibri" w:cs="Calibri"/><w:noProof/><w:color w:val="000000" w:themeColor="text1"/></w:rPr><w:lastRenderedPageBreak/><w:drawing><wp:inline distT="0" distB="0" distL="0" distR="0" wp14:anchorId="326B1015" wp14:editId="0C9E8DC2"><wp:extent cx="4863830" cy="8370543"/><wp:effectExtent l="0" t="0" r="0" b="0"/><wp:docPr id="15" name="Picture" descr="Combined Historical Analysis"/><wp:cNvGraphicFramePr/><a:graphic xmlns:a="http://schemas.openxmlformats.org/drawingml/2006/main"><a:graphicData uri="http://schemas.openxmlformats.org/drawingml/2006/picture"><pic:pic xmlns:pic="http://schemas.openxmlformats.org/drawingml/2006/picture"><pic:nvPicPr><pic:cNvPr id="16" name="Picture" descr="/Users/jasonandrews/.gemini/antigravity/brain/26e83a96-4a63-4226-94fe-627b326b4048/artifacts/combined_historical_analysis_1778877200.png"/><pic:cNvPicPr><a:picLocks noChangeAspect="1" noChangeArrowheads="1"/></pic:cNvPicPr></pic:nvPicPr><pic:blipFill><a:blip r:embed="rId9"/><a:stretch><a:fillRect/></a:stretch></pic:blipFill><pic:spPr bwMode="auto"><a:xfrm><a:off x="0" y="0"/><a:ext cx="4922706" cy="8471868"/></a:xfrm><a:prstGeom prst="rect"><a:avLst/></a:prstGeom><a:noFill/><a:ln w="9525"><a:noFill/><a:headEnd/><a:tailEnd/></a:ln></pic:spPr></pic:pic></a:graphicData></a:graphic></wp:inline></w:drawing></w:r><w:r w:rsidRPr="00F15FB2"><w:rPr><w:rFonts w:ascii="Calibri" w:hAnsi="Calibri" w:cs="Calibri"/><w:color w:val="000000" w:themeColor="text1"/></w:rPr><w:t xml:space="preserve"> </w:t></w:r></w:p><w:p w14:paraId="71D94937" w14:textId="39B10D1D" w:rsidR="00075358" w:rsidRPr="00F15FB2" w:rsidRDefault="006F4BB0"><w:pPr><w:pStyle w:val="FirstParagraph"/><w:rPr><w:rFonts w:ascii="Calibri" w:hAnsi="Calibri" w:cs="Calibri"/><w:color w:val="000000" w:themeColor="text1"/></w:rPr></w:pPr><w:r w:rsidRPr="00F15FB2"><w:rPr><w:rFonts w:ascii="Calibri" w:hAnsi="Calibri" w:cs="Calibri"/><w:b/><w:bCs/><w:color w:val="000000" w:themeColor="text1"/></w:rPr><w:lastRenderedPageBreak/><w:t>Figure 1. Synthesized Transmission Dynamics of Andes Virus.</w:t></w:r><w:r w:rsidRPr="00F15FB2"><w:rPr><w:rFonts w:ascii="Calibri" w:hAnsi="Calibri" w:cs="Calibri"/><w:color w:val="000000" w:themeColor="text1"/></w:rPr><w:t xml:space="preserve"> (A) Comparative incubation dynamics showing overlaid lognormal probability density functions of the human-to-human incubation period (median 20.1 days, derived via MLE) against the established environmental exposure period (median 18.5 days; Vial et al., 2006). (B) Infectiousness profile relative to symptom onset, deconvoluted from the 1996 El Bolsón serial intervals, illustrating approximately 24% presymptomatic shedding. (C) Negative binomial regression fit to the empirical offspring distribution (1996 and 2018 combined data), revealing extreme transmission heterogeneity (</w:t></w:r><m:oMath><m:sSub><m:sSubPr><m:ctrlPr><w:rPr><w:rFonts w:ascii="Cambria Math" w:hAnsi="Cambria Math" w:cs="Calibri"/><w:color w:val="000000" w:themeColor="text1"/></w:rPr></m:ctrlPr></m:sSubPr><m:e><m:r><w:rPr><w:rFonts w:ascii="Cambria Math" w:hAnsi="Cambria Math" w:cs="Calibri"/><w:color w:val="000000" w:themeColor="text1"/></w:rPr><m:t>R</m:t></m:r></m:e><m:sub><m:r><w:rPr><w:rFonts w:ascii="Cambria Math" w:hAnsi="Cambria Math" w:cs="Calibri"/><w:color w:val="000000" w:themeColor="text1"/></w:rPr><m:t>0</m:t></m:r></m:sub></m:sSub><m:r><m:rPr><m:sty m:val="p"/></m:rPr><w:rPr><w:rFonts w:ascii="Cambria Math" w:hAnsi="Cambria Math" w:cs="Calibri"/><w:color w:val="000000" w:themeColor="text1"/></w:rPr><m:t>=</m:t></m:r><m:r><w:rPr><w:rFonts w:ascii="Cambria Math" w:hAnsi="Cambria Math" w:cs="Calibri"/><w:color w:val="000000" w:themeColor="text1"/></w:rPr><m:t>0.96</m:t></m:r></m:oMath><w:r w:rsidRPr="00F15FB2"><w:rPr><w:rFonts w:ascii="Calibri" w:hAnsi="Calibri" w:cs="Calibri"/><w:color w:val="000000" w:themeColor="text1"/></w:rPr><w:t xml:space="preserve">, </w:t></w:r><m:oMath><m:r><w:rPr><w:rFonts w:ascii="Cambria Math" w:hAnsi="Cambria Math" w:cs="Calibri"/><w:color w:val="000000" w:themeColor="text1"/></w:rPr><m:t>k</m:t></m:r><m:r><m:rPr><m:sty m:val="p"/></m:rPr><w:rPr><w:rFonts w:ascii="Cambria Math" w:hAnsi="Cambria Math" w:cs="Calibri"/><w:color w:val="000000" w:themeColor="text1"/></w:rPr><m:t>=</m:t></m:r><m:r><w:rPr><w:rFonts w:ascii="Cambria Math" w:hAnsi="Cambria Math" w:cs="Calibri"/><w:color w:val="000000" w:themeColor="text1"/></w:rPr><m:t>0.23</m:t></m:r></m:oMath><w:r w:rsidRPr="00F15FB2"><w:rPr><w:rFonts w:ascii="Calibri" w:hAnsi="Calibri" w:cs="Calibri"/><w:color w:val="000000" w:themeColor="text1"/></w:rPr><w:t>).</w:t></w:r></w:p><w:p w14:paraId="37DAA6DC" w14:textId="188BEFBA" w:rsidR="00075358" w:rsidRPr="00F15FB2" w:rsidRDefault="00075358"><w:pPr><w:rPr><w:rFonts w:ascii="Calibri" w:hAnsi="Calibri" w:cs="Calibri"/><w:color w:val="000000" w:themeColor="text1"/></w:rPr></w:pPr></w:p><w:p w14:paraId="30F837E2" w14:textId="77777777" w:rsidR="006B70A6" w:rsidRDefault="006B70A6"><w:pPr><w:rPr><w:rFonts w:ascii="Calibri" w:eastAsiaTheme="majorEastAsia" w:hAnsi="Calibri" w:cs="Calibri"/><w:b/><w:bCs/><w:color w:val="000000" w:themeColor="text1"/></w:rPr></w:pPr><w:bookmarkStart w:id="11" w:name="supplementary-appendices"/><w:bookmarkEnd w:id="0"/><w:bookmarkEnd w:id="10"/><w:r><w:rPr><w:rFonts w:ascii="Calibri" w:hAnsi="Calibri" w:cs="Calibri"/><w:b/><w:bCs/><w:color w:val="000000" w:themeColor="text1"/></w:rPr><w:br w:type="page"/></w:r></w:p><w:p w14:paraId="5A4024B4" w14:textId="6B6C3348" w:rsidR="00075358" w:rsidRPr="0072495F" w:rsidRDefault="006F4BB0"><w:pPr><w:pStyle w:val="Heading1"/><w:rPr><w:rFonts w:ascii="Calibri" w:hAnsi="Calibri" w:cs="Calibri"/><w:b/><w:bCs/><w:color w:val="000000" w:themeColor="text1"/><w:sz w:val="24"/><w:szCs w:val="24"/></w:rPr></w:pPr><w:r w:rsidRPr="0072495F"><w:rPr><w:rFonts w:ascii="Calibri" w:hAnsi="Calibri" w:cs="Calibri"/><w:b/><w:bCs/><w:color w:val="000000" w:themeColor="text1"/><w:sz w:val="24"/><w:szCs w:val="24"/></w:rPr><w:lastRenderedPageBreak/><w:t>Supplementary Appendices</w:t></w:r></w:p><w:p w14:paraId="69CD04F9" w14:textId="33AD5441" w:rsidR="00075358" w:rsidRPr="006B70A6" w:rsidRDefault="006F4BB0"><w:pPr><w:pStyle w:val="Heading2"/><w:rPr><w:rFonts w:ascii="Calibri" w:hAnsi="Calibri" w:cs="Calibri"/><w:b/><w:bCs/><w:color w:val="000000" w:themeColor="text1"/><w:sz w:val="24"/><w:szCs w:val="24"/></w:rPr></w:pPr><w:bookmarkStart w:id="12" w:name="Xe536cde35c1e33aa0946ff7d626dcf93c8e3a7d"/><w:r w:rsidRPr="006B70A6"><w:rPr><w:rFonts w:ascii="Calibri" w:hAnsi="Calibri" w:cs="Calibri"/><w:b/><w:bCs/><w:color w:val="000000" w:themeColor="text1"/><w:sz w:val="24"/><w:szCs w:val="24"/></w:rPr><w:t>Empirical Timeline of the MV Hondius Outbreak</w:t></w:r></w:p><w:p w14:paraId="7944C0C3" w14:textId="59AF7927" w:rsidR="00075358" w:rsidRPr="00F15FB2" w:rsidRDefault="006F4BB0"><w:pPr><w:pStyle w:val="FirstParagraph"/><w:rPr><w:rFonts w:ascii="Calibri" w:hAnsi="Calibri" w:cs="Calibri"/><w:color w:val="000000" w:themeColor="text1"/></w:rPr></w:pPr><w:r w:rsidRPr="00F15FB2"><w:rPr><w:rFonts w:ascii="Calibri" w:hAnsi="Calibri" w:cs="Calibri"/><w:color w:val="000000" w:themeColor="text1"/></w:rPr><w:t>We reconstructed the empirical patient-level timeline of the outbreak</w:t></w:r><w:r w:rsidR="00E41B25"><w:rPr><w:rFonts w:ascii="Calibri" w:hAnsi="Calibri" w:cs="Calibri"/><w:color w:val="000000" w:themeColor="text1"/></w:rPr><w:t xml:space="preserve"> as of May 15, 2026</w:t></w:r><w:r w:rsidRPr="00F15FB2"><w:rPr><w:rFonts w:ascii="Calibri" w:hAnsi="Calibri" w:cs="Calibri"/><w:color w:val="000000" w:themeColor="text1"/></w:rPr><w:t xml:space="preserve"> using notification data from the World Health Organization. The visualization strictly adheres to reported milestones, documenting the duration of exposure on the vessel, clinical symptom onset, and dates of death for the primary and secondary clusters, highlighting the rapid clinical deterioration of the initial three cases prior to and during the initial May 2nd notification.</w:t></w:r></w:p><w:p w14:paraId="5DA3DFCA" w14:textId="77777777" w:rsidR="00075358" w:rsidRPr="00F15FB2" w:rsidRDefault="006F4BB0"><w:pPr><w:pStyle w:val="BodyText"/><w:rPr><w:rFonts w:ascii="Calibri" w:hAnsi="Calibri" w:cs="Calibri"/><w:color w:val="000000" w:themeColor="text1"/></w:rPr></w:pPr><w:r w:rsidRPr="00F15FB2"><w:rPr><w:rFonts w:ascii="Calibri" w:hAnsi="Calibri" w:cs="Calibri"/><w:noProof/><w:color w:val="000000" w:themeColor="text1"/></w:rPr><w:drawing><wp:inline distT="0" distB="0" distL="0" distR="0" wp14:anchorId="0144247D" wp14:editId="2E38758D"><wp:extent cx="5334000" cy="3347722"/><wp:effectExtent l="0" t="0" r="0" b="0"/><wp:docPr id="20" name="Picture" descr="Empirical Timeline"/><wp:cNvGraphicFramePr/><a:graphic xmlns:a="http://schemas.openxmlformats.org/drawingml/2006/main"><a:graphicData uri="http://schemas.openxmlformats.org/drawingml/2006/picture"><pic:pic xmlns:pic="http://schemas.openxmlformats.org/drawingml/2006/picture"><pic:nvPicPr><pic:cNvPr id="21" name="Picture" descr="/Users/jasonandrews/.gemini/antigravity/brain/26e83a96-4a63-4226-94fe-627b326b4048/artifacts/hondius_patient_timeline_1778878820.png"/><pic:cNvPicPr><a:picLocks noChangeAspect="1" noChangeArrowheads="1"/></pic:cNvPicPr></pic:nvPicPr><pic:blipFill><a:blip r:embed="rId10"/><a:stretch><a:fillRect/></a:stretch></pic:blipFill><pic:spPr bwMode="auto"><a:xfrm><a:off x="0" y="0"/><a:ext cx="5334000" cy="3347722"/></a:xfrm><a:prstGeom prst="rect"><a:avLst/></a:prstGeom><a:noFill/><a:ln w="9525"><a:noFill/><a:headEnd/><a:tailEnd/></a:ln></pic:spPr></pic:pic></a:graphicData></a:graphic></wp:inline></w:drawing></w:r><w:r w:rsidRPr="00F15FB2"><w:rPr><w:rFonts w:ascii="Calibri" w:hAnsi="Calibri" w:cs="Calibri"/><w:color w:val="000000" w:themeColor="text1"/></w:rPr><w:t xml:space="preserve"> </w:t></w:r><w:r w:rsidRPr="00F15FB2"><w:rPr><w:rFonts w:ascii="Calibri" w:hAnsi="Calibri" w:cs="Calibri"/><w:b/><w:bCs/><w:color w:val="000000" w:themeColor="text1"/></w:rPr><w:t>Supplementary Figure S1. Patient-Level Timeline of the MV Hondius Andes Virus Outbreak.</w:t></w:r><w:r w:rsidRPr="00F15FB2"><w:rPr><w:rFonts w:ascii="Calibri" w:hAnsi="Calibri" w:cs="Calibri"/><w:color w:val="000000" w:themeColor="text1"/></w:rPr><w:t xml:space="preserve"> Gantt chart illustrating the time spent on the vessel by the 11 identified cases, ending in specific reported events (death, critical illness medevac, symptom onset, or testing).</w:t></w:r></w:p><w:p w14:paraId="72CD383F" w14:textId="0B405037" w:rsidR="00075358" w:rsidRPr="00BD7EC8" w:rsidRDefault="006F4BB0"><w:pPr><w:pStyle w:val="Heading2"/><w:rPr><w:rFonts w:ascii="Calibri" w:hAnsi="Calibri" w:cs="Calibri"/><w:b/><w:bCs/><w:color w:val="000000" w:themeColor="text1"/><w:sz w:val="24"/><w:szCs w:val="24"/></w:rPr></w:pPr><w:bookmarkStart w:id="13" w:name="X6dadb0cfcccd537fb3c1039059a04313178fd6a"/><w:bookmarkEnd w:id="12"/><w:r w:rsidRPr="00BD7EC8"><w:rPr><w:rFonts w:ascii="Calibri" w:hAnsi="Calibri" w:cs="Calibri"/><w:b/><w:bCs/><w:color w:val="000000" w:themeColor="text1"/><w:sz w:val="24"/><w:szCs w:val="24"/></w:rPr><w:t>Stochastic Extinction Simulation</w:t></w:r></w:p><w:p w14:paraId="45F3D05B" w14:textId="63952AF7" w:rsidR="00075358" w:rsidRPr="00F15FB2" w:rsidRDefault="006F4BB0"><w:pPr><w:pStyle w:val="FirstParagraph"/><w:rPr><w:rFonts w:ascii="Calibri" w:hAnsi="Calibri" w:cs="Calibri"/><w:color w:val="000000" w:themeColor="text1"/></w:rPr></w:pPr><w:r w:rsidRPr="00F15FB2"><w:rPr><w:rFonts w:ascii="Calibri" w:hAnsi="Calibri" w:cs="Calibri"/><w:color w:val="000000" w:themeColor="text1"/></w:rPr><w:t>We executed a branching process simulation utilizing the empirical transmission parameters (</w:t></w:r><m:oMath><m:sSub><m:sSubPr><m:ctrlPr><w:rPr><w:rFonts w:ascii="Cambria Math" w:hAnsi="Cambria Math" w:cs="Calibri"/><w:color w:val="000000" w:themeColor="text1"/></w:rPr></m:ctrlPr></m:sSubPr><m:e><m:r><w:rPr><w:rFonts w:ascii="Cambria Math" w:hAnsi="Cambria Math" w:cs="Calibri"/><w:color w:val="000000" w:themeColor="text1"/></w:rPr><m:t>R</m:t></m:r></m:e><m:sub><m:r><w:rPr><w:rFonts w:ascii="Cambria Math" w:hAnsi="Cambria Math" w:cs="Calibri"/><w:color w:val="000000" w:themeColor="text1"/></w:rPr><m:t>0</m:t></m:r></m:sub></m:sSub><m:r><m:rPr><m:sty m:val="p"/></m:rPr><w:rPr><w:rFonts w:ascii="Cambria Math" w:hAnsi="Cambria Math" w:cs="Calibri"/><w:color w:val="000000" w:themeColor="text1"/></w:rPr><m:t>=</m:t></m:r><m:r><w:rPr><w:rFonts w:ascii="Cambria Math" w:hAnsi="Cambria Math" w:cs="Calibri"/><w:color w:val="000000" w:themeColor="text1"/></w:rPr><m:t>0.96</m:t></m:r></m:oMath><w:r w:rsidRPr="00F15FB2"><w:rPr><w:rFonts w:ascii="Calibri" w:hAnsi="Calibri" w:cs="Calibri"/><w:color w:val="000000" w:themeColor="text1"/></w:rPr><w:t xml:space="preserve">, </w:t></w:r><m:oMath><m:r><w:rPr><w:rFonts w:ascii="Cambria Math" w:hAnsi="Cambria Math" w:cs="Calibri"/><w:color w:val="000000" w:themeColor="text1"/></w:rPr><m:t>k</m:t></m:r><m:r><m:rPr><m:sty m:val="p"/></m:rPr><w:rPr><w:rFonts w:ascii="Cambria Math" w:hAnsi="Cambria Math" w:cs="Calibri"/><w:color w:val="000000" w:themeColor="text1"/></w:rPr><m:t>=</m:t></m:r><m:r><w:rPr><w:rFonts w:ascii="Cambria Math" w:hAnsi="Cambria Math" w:cs="Calibri"/><w:color w:val="000000" w:themeColor="text1"/></w:rPr><m:t>0.23</m:t></m:r></m:oMath><w:r w:rsidRPr="00F15FB2"><w:rPr><w:rFonts w:ascii="Calibri" w:hAnsi="Calibri" w:cs="Calibri"/><w:color w:val="000000" w:themeColor="text1"/></w:rPr><w:t xml:space="preserve">) to model 50,000 theoretical virus introductions. The resulting raincloud plot demonstrates the paradox of the dispersion parameter: while the probability of stochastic extinction at the index case is elevated compared to homogenous pathogens, outbreaks that survive the first generation occasionally </w:t></w:r><w:r w:rsidR="009D4B8C"><w:rPr><w:rFonts w:ascii="Calibri" w:hAnsi="Calibri" w:cs="Calibri"/><w:color w:val="000000" w:themeColor="text1"/></w:rPr><w:t>result in a large</w:t></w:r><w:r w:rsidR="002D4A63"><w:rPr><w:rFonts w:ascii="Calibri" w:hAnsi="Calibri" w:cs="Calibri"/><w:color w:val="000000" w:themeColor="text1"/></w:rPr><w:t xml:space="preserve"> </w:t></w:r><w:r w:rsidR="00D94E63"><w:rPr><w:rFonts w:ascii="Calibri" w:hAnsi="Calibri" w:cs="Calibri"/><w:color w:val="000000" w:themeColor="text1"/></w:rPr><w:t>numbers of cases.</w:t></w:r></w:p><w:p w14:paraId="358D1C7C" w14:textId="77777777" w:rsidR="00075358" w:rsidRPr="00F15FB2" w:rsidRDefault="006F4BB0"><w:pPr><w:pStyle w:val="BodyText"/><w:rPr><w:rFonts w:ascii="Calibri" w:hAnsi="Calibri" w:cs="Calibri"/><w:color w:val="000000" w:themeColor="text1"/></w:rPr></w:pPr><w:r w:rsidRPr="00F15FB2"><w:rPr><w:rFonts w:ascii="Calibri" w:hAnsi="Calibri" w:cs="Calibri"/><w:noProof/><w:color w:val="000000" w:themeColor="text1"/></w:rPr><w:lastRenderedPageBreak/><w:drawing><wp:inline distT="0" distB="0" distL="0" distR="0" wp14:anchorId="47026728" wp14:editId="423C5311"><wp:extent cx="5334000" cy="3177396"/><wp:effectExtent l="0" t="0" r="0" b="0"/><wp:docPr id="24" name="Picture" descr="Stochastic Extinction Simulation"/><wp:cNvGraphicFramePr/><a:graphic xmlns:a="http://schemas.openxmlformats.org/drawingml/2006/main"><a:graphicData uri="http://schemas.openxmlformats.org/drawingml/2006/picture"><pic:pic xmlns:pic="http://schemas.openxmlformats.org/drawingml/2006/picture"><pic:nvPicPr><pic:cNvPr id="25" name="Picture" descr="/Users/jasonandrews/.gemini/antigravity/brain/26e83a96-4a63-4226-94fe-627b326b4048/artifacts/appendix_stochastic_extinction_raincloud_1778877199.png"/><pic:cNvPicPr><a:picLocks noChangeAspect="1" noChangeArrowheads="1"/></pic:cNvPicPr></pic:nvPicPr><pic:blipFill><a:blip r:embed="rId11"/><a:stretch><a:fillRect/></a:stretch></pic:blipFill><pic:spPr bwMode="auto"><a:xfrm><a:off x="0" y="0"/><a:ext cx="5334000" cy="3177396"/></a:xfrm><a:prstGeom prst="rect"><a:avLst/></a:prstGeom><a:noFill/><a:ln w="9525"><a:noFill/><a:headEnd/><a:tailEnd/></a:ln></pic:spPr></pic:pic></a:graphicData></a:graphic></wp:inline></w:drawing></w:r><w:r w:rsidRPr="00F15FB2"><w:rPr><w:rFonts w:ascii="Calibri" w:hAnsi="Calibri" w:cs="Calibri"/><w:color w:val="000000" w:themeColor="text1"/></w:rPr><w:t xml:space="preserve"> </w:t></w:r><w:r w:rsidRPr="00F15FB2"><w:rPr><w:rFonts w:ascii="Calibri" w:hAnsi="Calibri" w:cs="Calibri"/><w:b/><w:bCs/><w:color w:val="000000" w:themeColor="text1"/></w:rPr><w:t>Supplementary Figure S2. Outbreak Size Probability Density.</w:t></w:r><w:r w:rsidRPr="00F15FB2"><w:rPr><w:rFonts w:ascii="Calibri" w:hAnsi="Calibri" w:cs="Calibri"/><w:color w:val="000000" w:themeColor="text1"/></w:rPr><w:t xml:space="preserve"> Raincloud plot (log-scaled KDE, jittered raw iterations, and boxplot) representing the total outbreak sizes over 50,000 simulated generations. The explicit log-scale x-axis highlights extreme long-tail clustering events.</w:t></w:r></w:p><w:p w14:paraId="018A8A55" w14:textId="1DAD4ED9" w:rsidR="00075358" w:rsidRPr="00556C04" w:rsidRDefault="006F4BB0"><w:pPr><w:pStyle w:val="Heading2"/><w:rPr><w:rFonts w:ascii="Calibri" w:hAnsi="Calibri" w:cs="Calibri"/><w:b/><w:bCs/><w:color w:val="000000" w:themeColor="text1"/><w:sz w:val="24"/><w:szCs w:val="24"/></w:rPr></w:pPr><w:bookmarkStart w:id="14" w:name="appendix-c-demographic-stratification"/><w:bookmarkEnd w:id="13"/><w:r w:rsidRPr="00556C04"><w:rPr><w:rFonts w:ascii="Calibri" w:hAnsi="Calibri" w:cs="Calibri"/><w:b/><w:bCs/><w:color w:val="000000" w:themeColor="text1"/><w:sz w:val="24"/><w:szCs w:val="24"/></w:rPr><w:t>Demographic Stratification</w:t></w:r></w:p><w:p w14:paraId="3AE984B8" w14:textId="77777777" w:rsidR="00075358" w:rsidRPr="00F15FB2" w:rsidRDefault="006F4BB0"><w:pPr><w:pStyle w:val="FirstParagraph"/><w:rPr><w:rFonts w:ascii="Calibri" w:hAnsi="Calibri" w:cs="Calibri"/><w:color w:val="000000" w:themeColor="text1"/></w:rPr></w:pPr><w:r w:rsidRPr="00F15FB2"><w:rPr><w:rFonts w:ascii="Calibri" w:hAnsi="Calibri" w:cs="Calibri"/><w:color w:val="000000" w:themeColor="text1"/></w:rPr><w:t>Analysis of the 2018 Epuyén line list mapped patient age against individual reproduction numbers. Infectiousness did not linearly correlate with age; rather, superspreading was bound to high-risk social behavioral events (e.g., attending specific indoor gatherings while infectious).</w:t></w:r></w:p><w:p w14:paraId="2B955645" w14:textId="77777777" w:rsidR="00075358" w:rsidRPr="00F15FB2" w:rsidRDefault="006F4BB0"><w:pPr><w:pStyle w:val="BodyText"/><w:rPr><w:rFonts w:ascii="Calibri" w:hAnsi="Calibri" w:cs="Calibri"/><w:color w:val="000000" w:themeColor="text1"/></w:rPr></w:pPr><w:r w:rsidRPr="00F15FB2"><w:rPr><w:rFonts w:ascii="Calibri" w:hAnsi="Calibri" w:cs="Calibri"/><w:noProof/><w:color w:val="000000" w:themeColor="text1"/></w:rPr><w:lastRenderedPageBreak/><w:drawing><wp:inline distT="0" distB="0" distL="0" distR="0" wp14:anchorId="1F4B9A21" wp14:editId="3264AD7E"><wp:extent cx="5334000" cy="3810000"/><wp:effectExtent l="0" t="0" r="0" b="0"/><wp:docPr id="28" name="Picture" descr="Demographic Infectiousness"/><wp:cNvGraphicFramePr/><a:graphic xmlns:a="http://schemas.openxmlformats.org/drawingml/2006/main"><a:graphicData uri="http://schemas.openxmlformats.org/drawingml/2006/picture"><pic:pic xmlns:pic="http://schemas.openxmlformats.org/drawingml/2006/picture"><pic:nvPicPr><pic:cNvPr id="29" name="Picture" descr="/Users/jasonandrews/.gemini/antigravity/brain/26e83a96-4a63-4226-94fe-627b326b4048/artifacts/appendix_demographics_1778877198.png"/><pic:cNvPicPr><a:picLocks noChangeAspect="1" noChangeArrowheads="1"/></pic:cNvPicPr></pic:nvPicPr><pic:blipFill><a:blip r:embed="rId12"/><a:stretch><a:fillRect/></a:stretch></pic:blipFill><pic:spPr bwMode="auto"><a:xfrm><a:off x="0" y="0"/><a:ext cx="5334000" cy="3810000"/></a:xfrm><a:prstGeom prst="rect"><a:avLst/></a:prstGeom><a:noFill/><a:ln w="9525"><a:noFill/><a:headEnd/><a:tailEnd/></a:ln></pic:spPr></pic:pic></a:graphicData></a:graphic></wp:inline></w:drawing></w:r><w:r w:rsidRPr="00F15FB2"><w:rPr><w:rFonts w:ascii="Calibri" w:hAnsi="Calibri" w:cs="Calibri"/><w:color w:val="000000" w:themeColor="text1"/></w:rPr><w:t xml:space="preserve"> </w:t></w:r><w:r w:rsidRPr="00F15FB2"><w:rPr><w:rFonts w:ascii="Calibri" w:hAnsi="Calibri" w:cs="Calibri"/><w:b/><w:bCs/><w:color w:val="000000" w:themeColor="text1"/></w:rPr><w:t>Supplementary Figure S3. Demographic Infectiousness Profiles.</w:t></w:r><w:r w:rsidRPr="00F15FB2"><w:rPr><w:rFonts w:ascii="Calibri" w:hAnsi="Calibri" w:cs="Calibri"/><w:color w:val="000000" w:themeColor="text1"/></w:rPr><w:t xml:space="preserve"> Scatter plot mapping the age of index cases against their respective number of secondary infections in the 2018 Epuyén outbreak.</w:t></w:r><w:bookmarkEnd w:id="11"/><w:bookmarkEnd w:id="14"/></w:p><w:sectPr w:rsidR="00075358" w:rsidRPr="00F15FB2"><w:footnotePr><w:numRestart w:val="eachSect"/></w:footnotePr><w:pgSz w:w="12240" w:h="15840"/><w:pgMar w:top="1440" w:right="1440" w:bottom="1440" w:left="1440" w:header="720" w:footer="720" w:gutter="0"/><w:cols w:space="720"/></w:sectPr></w:body></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Jason Andrews" w:date="2026-05-15T17:15:00Z" w:initials="JA">
    <w:p w14:paraId="0AC064CB" w14:textId="77777777" w:rsidR="001312B7" w:rsidRDefault="00C22DFD" w:rsidP="001312B7">
      <w:r>
        <w:rPr>
          <w:rStyle w:val="CommentReference"/>
        </w:rPr>
        <w:annotationRef/>
      </w:r>
      <w:r w:rsidR="001312B7">
        <w:rPr>
          <w:sz w:val="20"/>
          <w:szCs w:val="20"/>
        </w:rPr>
        <w:t>add Isaac's contact info here</w:t>
      </w:r>
    </w:p>
  </w:comment>
  <w:comment w:id="4" w:author="Jason Andrews" w:date="2026-05-15T17:33:00Z" w:initials="JA">
    <w:p w14:paraId="745B934D" w14:textId="77777777" w:rsidR="005B3E8E" w:rsidRDefault="001312B7" w:rsidP="005B3E8E">
      <w:r>
        <w:rPr>
          <w:rStyle w:val="CommentReference"/>
        </w:rPr>
        <w:annotationRef/>
      </w:r>
      <w:r w:rsidR="005B3E8E">
        <w:rPr>
          <w:sz w:val="20"/>
          <w:szCs w:val="20"/>
        </w:rPr>
        <w:t>gemini, we need to add info about the environmental rodent-to-human data that we obtained here.</w:t>
      </w:r>
    </w:p>
  </w:comment>
  <w:comment w:id="6" w:author="Jason Andrews" w:date="2026-05-15T17:54:00Z" w:initials="JA">
    <w:p w14:paraId="3EAD4C54" w14:textId="39086C91" w:rsidR="005B3E8E" w:rsidRDefault="00734BBD" w:rsidP="005B3E8E">
      <w:r>
        <w:rPr>
          <w:rStyle w:val="CommentReference"/>
        </w:rPr>
        <w:annotationRef/>
      </w:r>
      <w:r w:rsidR="005B3E8E">
        <w:rPr>
          <w:sz w:val="20"/>
          <w:szCs w:val="20"/>
        </w:rPr>
        <w:t>gemini, how is this consistent with the 78.5% number below? and i thought it was supposed to be 68.5%?</w:t>
      </w:r>
    </w:p>
  </w:comment>
  <w:comment w:id="8" w:author="Jason Andrews" w:date="2026-05-15T17:40:00Z" w:initials="JA">
    <w:p w14:paraId="12111966" w14:textId="26CFCA6E" w:rsidR="00B70590" w:rsidRDefault="00B70590" w:rsidP="00B70590">
      <w:r>
        <w:rPr>
          <w:rStyle w:val="CommentReference"/>
        </w:rPr>
        <w:annotationRef/>
      </w:r>
      <w:r>
        <w:rPr>
          <w:sz w:val="20"/>
          <w:szCs w:val="20"/>
        </w:rPr>
        <w:t>Isaac, see if you agree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AC064CB" w15:done="0"/>
  <w15:commentEx w15:paraId="745B934D" w15:done="0"/>
  <w15:commentEx w15:paraId="3EAD4C54" w15:done="0"/>
  <w15:commentEx w15:paraId="1211196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6E8185E" w16cex:dateUtc="2026-05-16T00:15:00Z"/>
  <w16cex:commentExtensible w16cex:durableId="04E6FAAB" w16cex:dateUtc="2026-05-16T00:33:00Z"/>
  <w16cex:commentExtensible w16cex:durableId="5174BC7E" w16cex:dateUtc="2026-05-16T00:54:00Z"/>
  <w16cex:commentExtensible w16cex:durableId="47008896" w16cex:dateUtc="2026-05-16T00: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AC064CB" w16cid:durableId="56E8185E"/>
  <w16cid:commentId w16cid:paraId="745B934D" w16cid:durableId="04E6FAAB"/>
  <w16cid:commentId w16cid:paraId="3EAD4C54" w16cid:durableId="5174BC7E"/>
  <w16cid:commentId w16cid:paraId="12111966" w16cid:durableId="4700889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B8437C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C186CB5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58823788"/>
    <w:multiLevelType w:val="hybridMultilevel"/>
    <w:tmpl w:val="3F2270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7A932C0F"/>
    <w:multiLevelType w:val="hybridMultilevel"/>
    <w:tmpl w:val="79E6EB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91043925">
    <w:abstractNumId w:val="0"/>
  </w:num>
  <w:num w:numId="2" w16cid:durableId="878482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52331515">
    <w:abstractNumId w:val="3"/>
  </w:num>
  <w:num w:numId="4" w16cid:durableId="109867122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son Andrews">
    <w15:presenceInfo w15:providerId="AD" w15:userId="S::jandr@stanford.edu::aaab811b-6eab-48dd-af9f-582b0fb2de8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358"/>
    <w:rsid w:val="0005455D"/>
    <w:rsid w:val="00075358"/>
    <w:rsid w:val="00076755"/>
    <w:rsid w:val="0009068C"/>
    <w:rsid w:val="000A1ABA"/>
    <w:rsid w:val="000B63DC"/>
    <w:rsid w:val="000D50AE"/>
    <w:rsid w:val="000F7FF2"/>
    <w:rsid w:val="001312B7"/>
    <w:rsid w:val="001418DB"/>
    <w:rsid w:val="001435F8"/>
    <w:rsid w:val="001A089B"/>
    <w:rsid w:val="001F6369"/>
    <w:rsid w:val="00254FCB"/>
    <w:rsid w:val="00285887"/>
    <w:rsid w:val="002D4A63"/>
    <w:rsid w:val="00313904"/>
    <w:rsid w:val="003254BD"/>
    <w:rsid w:val="00381CEE"/>
    <w:rsid w:val="003A64CC"/>
    <w:rsid w:val="003C7780"/>
    <w:rsid w:val="004027F3"/>
    <w:rsid w:val="00422D6B"/>
    <w:rsid w:val="00425B07"/>
    <w:rsid w:val="004D2D13"/>
    <w:rsid w:val="00523885"/>
    <w:rsid w:val="00545FB7"/>
    <w:rsid w:val="00556C04"/>
    <w:rsid w:val="00595079"/>
    <w:rsid w:val="005B3E8E"/>
    <w:rsid w:val="00622531"/>
    <w:rsid w:val="006B70A6"/>
    <w:rsid w:val="006F4BB0"/>
    <w:rsid w:val="00707A9B"/>
    <w:rsid w:val="0072495F"/>
    <w:rsid w:val="00734BBD"/>
    <w:rsid w:val="00745F35"/>
    <w:rsid w:val="007D740B"/>
    <w:rsid w:val="007F67CB"/>
    <w:rsid w:val="00834829"/>
    <w:rsid w:val="00880D73"/>
    <w:rsid w:val="0092471F"/>
    <w:rsid w:val="00972B1C"/>
    <w:rsid w:val="009B1252"/>
    <w:rsid w:val="009D4B8C"/>
    <w:rsid w:val="009D7AF9"/>
    <w:rsid w:val="00A05685"/>
    <w:rsid w:val="00A15A6F"/>
    <w:rsid w:val="00A94455"/>
    <w:rsid w:val="00A9629D"/>
    <w:rsid w:val="00AF15A0"/>
    <w:rsid w:val="00B3539E"/>
    <w:rsid w:val="00B70590"/>
    <w:rsid w:val="00BD7EC8"/>
    <w:rsid w:val="00C0400D"/>
    <w:rsid w:val="00C22DFD"/>
    <w:rsid w:val="00C82E72"/>
    <w:rsid w:val="00C84FB1"/>
    <w:rsid w:val="00CC1BDF"/>
    <w:rsid w:val="00CC2763"/>
    <w:rsid w:val="00CC3208"/>
    <w:rsid w:val="00CF5AB3"/>
    <w:rsid w:val="00D25A07"/>
    <w:rsid w:val="00D94E63"/>
    <w:rsid w:val="00DA5312"/>
    <w:rsid w:val="00E41B25"/>
    <w:rsid w:val="00E82F71"/>
    <w:rsid w:val="00E905ED"/>
    <w:rsid w:val="00EA3295"/>
    <w:rsid w:val="00F12C1B"/>
    <w:rsid w:val="00F15FB2"/>
    <w:rsid w:val="00F53A1D"/>
    <w:rsid w:val="00F54676"/>
    <w:rsid w:val="00F90EC3"/>
    <w:rsid w:val="00FB3A36"/>
    <w:rsid w:val="00FC70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C2E56"/>
  <w15:docId w15:val="{84CCCA63-B776-484E-8BB0-42F77E693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254FCB"/>
    <w:pPr>
      <w:spacing w:before="100" w:beforeAutospacing="1" w:after="100" w:afterAutospacing="1"/>
    </w:pPr>
    <w:rPr>
      <w:rFonts w:ascii="Times New Roman" w:eastAsia="Times New Roman" w:hAnsi="Times New Roman" w:cs="Times New Roman"/>
      <w:lang w:val="en-CA" w:eastAsia="en-US"/>
    </w:rPr>
  </w:style>
  <w:style w:type="character" w:styleId="CommentReference">
    <w:name w:val="annotation reference"/>
    <w:basedOn w:val="DefaultParagraphFont"/>
    <w:rsid w:val="00B3539E"/>
    <w:rPr>
      <w:sz w:val="16"/>
      <w:szCs w:val="16"/>
    </w:rPr>
  </w:style>
  <w:style w:type="paragraph" w:styleId="CommentText">
    <w:name w:val="annotation text"/>
    <w:basedOn w:val="Normal"/>
    <w:link w:val="CommentTextChar"/>
    <w:rsid w:val="00B3539E"/>
    <w:rPr>
      <w:sz w:val="20"/>
      <w:szCs w:val="20"/>
    </w:rPr>
  </w:style>
  <w:style w:type="character" w:customStyle="1" w:styleId="CommentTextChar">
    <w:name w:val="Comment Text Char"/>
    <w:basedOn w:val="DefaultParagraphFont"/>
    <w:link w:val="CommentText"/>
    <w:rsid w:val="00B3539E"/>
    <w:rPr>
      <w:sz w:val="20"/>
      <w:szCs w:val="20"/>
    </w:rPr>
  </w:style>
  <w:style w:type="paragraph" w:styleId="CommentSubject">
    <w:name w:val="annotation subject"/>
    <w:basedOn w:val="CommentText"/>
    <w:next w:val="CommentText"/>
    <w:link w:val="CommentSubjectChar"/>
    <w:rsid w:val="00B3539E"/>
    <w:rPr>
      <w:b/>
      <w:bCs/>
    </w:rPr>
  </w:style>
  <w:style w:type="character" w:customStyle="1" w:styleId="CommentSubjectChar">
    <w:name w:val="Comment Subject Char"/>
    <w:basedOn w:val="CommentTextChar"/>
    <w:link w:val="CommentSubject"/>
    <w:rsid w:val="00B3539E"/>
    <w:rPr>
      <w:b/>
      <w:bCs/>
      <w:sz w:val="20"/>
      <w:szCs w:val="20"/>
    </w:rPr>
  </w:style>
  <w:style w:type="paragraph" w:styleId="BalloonText">
    <w:name w:val="Balloon Text"/>
    <w:basedOn w:val="Normal"/>
    <w:link w:val="BalloonTextChar"/>
    <w:rsid w:val="001418DB"/>
    <w:pPr>
      <w:spacing w:after="0"/>
    </w:pPr>
    <w:rPr>
      <w:rFonts w:ascii="Times New Roman" w:hAnsi="Times New Roman" w:cs="Times New Roman"/>
      <w:sz w:val="18"/>
      <w:szCs w:val="18"/>
    </w:rPr>
  </w:style>
  <w:style w:type="character" w:customStyle="1" w:styleId="BalloonTextChar">
    <w:name w:val="Balloon Text Char"/>
    <w:basedOn w:val="DefaultParagraphFont"/>
    <w:link w:val="BalloonText"/>
    <w:rsid w:val="001418DB"/>
    <w:rPr>
      <w:rFonts w:ascii="Times New Roman" w:hAnsi="Times New Roman" w:cs="Times New Roman"/>
      <w:sz w:val="18"/>
      <w:szCs w:val="18"/>
    </w:rPr>
  </w:style>
  <w:style w:type="paragraph" w:styleId="ListParagraph">
    <w:name w:val="List Paragraph"/>
    <w:basedOn w:val="Normal"/>
    <w:uiPriority w:val="34"/>
    <w:qFormat/>
    <w:rsid w:val="001418DB"/>
    <w:pPr>
      <w:spacing w:after="0"/>
      <w:ind w:left="720"/>
      <w:contextualSpacing/>
    </w:pPr>
    <w:rPr>
      <w:rFonts w:ascii="Times New Roman" w:eastAsia="Times New Roman" w:hAnsi="Times New Roman" w:cs="Times New Roman"/>
      <w:lang w:val="en-CA"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8870072">
      <w:bodyDiv w:val="1"/>
      <w:marLeft w:val="0"/>
      <w:marRight w:val="0"/>
      <w:marTop w:val="0"/>
      <w:marBottom w:val="0"/>
      <w:divBdr>
        <w:top w:val="none" w:sz="0" w:space="0" w:color="auto"/>
        <w:left w:val="none" w:sz="0" w:space="0" w:color="auto"/>
        <w:bottom w:val="none" w:sz="0" w:space="0" w:color="auto"/>
        <w:right w:val="none" w:sz="0" w:space="0" w:color="auto"/>
      </w:divBdr>
    </w:div>
    <w:div w:id="152135479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5" Type="http://schemas.openxmlformats.org/officeDocument/2006/relationships/comments" Target="comment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9</Pages>
  <Words>1397</Words>
  <Characters>7967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Isaac Bogoch</dc:creator>
  <cp:keywords/>
  <cp:lastModifiedBy>Jason Andrews</cp:lastModifiedBy>
  <cp:revision>73</cp:revision>
  <dcterms:created xsi:type="dcterms:W3CDTF">2026-05-16T00:14:00Z</dcterms:created>
  <dcterms:modified xsi:type="dcterms:W3CDTF">2026-05-16T01:30:00Z</dcterms:modified>
</cp:coreProperties>
</file>