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3D05DDC7" w:rsidR="00834829" w:rsidRPr="006F4BB0" w:rsidRDefault="00834829" w:rsidP="006F4BB0">
      <w:r w:rsidRPr="006F4BB0">
        <w:rPr>
          <w:b/>
          <w:bCs/>
        </w:rPr>
        <w:t>Manuscript word count</w:t>
      </w:r>
      <w:r w:rsidRPr="006F4BB0">
        <w:t xml:space="preserve">: </w:t>
      </w:r>
      <w:r w:rsidR="006F4BB0">
        <w:t>560</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656D9360" w:rsidR="00254FCB" w:rsidRPr="006F4BB0" w:rsidRDefault="00422D6B" w:rsidP="006F4BB0">
      <w:r>
        <w:t xml:space="preserve">*Correspondence </w:t>
      </w:r>
      <w:commentRangeStart w:id="1"/>
      <w:r>
        <w:t>to</w:t>
      </w:r>
      <w:commentRangeEnd w:id="1"/>
      <w:r w:rsidR="00C22DFD">
        <w:rPr>
          <w:rStyle w:val="CommentReference"/>
          <w:sz w:val="24"/>
          <w:szCs w:val="24"/>
        </w:rPr>
        <w:commentReference w:id="1"/>
      </w:r>
      <w:r>
        <w:t xml:space="preserve">: </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51A698DA" w:rsidR="006F4BB0" w:rsidRPr="006F4BB0" w:rsidRDefault="006F4BB0" w:rsidP="006F4BB0">
      <w:bookmarkStart w:id="2" w:name="introduction"/>
      <w:r w:rsidRPr="006F4BB0">
        <w:t xml:space="preserve">A cluster of Andes virus (ANDV) </w:t>
      </w:r>
      <w:r w:rsidR="00D25A07">
        <w:t xml:space="preserve">cases </w:t>
      </w:r>
      <w:r w:rsidRPr="006F4BB0">
        <w:t xml:space="preserve">aboard the MV Hondius prompted epidemiological risk assessment. Retrospective analysis of the 1996 El Bolsón and 2018 Epuyén outbreaks identified prolonged incubation, substantial early transmission, and </w:t>
      </w:r>
      <w:commentRangeStart w:id="3"/>
      <w:r w:rsidRPr="006F4BB0">
        <w:t xml:space="preserve">superspreading potential </w:t>
      </w:r>
      <w:commentRangeEnd w:id="3"/>
      <w:r w:rsidR="00595079" w:rsidRPr="006F4BB0">
        <w:rPr>
          <w:rStyle w:val="CommentReference"/>
          <w:sz w:val="24"/>
          <w:szCs w:val="24"/>
        </w:rPr>
        <w:commentReference w:id="3"/>
      </w:r>
      <w:r w:rsidRPr="006F4BB0">
        <w:t>(k=0.23).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6E06697D"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exclusively via inhalation of aerosolized rodent excreta, the Andes orthohantavirus (ANDV) </w:t>
      </w:r>
      <w:r w:rsidR="00254FCB" w:rsidRPr="006F4BB0">
        <w:t>also has</w:t>
      </w:r>
      <w:r w:rsidRPr="006F4BB0">
        <w:t xml:space="preserve"> capacity for human-to-human transmission. Following the notification of an ANDV cluster aboard the MV Hondius cruise ship (Supplementary Figure S1), we </w:t>
      </w:r>
      <w:r w:rsidR="00523885">
        <w:t>re-</w:t>
      </w:r>
      <w:r w:rsidR="00FC7079">
        <w:t xml:space="preserve">evaluated historical data of ANDV transmission </w:t>
      </w:r>
      <w:r w:rsidRPr="006F4BB0">
        <w:t>to inform public health monitoring and intervention strategies. We utilized contact networks from the two most extensively documented historical ANDV outbreaks; the 1996 cluster in El Bolsón, Argentina (18 cases) [1], and the 2018–2019 outbreak in Epuyén, Argentina (34 cases) [2]. We define the fundamental epidemiological parameters.</w:t>
      </w:r>
    </w:p>
    <w:p w14:paraId="38382B86" w14:textId="09A8F37F" w:rsidR="00075358" w:rsidRPr="006F4BB0" w:rsidRDefault="006F4BB0" w:rsidP="006F4BB0">
      <w:bookmarkStart w:id="4" w:name="methods"/>
      <w:bookmarkEnd w:id="2"/>
      <w:r w:rsidRPr="006F4BB0">
        <w:t xml:space="preserve">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w:t>
      </w:r>
      <w:commentRangeStart w:id="5"/>
      <w:r w:rsidR="000D50AE">
        <w:t>cohort</w:t>
      </w:r>
      <w:commentRangeEnd w:id="5"/>
      <w:r w:rsidR="001312B7">
        <w:rPr>
          <w:rStyle w:val="CommentReference"/>
          <w:sz w:val="24"/>
          <w:szCs w:val="24"/>
        </w:rPr>
        <w:commentReference w:id="5"/>
      </w:r>
      <w:r w:rsidR="000D50AE">
        <w:t xml:space="preserve">. </w:t>
      </w:r>
      <w:r w:rsidRPr="006F4BB0">
        <w:t>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666FC2E2" w:rsidR="00075358" w:rsidRPr="006F4BB0" w:rsidRDefault="006F4BB0" w:rsidP="006F4BB0">
      <w:bookmarkStart w:id="6" w:name="results"/>
      <w:bookmarkEnd w:id="4"/>
      <w:r w:rsidRPr="006F4BB0">
        <w:t>Interval-censored MLE demonstrated a median human-to-human incubation period of 20.1 days</w:t>
      </w:r>
      <w:r w:rsidR="00707A9B">
        <w:t xml:space="preserve"> (</w:t>
      </w:r>
      <w:commentRangeStart w:id="7"/>
      <w:r w:rsidR="00707A9B">
        <w:t>IQR XX</w:t>
      </w:r>
      <w:r w:rsidR="0092471F">
        <w:t>.</w:t>
      </w:r>
      <w:r w:rsidR="00707A9B">
        <w:t>X-YY</w:t>
      </w:r>
      <w:r w:rsidR="0092471F">
        <w:t>.</w:t>
      </w:r>
      <w:r w:rsidR="00707A9B">
        <w:t>Y</w:t>
      </w:r>
      <w:commentRangeEnd w:id="7"/>
      <w:r w:rsidR="00707A9B">
        <w:rPr>
          <w:rStyle w:val="CommentReference"/>
          <w:sz w:val="24"/>
          <w:szCs w:val="24"/>
        </w:rPr>
        <w:commentReference w:id="7"/>
      </w:r>
      <w:r w:rsidR="00707A9B">
        <w:t>)</w:t>
      </w:r>
      <w:r w:rsidRPr="006F4BB0">
        <w:t>. We conducted comparative lognormal modeling against historically established environmental (rodent-to-human) incubation periods (median 18.5 days</w:t>
      </w:r>
      <w:r w:rsidR="0092471F">
        <w:t>, IQR XX</w:t>
      </w:r>
      <w:commentRangeStart w:id="8"/>
      <w:r w:rsidR="0092471F">
        <w:t>.X-YY</w:t>
      </w:r>
      <w:commentRangeEnd w:id="8"/>
      <w:r w:rsidR="00CC1BDF">
        <w:rPr>
          <w:rStyle w:val="CommentReference"/>
          <w:sz w:val="24"/>
          <w:szCs w:val="24"/>
        </w:rPr>
        <w:commentReference w:id="8"/>
      </w:r>
      <w:r w:rsidR="0092471F">
        <w:t>.Y</w:t>
      </w:r>
      <w:r w:rsidRPr="006F4BB0">
        <w:t xml:space="preserve">) [6]. The resulting density distributions </w:t>
      </w:r>
      <w:r w:rsidR="00CC1BDF">
        <w:t xml:space="preserve">were </w:t>
      </w:r>
      <w:r w:rsidR="00285887">
        <w:t xml:space="preserve">very </w:t>
      </w:r>
      <w:r w:rsidR="00CC1BDF">
        <w:t>similar</w:t>
      </w:r>
      <w:r w:rsidRPr="006F4BB0">
        <w:t xml:space="preserve"> (Figure 1A), </w:t>
      </w:r>
      <w:r w:rsidR="00313904">
        <w:t>demonstrating</w:t>
      </w:r>
      <w:r w:rsidRPr="006F4BB0">
        <w:t xml:space="preserve"> that the prolonged incubation period is intrinsic to ANDV pathogenesis</w:t>
      </w:r>
      <w:r w:rsidR="001435F8">
        <w:t xml:space="preserve"> and not specific to exposure route</w:t>
      </w:r>
      <w:r w:rsidRPr="006F4BB0">
        <w:t>.</w:t>
      </w:r>
      <w:r w:rsidR="003A64CC">
        <w:t xml:space="preserve"> </w:t>
      </w:r>
      <w:r w:rsidRPr="006F4BB0">
        <w:t xml:space="preserve">Analysis of the empirical generation time curves revealed that approximately 24% of transmission occurs during </w:t>
      </w:r>
      <w:r w:rsidR="00B3539E" w:rsidRPr="006F4BB0">
        <w:t>a</w:t>
      </w:r>
      <w:r w:rsidRPr="006F4BB0">
        <w:t xml:space="preserve"> presymptomatic</w:t>
      </w:r>
      <w:r w:rsidR="00B3539E" w:rsidRPr="006F4BB0">
        <w:t>, subclinical,</w:t>
      </w:r>
      <w:r w:rsidRPr="006F4BB0">
        <w:t xml:space="preserve"> or early prodromal phase, prior to the onset of severe febrile illness (Figure 1B).</w:t>
      </w:r>
    </w:p>
    <w:p w14:paraId="2C76A4CE" w14:textId="0E0DA509" w:rsidR="00075358" w:rsidRPr="006F4BB0" w:rsidRDefault="006F4BB0" w:rsidP="006F4BB0">
      <w:r w:rsidRPr="006F4BB0">
        <w:t xml:space="preserve">Negative binomial regression on the combined empirical offspring distribution yielded an overall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of 0.96, but low dispersion parameter (</w:t>
      </w:r>
      <m:oMath>
        <m:r>
          <w:rPr>
            <w:rFonts w:ascii="Cambria Math" w:hAnsi="Cambria Math"/>
          </w:rPr>
          <m:t>k</m:t>
        </m:r>
      </m:oMath>
      <w:r w:rsidRPr="006F4BB0">
        <w:t>) of 0.23 (Figure 1C)</w:t>
      </w:r>
      <w:r w:rsidR="00B3539E" w:rsidRPr="006F4BB0">
        <w:t xml:space="preserve">, suggestive of </w:t>
      </w:r>
      <w:r w:rsidRPr="006F4BB0">
        <w:t>superspreading dynamics [5]. The majority of infected individuals (</w:t>
      </w:r>
      <w:r w:rsidR="00B3539E" w:rsidRPr="006F4BB0">
        <w:t>&gt;8</w:t>
      </w:r>
      <w:r w:rsidRPr="006F4BB0">
        <w:t xml:space="preserve">0%) generated zero </w:t>
      </w:r>
      <w:r w:rsidR="00B3539E" w:rsidRPr="006F4BB0">
        <w:t xml:space="preserve">or single </w:t>
      </w:r>
      <w:r w:rsidRPr="006F4BB0">
        <w:t>secondary cases, while a minority of “superspreaders” were responsible fo</w:t>
      </w:r>
      <w:r w:rsidR="00B3539E" w:rsidRPr="006F4BB0">
        <w:t>r</w:t>
      </w:r>
      <w:r w:rsidRPr="006F4BB0">
        <w:t xml:space="preserve"> multi-generational transmission chains.</w:t>
      </w:r>
    </w:p>
    <w:p w14:paraId="5E9D2F27" w14:textId="68B8BD7E" w:rsidR="00075358" w:rsidRPr="006F4BB0" w:rsidRDefault="006F4BB0" w:rsidP="006F4BB0">
      <w:r w:rsidRPr="006F4BB0">
        <w:t xml:space="preserve">Utilizing these parameters in the branching process simulation, we found that 78.5% of single-case introductions resulted in immediate stochastic extinction (generating zero secondary cases). However, outbreaks that evaded early extinction </w:t>
      </w:r>
      <w:r w:rsidR="001A089B">
        <w:t>had</w:t>
      </w:r>
      <w:r w:rsidRPr="006F4BB0">
        <w:t xml:space="preserve"> a small probability of explosive </w:t>
      </w:r>
      <w:r w:rsidR="004D2D13">
        <w:t>growth</w:t>
      </w:r>
      <w:r w:rsidRPr="006F4BB0">
        <w:t xml:space="preserve"> (Supplementary Figure S2).</w:t>
      </w:r>
    </w:p>
    <w:p w14:paraId="7EAA9202" w14:textId="6597A714" w:rsidR="00254FCB" w:rsidRPr="006F4BB0" w:rsidRDefault="00254FCB" w:rsidP="006F4BB0">
      <w:bookmarkStart w:id="9" w:name="discussion"/>
      <w:bookmarkEnd w:id="6"/>
      <w:r w:rsidRPr="006F4BB0">
        <w:lastRenderedPageBreak/>
        <w:t>These epidemiological characteristics complicate monitoring in high-density settings such as a cruise ship. A prolonged incubation period combined with 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commentRangeStart w:id="10"/>
      <w:r w:rsidR="00C82E72">
        <w:t xml:space="preserve">Forty-five day </w:t>
      </w:r>
      <w:commentRangeEnd w:id="10"/>
      <w:r w:rsidR="00B70590">
        <w:rPr>
          <w:rStyle w:val="CommentReference"/>
          <w:sz w:val="24"/>
          <w:szCs w:val="24"/>
        </w:rPr>
        <w:commentReference w:id="10"/>
      </w:r>
      <w:r w:rsidR="00C82E72">
        <w:t>q</w:t>
      </w:r>
      <w:r w:rsidR="00EA3295">
        <w:t xml:space="preserve">uarantine of exposed individuals with </w:t>
      </w:r>
      <w:r w:rsidR="00A15A6F">
        <w:t xml:space="preserve">periodic testing irrespective of symptoms </w:t>
      </w:r>
      <w:r w:rsidR="00E905ED">
        <w:t xml:space="preserve">is appropriate. </w:t>
      </w:r>
      <w:r w:rsidRPr="006F4BB0">
        <w:t>Because most infected individuals do not transmit the virus, large uncontained outbreaks are statistically unlikely. Branching process simulations show that most introductions end in rapid stochastic extinction, making exponential spread improbable despite the risk of localized superspreading events</w:t>
      </w:r>
      <w:r w:rsidR="006F4BB0" w:rsidRPr="006F4BB0">
        <w:t xml:space="preserve"> in enclosed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11" w:name="references"/>
      <w:bookmarkEnd w:id="9"/>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77777777" w:rsidR="0005455D" w:rsidRDefault="006F4BB0">
      <w:pPr>
        <w:pStyle w:val="FirstParagraph"/>
        <w:rPr>
          <w:rFonts w:ascii="Calibri" w:hAnsi="Calibri" w:cs="Calibri"/>
          <w:color w:val="000000" w:themeColor="text1"/>
        </w:rPr>
      </w:pPr>
      <w:bookmarkStart w:id="12" w:name="figures-and-legends"/>
      <w:bookmarkEnd w:id="11"/>
      <w:commentRangeStart w:id="13"/>
      <w:r w:rsidRPr="00F15FB2">
        <w:rPr>
          <w:rFonts w:ascii="Calibri" w:hAnsi="Calibri" w:cs="Calibri"/>
          <w:noProof/>
          <w:color w:val="000000" w:themeColor="text1"/>
        </w:rPr>
        <w:lastRenderedPageBreak/>
        <w:drawing>
          <wp:inline distT="0" distB="0" distL="0" distR="0" wp14:anchorId="326B1015" wp14:editId="0C9E8DC2">
            <wp:extent cx="4863830" cy="8370543"/>
            <wp:effectExtent l="0" t="0" r="0" b="0"/>
            <wp:docPr id="15" name="Picture" descr="Combined Historical Analysis"/>
            <wp:cNvGraphicFramePr/>
            <a:graphic xmlns:a="http://schemas.openxmlformats.org/drawingml/2006/main">
              <a:graphicData uri="http://schemas.openxmlformats.org/drawingml/2006/picture">
                <pic:pic xmlns:pic="http://schemas.openxmlformats.org/drawingml/2006/picture">
                  <pic:nvPicPr>
                    <pic:cNvPr id="16" name="Picture" descr="/Users/jasonandrews/.gemini/antigravity/brain/26e83a96-4a63-4226-94fe-627b326b4048/artifacts/combined_historical_analysis_1778877200.png"/>
                    <pic:cNvPicPr>
                      <a:picLocks noChangeAspect="1" noChangeArrowheads="1"/>
                    </pic:cNvPicPr>
                  </pic:nvPicPr>
                  <pic:blipFill>
                    <a:blip r:embed="rId9"/>
                    <a:stretch>
                      <a:fillRect/>
                    </a:stretch>
                  </pic:blipFill>
                  <pic:spPr bwMode="auto">
                    <a:xfrm>
                      <a:off x="0" y="0"/>
                      <a:ext cx="4922706" cy="8471868"/>
                    </a:xfrm>
                    <a:prstGeom prst="rect">
                      <a:avLst/>
                    </a:prstGeom>
                    <a:noFill/>
                    <a:ln w="9525">
                      <a:noFill/>
                      <a:headEnd/>
                      <a:tailEnd/>
                    </a:ln>
                  </pic:spPr>
                </pic:pic>
              </a:graphicData>
            </a:graphic>
          </wp:inline>
        </w:drawing>
      </w:r>
      <w:commentRangeEnd w:id="13"/>
      <w:r w:rsidR="0009068C" w:rsidRPr="00F15FB2">
        <w:rPr>
          <w:rStyle w:val="CommentReference"/>
          <w:rFonts w:ascii="Calibri" w:hAnsi="Calibri" w:cs="Calibri"/>
          <w:color w:val="000000" w:themeColor="text1"/>
          <w:sz w:val="24"/>
          <w:szCs w:val="24"/>
        </w:rPr>
        <w:commentReference w:id="13"/>
      </w:r>
      <w:r w:rsidRPr="00F15FB2">
        <w:rPr>
          <w:rFonts w:ascii="Calibri" w:hAnsi="Calibri" w:cs="Calibri"/>
          <w:color w:val="000000" w:themeColor="text1"/>
        </w:rPr>
        <w:t xml:space="preserve"> </w:t>
      </w:r>
    </w:p>
    <w:p w14:paraId="71D94937" w14:textId="39B10D1D" w:rsidR="00075358" w:rsidRPr="00F15FB2" w:rsidRDefault="006F4BB0">
      <w:pPr>
        <w:pStyle w:val="FirstParagraph"/>
        <w:rPr>
          <w:rFonts w:ascii="Calibri" w:hAnsi="Calibri" w:cs="Calibri"/>
          <w:color w:val="000000" w:themeColor="text1"/>
        </w:rPr>
      </w:pPr>
      <w:r w:rsidRPr="00F15FB2">
        <w:rPr>
          <w:rFonts w:ascii="Calibri" w:hAnsi="Calibri" w:cs="Calibri"/>
          <w:b/>
          <w:bCs/>
          <w:color w:val="000000" w:themeColor="text1"/>
        </w:rPr>
        <w:lastRenderedPageBreak/>
        <w:t>Figure 1. Synthesized Transmission Dynamics of Andes Virus.</w:t>
      </w:r>
      <w:r w:rsidRPr="00F15FB2">
        <w:rPr>
          <w:rFonts w:ascii="Calibri" w:hAnsi="Calibri" w:cs="Calibri"/>
          <w:color w:val="000000" w:themeColor="text1"/>
        </w:rPr>
        <w:t xml:space="preserve"> (A)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Negative binomial regression fit to the empirical offspring distribution (1996 and 2018 combined data), revealing extreme transmission heterogeneity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14" w:name="supplementary-appendices"/>
      <w:bookmarkEnd w:id="0"/>
      <w:bookmarkEnd w:id="12"/>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15" w:name="Xe536cde35c1e33aa0946ff7d626dcf93c8e3a7d"/>
      <w:r w:rsidRPr="006B70A6">
        <w:rPr>
          <w:rFonts w:ascii="Calibri" w:hAnsi="Calibri" w:cs="Calibri"/>
          <w:b/>
          <w:bCs/>
          <w:color w:val="000000" w:themeColor="text1"/>
          <w:sz w:val="24"/>
          <w:szCs w:val="24"/>
        </w:rPr>
        <w:t>Empirical Timeline of the MV Hondius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2026</w:t>
      </w:r>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commentRangeStart w:id="16"/>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10"/>
                    <a:stretch>
                      <a:fillRect/>
                    </a:stretch>
                  </pic:blipFill>
                  <pic:spPr bwMode="auto">
                    <a:xfrm>
                      <a:off x="0" y="0"/>
                      <a:ext cx="5334000" cy="3347722"/>
                    </a:xfrm>
                    <a:prstGeom prst="rect">
                      <a:avLst/>
                    </a:prstGeom>
                    <a:noFill/>
                    <a:ln w="9525">
                      <a:noFill/>
                      <a:headEnd/>
                      <a:tailEnd/>
                    </a:ln>
                  </pic:spPr>
                </pic:pic>
              </a:graphicData>
            </a:graphic>
          </wp:inline>
        </w:drawing>
      </w:r>
      <w:commentRangeEnd w:id="16"/>
      <w:r w:rsidR="0009068C" w:rsidRPr="00F15FB2">
        <w:rPr>
          <w:rStyle w:val="CommentReference"/>
          <w:rFonts w:ascii="Calibri" w:hAnsi="Calibri" w:cs="Calibri"/>
          <w:color w:val="000000" w:themeColor="text1"/>
          <w:sz w:val="24"/>
          <w:szCs w:val="24"/>
        </w:rPr>
        <w:commentReference w:id="16"/>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S1. Patient-Level Timeline of the MV Hondius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17" w:name="X6dadb0cfcccd537fb3c1039059a04313178fd6a"/>
      <w:bookmarkEnd w:id="15"/>
      <w:r w:rsidRPr="00BD7EC8">
        <w:rPr>
          <w:rFonts w:ascii="Calibri" w:hAnsi="Calibri" w:cs="Calibri"/>
          <w:b/>
          <w:bCs/>
          <w:color w:val="000000" w:themeColor="text1"/>
          <w:sz w:val="24"/>
          <w:szCs w:val="24"/>
        </w:rPr>
        <w:t>Stochastic Extinction Simulation</w:t>
      </w:r>
    </w:p>
    <w:p w14:paraId="45F3D05B" w14:textId="63952AF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resulting raincloud plot demonstrates the paradox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result in a large</w:t>
      </w:r>
      <w:r w:rsidR="002D4A63">
        <w:rPr>
          <w:rFonts w:ascii="Calibri" w:hAnsi="Calibri" w:cs="Calibri"/>
          <w:color w:val="000000" w:themeColor="text1"/>
        </w:rPr>
        <w:t xml:space="preserve"> </w:t>
      </w:r>
      <w:r w:rsidR="00D94E63">
        <w:rPr>
          <w:rFonts w:ascii="Calibri" w:hAnsi="Calibri" w:cs="Calibri"/>
          <w:color w:val="000000" w:themeColor="text1"/>
        </w:rPr>
        <w:t>numbers of cases.</w:t>
      </w:r>
    </w:p>
    <w:p w14:paraId="358D1C7C" w14:textId="77777777" w:rsidR="00075358" w:rsidRPr="00F15FB2" w:rsidRDefault="006F4BB0">
      <w:pPr>
        <w:pStyle w:val="BodyText"/>
        <w:rPr>
          <w:rFonts w:ascii="Calibri" w:hAnsi="Calibri" w:cs="Calibri"/>
          <w:color w:val="000000" w:themeColor="text1"/>
        </w:rPr>
      </w:pPr>
      <w:commentRangeStart w:id="18"/>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11"/>
                    <a:stretch>
                      <a:fillRect/>
                    </a:stretch>
                  </pic:blipFill>
                  <pic:spPr bwMode="auto">
                    <a:xfrm>
                      <a:off x="0" y="0"/>
                      <a:ext cx="5334000" cy="3177396"/>
                    </a:xfrm>
                    <a:prstGeom prst="rect">
                      <a:avLst/>
                    </a:prstGeom>
                    <a:noFill/>
                    <a:ln w="9525">
                      <a:noFill/>
                      <a:headEnd/>
                      <a:tailEnd/>
                    </a:ln>
                  </pic:spPr>
                </pic:pic>
              </a:graphicData>
            </a:graphic>
          </wp:inline>
        </w:drawing>
      </w:r>
      <w:commentRangeEnd w:id="18"/>
      <w:r w:rsidR="0009068C" w:rsidRPr="00F15FB2">
        <w:rPr>
          <w:rStyle w:val="CommentReference"/>
          <w:rFonts w:ascii="Calibri" w:hAnsi="Calibri" w:cs="Calibri"/>
          <w:color w:val="000000" w:themeColor="text1"/>
          <w:sz w:val="24"/>
          <w:szCs w:val="24"/>
        </w:rPr>
        <w:commentReference w:id="18"/>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19" w:name="appendix-c-demographic-stratification"/>
      <w:bookmarkEnd w:id="17"/>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Analysis of the 2018 Epuyén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Epuyén outbreak.</w:t>
      </w:r>
      <w:bookmarkEnd w:id="14"/>
      <w:bookmarkEnd w:id="19"/>
    </w:p>
    <w:sectPr w:rsidR="00075358" w:rsidRPr="00F15FB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son Andrews" w:date="2026-05-15T17:15:00Z" w:initials="JA">
    <w:p w14:paraId="0AC064CB" w14:textId="77777777" w:rsidR="001312B7" w:rsidRDefault="00C22DFD" w:rsidP="001312B7">
      <w:r>
        <w:rPr>
          <w:rStyle w:val="CommentReference"/>
        </w:rPr>
        <w:annotationRef/>
      </w:r>
      <w:r w:rsidR="001312B7">
        <w:rPr>
          <w:sz w:val="20"/>
          <w:szCs w:val="20"/>
        </w:rPr>
        <w:t>add Isaac's contact info here</w:t>
      </w:r>
    </w:p>
  </w:comment>
  <w:comment w:id="3" w:author="Jason Andrews" w:date="2026-05-15T17:17:00Z" w:initials="JA">
    <w:p w14:paraId="006AB737" w14:textId="4028B2AE" w:rsidR="00595079" w:rsidRDefault="00595079" w:rsidP="00595079">
      <w:r>
        <w:rPr>
          <w:rStyle w:val="CommentReference"/>
        </w:rPr>
        <w:annotationRef/>
      </w:r>
      <w:r>
        <w:rPr>
          <w:sz w:val="20"/>
          <w:szCs w:val="20"/>
        </w:rPr>
        <w:t>we can also call this "transmission heterogeneity" (I prefer that term anyways)</w:t>
      </w:r>
    </w:p>
  </w:comment>
  <w:comment w:id="5" w:author="Jason Andrews" w:date="2026-05-15T17:33:00Z" w:initials="JA">
    <w:p w14:paraId="745B934D" w14:textId="77777777" w:rsidR="001312B7" w:rsidRDefault="001312B7" w:rsidP="001312B7">
      <w:r>
        <w:rPr>
          <w:rStyle w:val="CommentReference"/>
        </w:rPr>
        <w:annotationRef/>
      </w:r>
      <w:r>
        <w:rPr>
          <w:sz w:val="20"/>
          <w:szCs w:val="20"/>
        </w:rPr>
        <w:t>we need to add info about the environmental rodent-to-human data here.</w:t>
      </w:r>
    </w:p>
  </w:comment>
  <w:comment w:id="7" w:author="Jason Andrews" w:date="2026-05-15T17:32:00Z" w:initials="JA">
    <w:p w14:paraId="6BFDD991" w14:textId="77777777" w:rsidR="00707A9B" w:rsidRDefault="00707A9B" w:rsidP="00707A9B">
      <w:r>
        <w:rPr>
          <w:rStyle w:val="CommentReference"/>
        </w:rPr>
        <w:annotationRef/>
      </w:r>
      <w:r>
        <w:rPr>
          <w:sz w:val="20"/>
          <w:szCs w:val="20"/>
        </w:rPr>
        <w:t>please fill in IQR</w:t>
      </w:r>
    </w:p>
  </w:comment>
  <w:comment w:id="8" w:author="Jason Andrews" w:date="2026-05-15T17:33:00Z" w:initials="JA">
    <w:p w14:paraId="656546A1" w14:textId="77777777" w:rsidR="00CC1BDF" w:rsidRDefault="00CC1BDF" w:rsidP="00CC1BDF">
      <w:r>
        <w:rPr>
          <w:rStyle w:val="CommentReference"/>
        </w:rPr>
        <w:annotationRef/>
      </w:r>
      <w:r>
        <w:rPr>
          <w:sz w:val="20"/>
          <w:szCs w:val="20"/>
        </w:rPr>
        <w:t>fill in</w:t>
      </w:r>
    </w:p>
  </w:comment>
  <w:comment w:id="10" w:author="Jason Andrews" w:date="2026-05-15T17:40:00Z" w:initials="JA">
    <w:p w14:paraId="12111966" w14:textId="77777777" w:rsidR="00B70590" w:rsidRDefault="00B70590" w:rsidP="00B70590">
      <w:r>
        <w:rPr>
          <w:rStyle w:val="CommentReference"/>
        </w:rPr>
        <w:annotationRef/>
      </w:r>
      <w:r>
        <w:rPr>
          <w:sz w:val="20"/>
          <w:szCs w:val="20"/>
        </w:rPr>
        <w:t>Isaac, see if you agree</w:t>
      </w:r>
    </w:p>
  </w:comment>
  <w:comment w:id="13" w:author="Jason Andrews" w:date="2026-05-15T17:44:00Z" w:initials="JA">
    <w:p w14:paraId="22D930C0" w14:textId="77777777" w:rsidR="0009068C" w:rsidRDefault="0009068C" w:rsidP="0009068C">
      <w:r>
        <w:rPr>
          <w:rStyle w:val="CommentReference"/>
        </w:rPr>
        <w:annotationRef/>
      </w:r>
      <w:r>
        <w:rPr>
          <w:sz w:val="20"/>
          <w:szCs w:val="20"/>
        </w:rPr>
        <w:t>REmove all figure titles, just label A, B, C at top left.</w:t>
      </w:r>
    </w:p>
  </w:comment>
  <w:comment w:id="16" w:author="Jason Andrews" w:date="2026-05-15T17:44:00Z" w:initials="JA">
    <w:p w14:paraId="74F0EA1E" w14:textId="77777777" w:rsidR="0009068C" w:rsidRDefault="0009068C" w:rsidP="0009068C">
      <w:r>
        <w:rPr>
          <w:rStyle w:val="CommentReference"/>
        </w:rPr>
        <w:annotationRef/>
      </w:r>
      <w:r>
        <w:rPr>
          <w:sz w:val="20"/>
          <w:szCs w:val="20"/>
        </w:rPr>
        <w:t>remove the figure title</w:t>
      </w:r>
    </w:p>
  </w:comment>
  <w:comment w:id="18" w:author="Jason Andrews" w:date="2026-05-15T17:44:00Z" w:initials="JA">
    <w:p w14:paraId="6718092B" w14:textId="77777777" w:rsidR="0009068C" w:rsidRDefault="0009068C" w:rsidP="0009068C">
      <w:r>
        <w:rPr>
          <w:rStyle w:val="CommentReference"/>
        </w:rPr>
        <w:annotationRef/>
      </w:r>
      <w:r>
        <w:rPr>
          <w:sz w:val="20"/>
          <w:szCs w:val="20"/>
        </w:rPr>
        <w:t>remove the figure title at top.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064CB" w15:done="0"/>
  <w15:commentEx w15:paraId="006AB737" w15:done="0"/>
  <w15:commentEx w15:paraId="745B934D" w15:done="0"/>
  <w15:commentEx w15:paraId="6BFDD991" w15:done="0"/>
  <w15:commentEx w15:paraId="656546A1" w15:done="0"/>
  <w15:commentEx w15:paraId="12111966" w15:done="0"/>
  <w15:commentEx w15:paraId="22D930C0" w15:done="0"/>
  <w15:commentEx w15:paraId="74F0EA1E" w15:done="0"/>
  <w15:commentEx w15:paraId="671809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8185E" w16cex:dateUtc="2026-05-16T00:15:00Z"/>
  <w16cex:commentExtensible w16cex:durableId="6CD358F3" w16cex:dateUtc="2026-05-16T00:17:00Z"/>
  <w16cex:commentExtensible w16cex:durableId="04E6FAAB" w16cex:dateUtc="2026-05-16T00:33:00Z"/>
  <w16cex:commentExtensible w16cex:durableId="5404DBAE" w16cex:dateUtc="2026-05-16T00:32:00Z"/>
  <w16cex:commentExtensible w16cex:durableId="795F4F1F" w16cex:dateUtc="2026-05-16T00:33:00Z"/>
  <w16cex:commentExtensible w16cex:durableId="47008896" w16cex:dateUtc="2026-05-16T00:40:00Z"/>
  <w16cex:commentExtensible w16cex:durableId="3D285AC1" w16cex:dateUtc="2026-05-16T00:44:00Z"/>
  <w16cex:commentExtensible w16cex:durableId="07ED2518" w16cex:dateUtc="2026-05-16T00:44:00Z"/>
  <w16cex:commentExtensible w16cex:durableId="3C0BF29D" w16cex:dateUtc="2026-05-16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064CB" w16cid:durableId="56E8185E"/>
  <w16cid:commentId w16cid:paraId="006AB737" w16cid:durableId="6CD358F3"/>
  <w16cid:commentId w16cid:paraId="745B934D" w16cid:durableId="04E6FAAB"/>
  <w16cid:commentId w16cid:paraId="6BFDD991" w16cid:durableId="5404DBAE"/>
  <w16cid:commentId w16cid:paraId="656546A1" w16cid:durableId="795F4F1F"/>
  <w16cid:commentId w16cid:paraId="12111966" w16cid:durableId="47008896"/>
  <w16cid:commentId w16cid:paraId="22D930C0" w16cid:durableId="3D285AC1"/>
  <w16cid:commentId w16cid:paraId="74F0EA1E" w16cid:durableId="07ED2518"/>
  <w16cid:commentId w16cid:paraId="6718092B" w16cid:durableId="3C0BF2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Andrews">
    <w15:presenceInfo w15:providerId="AD" w15:userId="S::jandr@stanford.edu::aaab811b-6eab-48dd-af9f-582b0fb2d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5455D"/>
    <w:rsid w:val="00075358"/>
    <w:rsid w:val="0009068C"/>
    <w:rsid w:val="000A1ABA"/>
    <w:rsid w:val="000B63DC"/>
    <w:rsid w:val="000D50AE"/>
    <w:rsid w:val="000F7FF2"/>
    <w:rsid w:val="001312B7"/>
    <w:rsid w:val="001418DB"/>
    <w:rsid w:val="001435F8"/>
    <w:rsid w:val="001A089B"/>
    <w:rsid w:val="001F6369"/>
    <w:rsid w:val="00254FCB"/>
    <w:rsid w:val="00285887"/>
    <w:rsid w:val="002D4A63"/>
    <w:rsid w:val="00313904"/>
    <w:rsid w:val="003254BD"/>
    <w:rsid w:val="00381CEE"/>
    <w:rsid w:val="003A64CC"/>
    <w:rsid w:val="003C7780"/>
    <w:rsid w:val="004027F3"/>
    <w:rsid w:val="00422D6B"/>
    <w:rsid w:val="00425B07"/>
    <w:rsid w:val="004D2D13"/>
    <w:rsid w:val="00523885"/>
    <w:rsid w:val="00545FB7"/>
    <w:rsid w:val="00556C04"/>
    <w:rsid w:val="00595079"/>
    <w:rsid w:val="006B70A6"/>
    <w:rsid w:val="006F4BB0"/>
    <w:rsid w:val="00707A9B"/>
    <w:rsid w:val="0072495F"/>
    <w:rsid w:val="00745F35"/>
    <w:rsid w:val="007D740B"/>
    <w:rsid w:val="007F67CB"/>
    <w:rsid w:val="00834829"/>
    <w:rsid w:val="00880D73"/>
    <w:rsid w:val="0092471F"/>
    <w:rsid w:val="00972B1C"/>
    <w:rsid w:val="009B1252"/>
    <w:rsid w:val="009D4B8C"/>
    <w:rsid w:val="00A15A6F"/>
    <w:rsid w:val="00A94455"/>
    <w:rsid w:val="00A9629D"/>
    <w:rsid w:val="00AF15A0"/>
    <w:rsid w:val="00B3539E"/>
    <w:rsid w:val="00B70590"/>
    <w:rsid w:val="00BD7EC8"/>
    <w:rsid w:val="00C0400D"/>
    <w:rsid w:val="00C22DFD"/>
    <w:rsid w:val="00C82E72"/>
    <w:rsid w:val="00C84FB1"/>
    <w:rsid w:val="00CC1BDF"/>
    <w:rsid w:val="00CC2763"/>
    <w:rsid w:val="00CC3208"/>
    <w:rsid w:val="00CF5AB3"/>
    <w:rsid w:val="00D25A07"/>
    <w:rsid w:val="00D94E63"/>
    <w:rsid w:val="00E41B25"/>
    <w:rsid w:val="00E82F71"/>
    <w:rsid w:val="00E905ED"/>
    <w:rsid w:val="00EA3295"/>
    <w:rsid w:val="00F12C1B"/>
    <w:rsid w:val="00F15FB2"/>
    <w:rsid w:val="00F53A1D"/>
    <w:rsid w:val="00F54676"/>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64</cp:revision>
  <dcterms:created xsi:type="dcterms:W3CDTF">2026-05-16T00:14:00Z</dcterms:created>
  <dcterms:modified xsi:type="dcterms:W3CDTF">2026-05-16T00:45:00Z</dcterms:modified>
</cp:coreProperties>
</file>