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FF5F9" w14:textId="77777777" w:rsidR="001418DB" w:rsidRPr="006F4BB0" w:rsidRDefault="001418DB" w:rsidP="006F4BB0">
      <w:bookmarkStart w:id="0" w:name="X70367a6876a9cacf8940db2258c7dd9b2f64906"/>
    </w:p>
    <w:p w14:paraId="08CB3CC3" w14:textId="77777777" w:rsidR="001418DB" w:rsidRPr="006F4BB0" w:rsidRDefault="001418DB" w:rsidP="006F4BB0">
      <w:r w:rsidRPr="006F4BB0">
        <w:rPr>
          <w:b/>
          <w:bCs/>
        </w:rPr>
        <w:t>Manuscript type</w:t>
      </w:r>
      <w:r w:rsidRPr="006F4BB0">
        <w:t>: Rapid Communication</w:t>
      </w:r>
    </w:p>
    <w:p w14:paraId="0C3A272D" w14:textId="7325B630" w:rsidR="00075358" w:rsidRPr="006F4BB0" w:rsidRDefault="001418DB" w:rsidP="006F4BB0">
      <w:r w:rsidRPr="006F4BB0">
        <w:br/>
      </w:r>
      <w:r w:rsidRPr="006F4BB0">
        <w:rPr>
          <w:b/>
          <w:bCs/>
        </w:rPr>
        <w:t>Title</w:t>
      </w:r>
      <w:r w:rsidRPr="006F4BB0">
        <w:t xml:space="preserve">: </w:t>
      </w:r>
      <w:r w:rsidR="006F4BB0" w:rsidRPr="006F4BB0">
        <w:t xml:space="preserve">Epidemiological characteristics of Andes </w:t>
      </w:r>
      <w:r w:rsidRPr="006F4BB0">
        <w:t>v</w:t>
      </w:r>
      <w:r w:rsidR="006F4BB0" w:rsidRPr="006F4BB0">
        <w:t>irus and implications for monitoring outbreaks</w:t>
      </w:r>
    </w:p>
    <w:p w14:paraId="2CC3A5B1" w14:textId="77777777" w:rsidR="00F15FB2" w:rsidRPr="006F4BB0" w:rsidRDefault="00F15FB2" w:rsidP="006F4BB0"/>
    <w:p w14:paraId="293E24D8" w14:textId="36AB1EFB" w:rsidR="00254FCB" w:rsidRPr="006F4BB0" w:rsidRDefault="00254FCB" w:rsidP="006F4BB0">
      <w:r w:rsidRPr="006F4BB0">
        <w:rPr>
          <w:b/>
          <w:bCs/>
        </w:rPr>
        <w:t>Authors</w:t>
      </w:r>
      <w:r w:rsidRPr="006F4BB0">
        <w:t>: Jason R. Andrews, MD,</w:t>
      </w:r>
      <w:r w:rsidRPr="007F67CB">
        <w:rPr>
          <w:vertAlign w:val="superscript"/>
        </w:rPr>
        <w:t>1</w:t>
      </w:r>
      <w:r w:rsidRPr="006F4BB0">
        <w:t xml:space="preserve"> and Isaac I Bogoch, MD</w:t>
      </w:r>
      <w:r w:rsidRPr="007F67CB">
        <w:rPr>
          <w:vertAlign w:val="superscript"/>
        </w:rPr>
        <w:t>2</w:t>
      </w:r>
      <w:r w:rsidR="00E82F71">
        <w:rPr>
          <w:vertAlign w:val="superscript"/>
        </w:rPr>
        <w:t>*</w:t>
      </w:r>
    </w:p>
    <w:p w14:paraId="4B3168C7" w14:textId="07E9F437" w:rsidR="00254FCB" w:rsidRPr="006F4BB0" w:rsidRDefault="00254FCB" w:rsidP="006F4BB0">
      <w:r w:rsidRPr="006F4BB0">
        <w:rPr>
          <w:b/>
          <w:bCs/>
        </w:rPr>
        <w:t>Affiliations</w:t>
      </w:r>
      <w:r w:rsidRPr="006F4BB0">
        <w:t>:</w:t>
      </w:r>
    </w:p>
    <w:p w14:paraId="3FADD8E4" w14:textId="77777777" w:rsidR="001418DB" w:rsidRPr="006F4BB0" w:rsidRDefault="001418DB" w:rsidP="006F4BB0">
      <w:r w:rsidRPr="006F4BB0">
        <w:t>1. Division of Infectious Diseases and Geographic Medicine, Department of Medicine, Stanford University School of Medicine, Stanford, California.</w:t>
      </w:r>
    </w:p>
    <w:p w14:paraId="19D10D5F" w14:textId="34E7E7A1" w:rsidR="001418DB" w:rsidRPr="006F4BB0" w:rsidRDefault="001418DB" w:rsidP="006F4BB0">
      <w:r w:rsidRPr="006F4BB0">
        <w:t>2. Department of Medicine, University of Toronto, Toronto, Ontario, Canada</w:t>
      </w:r>
    </w:p>
    <w:p w14:paraId="7E68C371" w14:textId="03FABB0D" w:rsidR="001418DB" w:rsidRPr="006F4BB0" w:rsidRDefault="001418DB" w:rsidP="006F4BB0"/>
    <w:p w14:paraId="5C1C2A54" w14:textId="5BB160BF" w:rsidR="00254FCB" w:rsidRPr="006F4BB0" w:rsidRDefault="00254FCB" w:rsidP="006F4BB0">
      <w:r w:rsidRPr="006F4BB0">
        <w:rPr>
          <w:b/>
          <w:bCs/>
        </w:rPr>
        <w:t>Keywork</w:t>
      </w:r>
      <w:r w:rsidR="001418DB" w:rsidRPr="006F4BB0">
        <w:rPr>
          <w:b/>
          <w:bCs/>
        </w:rPr>
        <w:t>s</w:t>
      </w:r>
      <w:r w:rsidRPr="006F4BB0">
        <w:t>: Andes virus; Hantavirus; Outbreak; Cruise; Travel</w:t>
      </w:r>
    </w:p>
    <w:p w14:paraId="180B0962" w14:textId="416B7FCB" w:rsidR="00254FCB" w:rsidRPr="006F4BB0" w:rsidRDefault="00254FCB" w:rsidP="006F4BB0">
      <w:pPr>
        <w:rPr>
          <w:b/>
          <w:bCs/>
        </w:rPr>
      </w:pPr>
    </w:p>
    <w:p w14:paraId="2DFDB241" w14:textId="07BB06F1" w:rsidR="00075358" w:rsidRPr="006F4BB0" w:rsidRDefault="000F7FF2" w:rsidP="006F4BB0">
      <w:r w:rsidRPr="006F4BB0">
        <w:rPr>
          <w:b/>
          <w:bCs/>
        </w:rPr>
        <w:t>Abstract word count</w:t>
      </w:r>
      <w:r w:rsidRPr="006F4BB0">
        <w:t xml:space="preserve">: </w:t>
      </w:r>
      <w:r w:rsidR="00254FCB" w:rsidRPr="006F4BB0">
        <w:t>5</w:t>
      </w:r>
      <w:r w:rsidR="006F4BB0">
        <w:t>2</w:t>
      </w:r>
    </w:p>
    <w:p w14:paraId="386E65DC" w14:textId="091B47E3" w:rsidR="00834829" w:rsidRPr="006F4BB0" w:rsidRDefault="00834829" w:rsidP="006F4BB0">
      <w:r w:rsidRPr="006F4BB0">
        <w:rPr>
          <w:b/>
          <w:bCs/>
        </w:rPr>
        <w:t>Manuscript word count</w:t>
      </w:r>
      <w:r w:rsidRPr="006F4BB0">
        <w:t xml:space="preserve">: </w:t>
      </w:r>
      <w:r w:rsidR="006F4BB0">
        <w:t>5</w:t>
      </w:r>
      <w:r w:rsidR="00F151CF">
        <w:t>94</w:t>
      </w:r>
    </w:p>
    <w:p w14:paraId="3779F27F" w14:textId="61952A68" w:rsidR="00254FCB" w:rsidRPr="006F4BB0" w:rsidRDefault="00254FCB" w:rsidP="006F4BB0">
      <w:r w:rsidRPr="006F4BB0">
        <w:rPr>
          <w:b/>
          <w:bCs/>
        </w:rPr>
        <w:t>References</w:t>
      </w:r>
      <w:r w:rsidRPr="006F4BB0">
        <w:t>: 6</w:t>
      </w:r>
    </w:p>
    <w:p w14:paraId="44EA0634" w14:textId="19620E5B" w:rsidR="00254FCB" w:rsidRPr="006F4BB0" w:rsidRDefault="00254FCB" w:rsidP="006F4BB0">
      <w:r w:rsidRPr="006F4BB0">
        <w:rPr>
          <w:b/>
          <w:bCs/>
        </w:rPr>
        <w:t>Author Contributions</w:t>
      </w:r>
      <w:r w:rsidRPr="006F4BB0">
        <w:t xml:space="preserve">: Both authors were responsible for conceiving the idea, analysis, writing, and revising. </w:t>
      </w:r>
    </w:p>
    <w:p w14:paraId="6A17CC05" w14:textId="7B5DF36F" w:rsidR="00254FCB" w:rsidRPr="006F4BB0" w:rsidRDefault="00254FCB" w:rsidP="006F4BB0">
      <w:r w:rsidRPr="006F4BB0">
        <w:rPr>
          <w:b/>
          <w:bCs/>
        </w:rPr>
        <w:t>Funding</w:t>
      </w:r>
      <w:r w:rsidRPr="006F4BB0">
        <w:t>:</w:t>
      </w:r>
      <w:r w:rsidR="006F4BB0">
        <w:t xml:space="preserve"> </w:t>
      </w:r>
      <w:r w:rsidR="001418DB" w:rsidRPr="006F4BB0">
        <w:t xml:space="preserve">JRA is funded by </w:t>
      </w:r>
      <w:r w:rsidR="00CF5AB3">
        <w:t>the National Institutes of Health</w:t>
      </w:r>
      <w:r w:rsidR="00AF15A0">
        <w:t xml:space="preserve"> (K24 </w:t>
      </w:r>
      <w:r w:rsidR="00AF15A0" w:rsidRPr="00AF15A0">
        <w:t>AI182647</w:t>
      </w:r>
      <w:r w:rsidR="00AF15A0">
        <w:t>)</w:t>
      </w:r>
      <w:r w:rsidR="006F4BB0">
        <w:t xml:space="preserve">, </w:t>
      </w:r>
      <w:r w:rsidR="006F4BB0" w:rsidRPr="006F4BB0">
        <w:t>IIB is funded by the Canadian Institutes for Health Research</w:t>
      </w:r>
    </w:p>
    <w:p w14:paraId="2E92D68A" w14:textId="0BD7C355" w:rsidR="00254FCB" w:rsidRPr="006F4BB0" w:rsidRDefault="00254FCB" w:rsidP="006F4BB0">
      <w:r w:rsidRPr="006F4BB0">
        <w:rPr>
          <w:b/>
          <w:bCs/>
        </w:rPr>
        <w:t>Author Statements</w:t>
      </w:r>
      <w:r w:rsidRPr="006F4BB0">
        <w:t>: IIB consults to the Weapons Threat Reduction Program at Global Affairs Canada.</w:t>
      </w:r>
    </w:p>
    <w:p w14:paraId="2441D8FC" w14:textId="1B4ABFD0" w:rsidR="00254FCB" w:rsidRPr="006F4BB0" w:rsidRDefault="00422D6B" w:rsidP="006F4BB0">
      <w:r>
        <w:t xml:space="preserve">*Correspondence to: </w:t>
      </w:r>
      <w:r w:rsidR="006D2BFA">
        <w:t>Isaac I. Bogoch, Toronto General Hospital, 200 Elizabeth Street, Toronto, ON, Canada, M5G 2C4. Isaac.bogoch@uhn.ca.</w:t>
      </w:r>
    </w:p>
    <w:p w14:paraId="6343BB1E" w14:textId="77777777" w:rsidR="00834829" w:rsidRPr="006F4BB0" w:rsidRDefault="00834829" w:rsidP="006F4BB0"/>
    <w:p w14:paraId="36BD6610" w14:textId="77777777" w:rsidR="00B3539E" w:rsidRPr="006F4BB0" w:rsidRDefault="00B3539E" w:rsidP="006F4BB0">
      <w:r w:rsidRPr="006F4BB0">
        <w:br w:type="page"/>
      </w:r>
    </w:p>
    <w:p w14:paraId="42EC8A00" w14:textId="531A65BA" w:rsidR="00834829" w:rsidRPr="006F4BB0" w:rsidRDefault="00254FCB" w:rsidP="006F4BB0">
      <w:r w:rsidRPr="006F4BB0">
        <w:rPr>
          <w:b/>
          <w:bCs/>
        </w:rPr>
        <w:lastRenderedPageBreak/>
        <w:t>Highlight</w:t>
      </w:r>
      <w:r w:rsidRPr="006F4BB0">
        <w:t>:</w:t>
      </w:r>
    </w:p>
    <w:p w14:paraId="64B875CB" w14:textId="0C291071" w:rsidR="006F4BB0" w:rsidRPr="006F4BB0" w:rsidRDefault="006F4BB0" w:rsidP="006F4BB0">
      <w:r>
        <w:t>A cluster of Andes virus (ANDV) cases aboard the MV Hondius prompted an epidemiological risk assessment. Retrospective analysis of the 1996 El Bolsón and 2018 Epuyén outbreaks identified prolonged incubation, substantial early transmission, and transmission heterogeneity (k=0.24). Despite monitoring challenges, branching-process simulations suggest most introductions result in stochastic extinction, limiting large-scale outbreak risk.</w:t>
      </w:r>
    </w:p>
    <w:p w14:paraId="02A23288" w14:textId="77777777" w:rsidR="00254FCB" w:rsidRPr="006F4BB0" w:rsidRDefault="00254FCB" w:rsidP="006F4BB0">
      <w:r w:rsidRPr="006F4BB0">
        <w:br w:type="page"/>
      </w:r>
    </w:p>
    <w:p w14:paraId="2B40587B" w14:textId="03634501" w:rsidR="00075358" w:rsidRPr="006F4BB0" w:rsidRDefault="006F4BB0" w:rsidP="006F4BB0">
      <w:r w:rsidRPr="006F4BB0">
        <w:lastRenderedPageBreak/>
        <w:t xml:space="preserve">Hantavirus Pulmonary Syndrome (HPS) is a severe respiratory disease with a case fatality rate historically exceeding 30%. While most hantaviruses are transmitted </w:t>
      </w:r>
      <w:r w:rsidR="00265EE4">
        <w:t>mainly</w:t>
      </w:r>
      <w:r w:rsidRPr="006F4BB0">
        <w:t xml:space="preserve"> via inhalation of aerosolized rodent excreta, the Andes </w:t>
      </w:r>
      <w:proofErr w:type="spellStart"/>
      <w:r w:rsidRPr="006F4BB0">
        <w:t>orthohantavirus</w:t>
      </w:r>
      <w:proofErr w:type="spellEnd"/>
      <w:r w:rsidRPr="006F4BB0">
        <w:t xml:space="preserve"> (ANDV) </w:t>
      </w:r>
      <w:r w:rsidR="00254FCB" w:rsidRPr="006F4BB0">
        <w:t>has</w:t>
      </w:r>
      <w:r w:rsidRPr="006F4BB0">
        <w:t xml:space="preserve"> capacity for </w:t>
      </w:r>
      <w:r w:rsidR="00265EE4">
        <w:t xml:space="preserve">more significant </w:t>
      </w:r>
      <w:r w:rsidRPr="006F4BB0">
        <w:t xml:space="preserve">human-to-human transmission. Following the notification of an ANDV cluster aboard the </w:t>
      </w:r>
      <w:r w:rsidRPr="00265EE4">
        <w:rPr>
          <w:i/>
          <w:iCs/>
        </w:rPr>
        <w:t xml:space="preserve">MV </w:t>
      </w:r>
      <w:proofErr w:type="spellStart"/>
      <w:r w:rsidRPr="00265EE4">
        <w:rPr>
          <w:i/>
          <w:iCs/>
        </w:rPr>
        <w:t>Hondius</w:t>
      </w:r>
      <w:proofErr w:type="spellEnd"/>
      <w:r w:rsidRPr="006F4BB0">
        <w:t xml:space="preserve"> cruise ship (Supplementary Figure S1), we </w:t>
      </w:r>
      <w:r w:rsidR="00523885">
        <w:t>re-</w:t>
      </w:r>
      <w:r w:rsidR="00FC7079">
        <w:t>evaluated historical data of ANDV transmission</w:t>
      </w:r>
      <w:r w:rsidR="00265EE4">
        <w:t xml:space="preserve"> from outbreak settings</w:t>
      </w:r>
      <w:r w:rsidR="00FC7079">
        <w:t xml:space="preserve"> </w:t>
      </w:r>
      <w:r w:rsidRPr="006F4BB0">
        <w:t>to inform public health monitoring and intervention strategies. We utilized contact networks from the two most extensively documented historical ANDV outbreaks</w:t>
      </w:r>
      <w:r w:rsidR="00710B71">
        <w:t>:</w:t>
      </w:r>
      <w:r w:rsidRPr="006F4BB0">
        <w:t xml:space="preserve"> the 1996 cluster in El </w:t>
      </w:r>
      <w:proofErr w:type="spellStart"/>
      <w:r w:rsidRPr="006F4BB0">
        <w:t>Bolsón</w:t>
      </w:r>
      <w:proofErr w:type="spellEnd"/>
      <w:r w:rsidRPr="006F4BB0">
        <w:t xml:space="preserve">, Argentina (18 cases) [1], and the 2018–2019 outbreak in </w:t>
      </w:r>
      <w:proofErr w:type="spellStart"/>
      <w:r w:rsidRPr="006F4BB0">
        <w:t>Epuyén</w:t>
      </w:r>
      <w:proofErr w:type="spellEnd"/>
      <w:r w:rsidRPr="006F4BB0">
        <w:t>, Argentina (34 cases) [2]. We define the fundamental epidemiological parameters</w:t>
      </w:r>
      <w:r w:rsidR="00265EE4">
        <w:t xml:space="preserve"> from these outbreak settings</w:t>
      </w:r>
      <w:r w:rsidRPr="006F4BB0">
        <w:t>.</w:t>
      </w:r>
    </w:p>
    <w:p w14:paraId="38382B86" w14:textId="1E7A735E" w:rsidR="00075358" w:rsidRPr="006F4BB0" w:rsidRDefault="006F4BB0" w:rsidP="006F4BB0">
      <w:bookmarkStart w:id="1" w:name="methods"/>
      <w:r w:rsidRPr="006F4BB0">
        <w:t>Patient-level line lists detailing exposure windows, symptom onset dates, and infector-</w:t>
      </w:r>
      <w:proofErr w:type="spellStart"/>
      <w:r w:rsidRPr="006F4BB0">
        <w:t>infectee</w:t>
      </w:r>
      <w:proofErr w:type="spellEnd"/>
      <w:r w:rsidRPr="006F4BB0">
        <w:t xml:space="preserve"> pairs were extracted from primary literature appendices [1, 2]. To calculate the incubation period, we applied an interval-censored Maximum Likelihood Estimation (MLE) framework [3] to the bounded social exposures in the 2018 </w:t>
      </w:r>
      <w:proofErr w:type="spellStart"/>
      <w:r w:rsidRPr="006F4BB0">
        <w:t>Epuyén</w:t>
      </w:r>
      <w:proofErr w:type="spellEnd"/>
      <w:r w:rsidRPr="006F4BB0">
        <w:t xml:space="preserve"> </w:t>
      </w:r>
      <w:r w:rsidR="000D50AE">
        <w:t xml:space="preserve">cohort. For comparison, we modeled the distribution of environmental (rodent-to-human) incubation periods using </w:t>
      </w:r>
      <w:r w:rsidR="005D3013">
        <w:t>20</w:t>
      </w:r>
      <w:r w:rsidR="000D50AE">
        <w:t xml:space="preserve"> point-source exposures from historical literature [6]. </w:t>
      </w:r>
      <w:r w:rsidRPr="006F4BB0">
        <w:t xml:space="preserve">Generation times and the infectiousness profile were deconvoluted mathematically from the empirical serial intervals recorded in the 1996 El </w:t>
      </w:r>
      <w:proofErr w:type="spellStart"/>
      <w:r w:rsidRPr="006F4BB0">
        <w:t>Bolsón</w:t>
      </w:r>
      <w:proofErr w:type="spellEnd"/>
      <w:r w:rsidRPr="006F4BB0">
        <w:t xml:space="preserve"> transmission network [4]. Transmission heterogeneity was assessed by fitting a </w:t>
      </w:r>
      <w:r w:rsidR="000F7FC8">
        <w:t>n</w:t>
      </w:r>
      <w:r w:rsidRPr="006F4BB0">
        <w:t xml:space="preserve">egative </w:t>
      </w:r>
      <w:r w:rsidR="000F7FC8">
        <w:t>b</w:t>
      </w:r>
      <w:r w:rsidRPr="006F4BB0">
        <w:t>inomial distribution to the aggregated offspring distribution of both outbreaks, enabling the calculation of the basic reproduction number (</w:t>
      </w:r>
      <m:oMath>
        <m:sSub>
          <m:sSubPr>
            <m:ctrlPr>
              <w:rPr>
                <w:rFonts w:ascii="Cambria Math" w:hAnsi="Cambria Math"/>
              </w:rPr>
            </m:ctrlPr>
          </m:sSubPr>
          <m:e>
            <m:r>
              <w:rPr>
                <w:rFonts w:ascii="Cambria Math" w:hAnsi="Cambria Math"/>
              </w:rPr>
              <m:t>R</m:t>
            </m:r>
          </m:e>
          <m:sub>
            <m:r>
              <w:rPr>
                <w:rFonts w:ascii="Cambria Math" w:hAnsi="Cambria Math"/>
              </w:rPr>
              <m:t>0</m:t>
            </m:r>
          </m:sub>
        </m:sSub>
      </m:oMath>
      <w:r w:rsidRPr="006F4BB0">
        <w:t>) and the dispersion parameter (</w:t>
      </w:r>
      <m:oMath>
        <m:r>
          <w:rPr>
            <w:rFonts w:ascii="Cambria Math" w:hAnsi="Cambria Math"/>
          </w:rPr>
          <m:t>k</m:t>
        </m:r>
      </m:oMath>
      <w:r w:rsidRPr="006F4BB0">
        <w:t xml:space="preserve">) [5]. Finally, we conducted a 50,000-iteration branching process simulation parameterized by the derived </w:t>
      </w:r>
      <m:oMath>
        <m:sSub>
          <m:sSubPr>
            <m:ctrlPr>
              <w:rPr>
                <w:rFonts w:ascii="Cambria Math" w:hAnsi="Cambria Math"/>
              </w:rPr>
            </m:ctrlPr>
          </m:sSubPr>
          <m:e>
            <m:r>
              <w:rPr>
                <w:rFonts w:ascii="Cambria Math" w:hAnsi="Cambria Math"/>
              </w:rPr>
              <m:t>R</m:t>
            </m:r>
          </m:e>
          <m:sub>
            <m:r>
              <w:rPr>
                <w:rFonts w:ascii="Cambria Math" w:hAnsi="Cambria Math"/>
              </w:rPr>
              <m:t>0</m:t>
            </m:r>
          </m:sub>
        </m:sSub>
      </m:oMath>
      <w:r w:rsidRPr="006F4BB0">
        <w:t xml:space="preserve"> and </w:t>
      </w:r>
      <m:oMath>
        <m:r>
          <w:rPr>
            <w:rFonts w:ascii="Cambria Math" w:hAnsi="Cambria Math"/>
          </w:rPr>
          <m:t>k</m:t>
        </m:r>
      </m:oMath>
      <w:r w:rsidRPr="006F4BB0">
        <w:t xml:space="preserve"> values to estimate the probability of stochastic extinction versus large-scale epidemic growth following a single ship-board introduction. Code and underlying data are available at: github.com/jasonandr/Andes-virus-epi</w:t>
      </w:r>
    </w:p>
    <w:p w14:paraId="50DC3F56" w14:textId="5359BB4F" w:rsidR="00075358" w:rsidRPr="006F4BB0" w:rsidRDefault="006F4BB0" w:rsidP="006F4BB0">
      <w:r>
        <w:t>Interval-censored MLE demonstrated a median human-to-human incubation period of 20.1 days (IQR 14.8-27.2) and environmental (rodent-to-human) incubation period of 18.3 days (IQR 13.8-24.7) [6]. The resulting density distributions were very similar (Figure 1A), demonstrating that the prolonged incubation period is intrinsic to ANDV pathogenesis and not specific to exposure route. Analysis of the empirical generation time curves revealed that approximately 24% of transmission occurs during a presymptomatic, subclinical, or early prodromal phase, prior to the onset of severe febrile illness (Figure 1B).</w:t>
      </w:r>
    </w:p>
    <w:p w14:paraId="05B878FB" w14:textId="3A347EA8" w:rsidR="005274FF" w:rsidRDefault="006F4BB0" w:rsidP="006F4BB0">
      <w:r>
        <w:t>The empirical offspring distribution (Figure 1C) highlights the preponderance of zero or single secondary cases juxtaposed against rare superspreading events. To quantify this transmission heterogeneity, we fit a negative binomial model to the combined data, yielding an overall  of 0.96, but low dispersion parameter (</w:t>
      </w:r>
      <m:oMath>
        <m:r>
          <w:rPr>
            <w:rFonts w:ascii="Cambria Math" w:hAnsi="Cambria Math"/>
          </w:rPr>
          <m:t>k</m:t>
        </m:r>
      </m:oMath>
      <w:r>
        <w:t xml:space="preserve">) of 0.24. Using the framework by Lloyd-Smith et al. [5], we plotted the proportion of transmission driven by the most infectious cases (Figure 1D). This confirms extreme heterogeneity: the top 20% of infectious individuals generate an estimated 81% of all secondary infections. In branching process simulations, we found that 69% of single-case introductions resulted in immediate stochastic extinction (generating zero secondary cases) and 13% generated a </w:t>
      </w:r>
      <w:r>
        <w:lastRenderedPageBreak/>
        <w:t>single secondary case. However, outbreaks that evaded early extinction had a small probability of explosive growth (Supplementary Figure S2).</w:t>
      </w:r>
    </w:p>
    <w:p w14:paraId="7EAA9202" w14:textId="49F6651D" w:rsidR="00254FCB" w:rsidRPr="006F4BB0" w:rsidRDefault="00254FCB" w:rsidP="006F4BB0">
      <w:bookmarkStart w:id="3" w:name="discussion"/>
      <w:bookmarkEnd w:id="2"/>
      <w:r w:rsidRPr="006F4BB0">
        <w:t xml:space="preserve">These epidemiological characteristics complicate </w:t>
      </w:r>
      <w:r w:rsidR="00866DBB">
        <w:t>managing outbreaks</w:t>
      </w:r>
      <w:r w:rsidRPr="006F4BB0">
        <w:t xml:space="preserve"> in high-density settings such as a cruise ship. A prolonged incubation period combined with </w:t>
      </w:r>
      <w:r w:rsidR="00866DBB">
        <w:t xml:space="preserve">either </w:t>
      </w:r>
      <w:r w:rsidRPr="006F4BB0">
        <w:t>presymptomatic</w:t>
      </w:r>
      <w:r w:rsidR="006F4BB0" w:rsidRPr="006F4BB0">
        <w:t xml:space="preserve">, </w:t>
      </w:r>
      <w:r w:rsidRPr="006F4BB0">
        <w:t>subclinical</w:t>
      </w:r>
      <w:r w:rsidR="006F4BB0" w:rsidRPr="006F4BB0">
        <w:t xml:space="preserve">, or prodromal </w:t>
      </w:r>
      <w:r w:rsidRPr="006F4BB0">
        <w:t>shedding limits the effectiveness of symptom-based screening, as secondary transmission may occur before overt symptoms emerge</w:t>
      </w:r>
      <w:r w:rsidR="004027F3">
        <w:t>.</w:t>
      </w:r>
      <w:r w:rsidRPr="006F4BB0">
        <w:t xml:space="preserve"> </w:t>
      </w:r>
      <w:r w:rsidR="00866DBB">
        <w:t xml:space="preserve">Longer (e.g. 42 day) isolation or </w:t>
      </w:r>
      <w:r w:rsidR="00C82E72">
        <w:t>q</w:t>
      </w:r>
      <w:r w:rsidR="00EA3295">
        <w:t xml:space="preserve">uarantine of exposed individuals with </w:t>
      </w:r>
      <w:r w:rsidR="00A15A6F">
        <w:t xml:space="preserve">periodic testing irrespective of symptoms </w:t>
      </w:r>
      <w:r w:rsidR="00996C54">
        <w:t xml:space="preserve">would </w:t>
      </w:r>
      <w:r w:rsidR="00866DBB">
        <w:t>minimiz</w:t>
      </w:r>
      <w:r w:rsidR="00996C54">
        <w:t>e</w:t>
      </w:r>
      <w:r w:rsidR="00866DBB">
        <w:t xml:space="preserve"> exposure to others</w:t>
      </w:r>
      <w:r w:rsidR="00E905ED">
        <w:t xml:space="preserve">. </w:t>
      </w:r>
      <w:r w:rsidRPr="006F4BB0">
        <w:t xml:space="preserve">Because most infected individuals do not transmit the virus, </w:t>
      </w:r>
      <w:r w:rsidR="006D2BFA">
        <w:t xml:space="preserve">much </w:t>
      </w:r>
      <w:r w:rsidRPr="006F4BB0">
        <w:t>large</w:t>
      </w:r>
      <w:r w:rsidR="006D2BFA">
        <w:t>r</w:t>
      </w:r>
      <w:r w:rsidRPr="006F4BB0">
        <w:t xml:space="preserve"> uncontained outbreaks are statistically unlikely. Branching process simulations show that most introductions end in rapid stochastic extinction, making </w:t>
      </w:r>
      <w:r w:rsidR="00084BB9">
        <w:t>sustained</w:t>
      </w:r>
      <w:r w:rsidRPr="006F4BB0">
        <w:t xml:space="preserve"> spread improbable despite the risk of localized superspreading events</w:t>
      </w:r>
      <w:r w:rsidR="006F4BB0" w:rsidRPr="006F4BB0">
        <w:t xml:space="preserve"> in </w:t>
      </w:r>
      <w:r w:rsidR="00866DBB">
        <w:t>higher-risk</w:t>
      </w:r>
      <w:r w:rsidR="006F4BB0" w:rsidRPr="006F4BB0">
        <w:t xml:space="preserve"> environments</w:t>
      </w:r>
      <w:r w:rsidRPr="006F4BB0">
        <w:t>.</w:t>
      </w:r>
    </w:p>
    <w:p w14:paraId="167E0408" w14:textId="7C244D24" w:rsidR="00075358" w:rsidRPr="006F4BB0" w:rsidRDefault="00075358" w:rsidP="006F4BB0"/>
    <w:p w14:paraId="7B6D5848" w14:textId="2D05F48A" w:rsidR="00075358" w:rsidRPr="006F4BB0" w:rsidRDefault="006F4BB0" w:rsidP="006F4BB0">
      <w:bookmarkStart w:id="4" w:name="references"/>
      <w:bookmarkEnd w:id="3"/>
      <w:r w:rsidRPr="006F4BB0">
        <w:rPr>
          <w:b/>
          <w:bCs/>
        </w:rPr>
        <w:t>References</w:t>
      </w:r>
      <w:r>
        <w:rPr>
          <w:b/>
          <w:bCs/>
        </w:rPr>
        <w:t>:</w:t>
      </w:r>
    </w:p>
    <w:p w14:paraId="2CE0B6E5" w14:textId="77777777" w:rsidR="00075358" w:rsidRPr="006F4BB0" w:rsidRDefault="006F4BB0" w:rsidP="006F4BB0">
      <w:pPr>
        <w:pStyle w:val="ListParagraph"/>
        <w:numPr>
          <w:ilvl w:val="0"/>
          <w:numId w:val="4"/>
        </w:numPr>
      </w:pPr>
      <w:r w:rsidRPr="006F4BB0">
        <w:t>Padula PJ, Edelstein A, Miguel SD, López NM, Francos CM, Suárez VC. Epidemic outbreak of hantavirus pulmonary syndrome in Argentina. Molecular evidence for person-to-person transmission of Andes virus. Virology. 1998;241(2):323-330.</w:t>
      </w:r>
    </w:p>
    <w:p w14:paraId="43D548E1" w14:textId="77777777" w:rsidR="00075358" w:rsidRPr="006F4BB0" w:rsidRDefault="006F4BB0" w:rsidP="006F4BB0">
      <w:pPr>
        <w:pStyle w:val="ListParagraph"/>
        <w:numPr>
          <w:ilvl w:val="0"/>
          <w:numId w:val="4"/>
        </w:numPr>
      </w:pPr>
      <w:r w:rsidRPr="006F4BB0">
        <w:t>Martinez VP, Di Paola N, Alonso DO, et al. “Super-Spreaders” and Person-to-Person Transmission of Andes Virus in Argentina. New England Journal of Medicine. 2020;383(23):2230-2241.</w:t>
      </w:r>
    </w:p>
    <w:p w14:paraId="6859C9D6" w14:textId="77777777" w:rsidR="00075358" w:rsidRPr="006F4BB0" w:rsidRDefault="006F4BB0" w:rsidP="006F4BB0">
      <w:pPr>
        <w:pStyle w:val="ListParagraph"/>
        <w:numPr>
          <w:ilvl w:val="0"/>
          <w:numId w:val="4"/>
        </w:numPr>
      </w:pPr>
      <w:r w:rsidRPr="006F4BB0">
        <w:t>Lauer SA, Grantz KH, Bi Q, et al. The Incubation Period of Coronavirus Disease 2019 (COVID-19) From Publicly Reported Confirmed Cases: Estimation and Application. Annals of Internal Medicine. 2020;172(9):577-582.</w:t>
      </w:r>
    </w:p>
    <w:p w14:paraId="57A0F85F" w14:textId="77777777" w:rsidR="00075358" w:rsidRPr="006F4BB0" w:rsidRDefault="006F4BB0" w:rsidP="006F4BB0">
      <w:pPr>
        <w:pStyle w:val="ListParagraph"/>
        <w:numPr>
          <w:ilvl w:val="0"/>
          <w:numId w:val="4"/>
        </w:numPr>
      </w:pPr>
      <w:r w:rsidRPr="006F4BB0">
        <w:t>He X, Lau EHY, Wu P, et al. Temporal dynamics in viral shedding and transmissibility of COVID-19. Nature Medicine. 2020;26(5):672-675.</w:t>
      </w:r>
    </w:p>
    <w:p w14:paraId="5565485A" w14:textId="77777777" w:rsidR="00075358" w:rsidRPr="006F4BB0" w:rsidRDefault="006F4BB0" w:rsidP="006F4BB0">
      <w:pPr>
        <w:pStyle w:val="ListParagraph"/>
        <w:numPr>
          <w:ilvl w:val="0"/>
          <w:numId w:val="4"/>
        </w:numPr>
      </w:pPr>
      <w:r w:rsidRPr="006F4BB0">
        <w:t>Lloyd-Smith JO, Schreiber SJ, Kopp PE, Getz WM. Superspreading and the effect of individual variation on disease emergence. Nature. 2005;438(7066):355-359.</w:t>
      </w:r>
    </w:p>
    <w:p w14:paraId="2995777E" w14:textId="77777777" w:rsidR="00075358" w:rsidRPr="006F4BB0" w:rsidRDefault="006F4BB0" w:rsidP="006F4BB0">
      <w:pPr>
        <w:pStyle w:val="ListParagraph"/>
        <w:numPr>
          <w:ilvl w:val="0"/>
          <w:numId w:val="4"/>
        </w:numPr>
      </w:pPr>
      <w:r w:rsidRPr="006F4BB0">
        <w:t>Vial PA, Valdivieso F, Mertz G, et al. Incubation period of hantavirus cardiopulmonary syndrome. Emerging Infectious Diseases. 2006;12(8):1271-1273.</w:t>
      </w:r>
    </w:p>
    <w:p w14:paraId="6615EB99" w14:textId="17B05AC3" w:rsidR="00075358" w:rsidRPr="00F15FB2" w:rsidRDefault="00075358">
      <w:pPr>
        <w:rPr>
          <w:rFonts w:ascii="Calibri" w:hAnsi="Calibri" w:cs="Calibri"/>
          <w:color w:val="000000" w:themeColor="text1"/>
        </w:rPr>
      </w:pPr>
    </w:p>
    <w:p w14:paraId="5850EFDE" w14:textId="3E0EDD84" w:rsidR="0005455D" w:rsidRDefault="006F4BB0">
      <w:pPr>
        <w:pStyle w:val="FirstParagraph"/>
        <w:rPr>
          <w:rFonts w:ascii="Calibri" w:hAnsi="Calibri" w:cs="Calibri"/>
          <w:color w:val="000000" w:themeColor="text1"/>
        </w:rPr>
      </w:pPr>
      <w:bookmarkStart w:id="5" w:name="figures-and-legends"/>
      <w:bookmarkEnd w:id="4"/>
      <w:r w:rsidRPr="00F15FB2">
        <w:rPr>
          <w:rFonts w:ascii="Calibri" w:hAnsi="Calibri" w:cs="Calibri"/>
          <w:color w:val="000000" w:themeColor="text1"/>
        </w:rPr>
        <w:t xml:space="preserve"> </w:t>
      </w:r>
    </w:p>
    <w:p w14:paraId="3C70A4C3" w14:textId="77777777" w:rsidR="004312D9" w:rsidRDefault="004312D9">
      <w:pPr>
        <w:pStyle w:val="FirstParagraph"/>
        <w:rPr>
          <w:rFonts w:ascii="Calibri" w:hAnsi="Calibri" w:cs="Calibri"/>
          <w:b/>
          <w:bCs/>
          <w:color w:val="000000" w:themeColor="text1"/>
        </w:rPr>
      </w:pPr>
    </w:p>
    <w:p w14:paraId="328348AB" w14:textId="77777777" w:rsidR="004312D9" w:rsidRDefault="004312D9">
      <w:pPr>
        <w:rPr>
          <w:rFonts w:ascii="Calibri" w:hAnsi="Calibri" w:cs="Calibri"/>
          <w:b/>
          <w:bCs/>
          <w:color w:val="000000" w:themeColor="text1"/>
        </w:rPr>
      </w:pPr>
      <w:r>
        <w:rPr>
          <w:rFonts w:ascii="Calibri" w:hAnsi="Calibri" w:cs="Calibri"/>
          <w:b/>
          <w:bCs/>
          <w:color w:val="000000" w:themeColor="text1"/>
        </w:rPr>
        <w:br w:type="page"/>
      </w:r>
    </w:p>
    <w:p w14:paraId="78802D04" w14:textId="2EF468E0" w:rsidR="004312D9" w:rsidRDefault="00097B97">
      <w:pPr>
        <w:pStyle w:val="FirstParagraph"/>
        <w:rPr>
          <w:rFonts w:ascii="Calibri" w:hAnsi="Calibri" w:cs="Calibri"/>
          <w:b/>
          <w:bCs/>
          <w:color w:val="000000" w:themeColor="text1"/>
        </w:rPr>
      </w:pPr>
      <w:r>
        <w:drawing>
          <wp:inline xmlns:a="http://schemas.openxmlformats.org/drawingml/2006/main" xmlns:pic="http://schemas.openxmlformats.org/drawingml/2006/picture">
            <wp:extent cx="5943600" cy="4005555"/>
            <wp:docPr id="30" name="Picture 30"/>
            <wp:cNvGraphicFramePr>
              <a:graphicFrameLocks noChangeAspect="1"/>
            </wp:cNvGraphicFramePr>
            <a:graphic>
              <a:graphicData uri="http://schemas.openxmlformats.org/drawingml/2006/picture">
                <pic:pic>
                  <pic:nvPicPr>
                    <pic:cNvPr id="0" name="figure_1_combined_2x2.png"/>
                    <pic:cNvPicPr/>
                  </pic:nvPicPr>
                  <pic:blipFill>
                    <a:blip r:embed="rId11"/>
                    <a:stretch>
                      <a:fillRect/>
                    </a:stretch>
                  </pic:blipFill>
                  <pic:spPr>
                    <a:xfrm>
                      <a:off x="0" y="0"/>
                      <a:ext cx="5943600" cy="4005555"/>
                    </a:xfrm>
                    <a:prstGeom prst="rect"/>
                  </pic:spPr>
                </pic:pic>
              </a:graphicData>
            </a:graphic>
          </wp:inline>
        </w:drawing>
      </w:r>
    </w:p>
    <w:p w14:paraId="411C91A5" w14:textId="77777777" w:rsidR="004312D9" w:rsidRDefault="004312D9">
      <w:pPr>
        <w:pStyle w:val="FirstParagraph"/>
        <w:rPr>
          <w:rFonts w:ascii="Calibri" w:hAnsi="Calibri" w:cs="Calibri"/>
          <w:b/>
          <w:bCs/>
          <w:color w:val="000000" w:themeColor="text1"/>
        </w:rPr>
      </w:pPr>
    </w:p>
    <w:p w14:paraId="71D94937" w14:textId="684BDAFA" w:rsidR="00075358" w:rsidRPr="00F15FB2" w:rsidRDefault="006F4BB0">
      <w:pPr>
        <w:pStyle w:val="FirstParagraph"/>
        <w:rPr>
          <w:rFonts w:ascii="Calibri" w:hAnsi="Calibri" w:cs="Calibri"/>
          <w:color w:val="000000" w:themeColor="text1"/>
        </w:rPr>
      </w:pPr>
      <w:r>
        <w:t>Figure 1. Synthesized Transmission Dynamics of Andes Virus. (A) Comparative incubation dynamics showing overlaid lognormal probability density functions of the human-to-human incubation period (median 20.1 days, derived via MLE) against the established environmental exposure period (median 18.3 days; Vial et al., 2006). (B) Infectiousness profile relative to symptom onset, deconvoluted from the 1996 El Bolsón serial intervals, illustrating approximately 24% presymptomatic shedding. (C) Empirical offspring distribution plotted as side-by-side (dodged) histograms comparing transmission network data from the 1996 El Bolsón and 2018 Epuyén outbreaks. (D) Expected proportion of transmission caused by a given proportion of infectious cases, calculated analytically using the derived dispersion parameter (k=0.24) based on the framework by Lloyd-Smith et al. (2005). The curve demonstrates severe transmission heterogeneity, with the top 20% of cases expected to be responsible for 81.3% of all secondary infections. (, ).</w:t>
      </w:r>
    </w:p>
    <w:p w14:paraId="37DAA6DC" w14:textId="188BEFBA" w:rsidR="00075358" w:rsidRPr="00F15FB2" w:rsidRDefault="00075358">
      <w:pPr>
        <w:rPr>
          <w:rFonts w:ascii="Calibri" w:hAnsi="Calibri" w:cs="Calibri"/>
          <w:color w:val="000000" w:themeColor="text1"/>
        </w:rPr>
      </w:pPr>
    </w:p>
    <w:p w14:paraId="30F837E2" w14:textId="77777777" w:rsidR="006B70A6" w:rsidRDefault="006B70A6">
      <w:pPr>
        <w:rPr>
          <w:rFonts w:ascii="Calibri" w:eastAsiaTheme="majorEastAsia" w:hAnsi="Calibri" w:cs="Calibri"/>
          <w:b/>
          <w:bCs/>
          <w:color w:val="000000" w:themeColor="text1"/>
        </w:rPr>
      </w:pPr>
      <w:bookmarkStart w:id="6" w:name="supplementary-appendices"/>
      <w:bookmarkEnd w:id="0"/>
      <w:bookmarkEnd w:id="5"/>
      <w:r>
        <w:rPr>
          <w:rFonts w:ascii="Calibri" w:hAnsi="Calibri" w:cs="Calibri"/>
          <w:b/>
          <w:bCs/>
          <w:color w:val="000000" w:themeColor="text1"/>
        </w:rPr>
        <w:br w:type="page"/>
      </w:r>
    </w:p>
    <w:p w14:paraId="5A4024B4" w14:textId="6B6C3348" w:rsidR="00075358" w:rsidRPr="0072495F" w:rsidRDefault="006F4BB0">
      <w:pPr>
        <w:pStyle w:val="Heading1"/>
        <w:rPr>
          <w:rFonts w:ascii="Calibri" w:hAnsi="Calibri" w:cs="Calibri"/>
          <w:b/>
          <w:bCs/>
          <w:color w:val="000000" w:themeColor="text1"/>
          <w:sz w:val="24"/>
          <w:szCs w:val="24"/>
        </w:rPr>
      </w:pPr>
      <w:r w:rsidRPr="0072495F">
        <w:rPr>
          <w:rFonts w:ascii="Calibri" w:hAnsi="Calibri" w:cs="Calibri"/>
          <w:b/>
          <w:bCs/>
          <w:color w:val="000000" w:themeColor="text1"/>
          <w:sz w:val="24"/>
          <w:szCs w:val="24"/>
        </w:rPr>
        <w:lastRenderedPageBreak/>
        <w:t>Supplementary Appendices</w:t>
      </w:r>
    </w:p>
    <w:p w14:paraId="69CD04F9" w14:textId="33AD5441" w:rsidR="00075358" w:rsidRPr="006B70A6" w:rsidRDefault="006F4BB0">
      <w:pPr>
        <w:pStyle w:val="Heading2"/>
        <w:rPr>
          <w:rFonts w:ascii="Calibri" w:hAnsi="Calibri" w:cs="Calibri"/>
          <w:b/>
          <w:bCs/>
          <w:color w:val="000000" w:themeColor="text1"/>
          <w:sz w:val="24"/>
          <w:szCs w:val="24"/>
        </w:rPr>
      </w:pPr>
      <w:bookmarkStart w:id="7" w:name="Xe536cde35c1e33aa0946ff7d626dcf93c8e3a7d"/>
      <w:r w:rsidRPr="006B70A6">
        <w:rPr>
          <w:rFonts w:ascii="Calibri" w:hAnsi="Calibri" w:cs="Calibri"/>
          <w:b/>
          <w:bCs/>
          <w:color w:val="000000" w:themeColor="text1"/>
          <w:sz w:val="24"/>
          <w:szCs w:val="24"/>
        </w:rPr>
        <w:t xml:space="preserve">Empirical Timeline of the MV </w:t>
      </w:r>
      <w:proofErr w:type="spellStart"/>
      <w:r w:rsidRPr="006B70A6">
        <w:rPr>
          <w:rFonts w:ascii="Calibri" w:hAnsi="Calibri" w:cs="Calibri"/>
          <w:b/>
          <w:bCs/>
          <w:color w:val="000000" w:themeColor="text1"/>
          <w:sz w:val="24"/>
          <w:szCs w:val="24"/>
        </w:rPr>
        <w:t>Hondius</w:t>
      </w:r>
      <w:proofErr w:type="spellEnd"/>
      <w:r w:rsidRPr="006B70A6">
        <w:rPr>
          <w:rFonts w:ascii="Calibri" w:hAnsi="Calibri" w:cs="Calibri"/>
          <w:b/>
          <w:bCs/>
          <w:color w:val="000000" w:themeColor="text1"/>
          <w:sz w:val="24"/>
          <w:szCs w:val="24"/>
        </w:rPr>
        <w:t xml:space="preserve"> Outbreak</w:t>
      </w:r>
    </w:p>
    <w:p w14:paraId="7944C0C3" w14:textId="59AF7927" w:rsidR="00075358" w:rsidRPr="00F15FB2" w:rsidRDefault="006F4BB0">
      <w:pPr>
        <w:pStyle w:val="FirstParagraph"/>
        <w:rPr>
          <w:rFonts w:ascii="Calibri" w:hAnsi="Calibri" w:cs="Calibri"/>
          <w:color w:val="000000" w:themeColor="text1"/>
        </w:rPr>
      </w:pPr>
      <w:r w:rsidRPr="00F15FB2">
        <w:rPr>
          <w:rFonts w:ascii="Calibri" w:hAnsi="Calibri" w:cs="Calibri"/>
          <w:color w:val="000000" w:themeColor="text1"/>
        </w:rPr>
        <w:t>We reconstructed the empirical patient-level timeline of the outbreak</w:t>
      </w:r>
      <w:r w:rsidR="00E41B25">
        <w:rPr>
          <w:rFonts w:ascii="Calibri" w:hAnsi="Calibri" w:cs="Calibri"/>
          <w:color w:val="000000" w:themeColor="text1"/>
        </w:rPr>
        <w:t xml:space="preserve"> as of May 15, </w:t>
      </w:r>
      <w:proofErr w:type="gramStart"/>
      <w:r w:rsidR="00E41B25">
        <w:rPr>
          <w:rFonts w:ascii="Calibri" w:hAnsi="Calibri" w:cs="Calibri"/>
          <w:color w:val="000000" w:themeColor="text1"/>
        </w:rPr>
        <w:t>2026</w:t>
      </w:r>
      <w:proofErr w:type="gramEnd"/>
      <w:r w:rsidRPr="00F15FB2">
        <w:rPr>
          <w:rFonts w:ascii="Calibri" w:hAnsi="Calibri" w:cs="Calibri"/>
          <w:color w:val="000000" w:themeColor="text1"/>
        </w:rPr>
        <w:t xml:space="preserve"> using notification data from the World Health Organization. The visualization strictly adheres to reported milestones, documenting the duration of exposure on the vessel, clinical symptom onset, and dates of death for the primary and secondary clusters, highlighting the rapid clinical deterioration of the initial three cases prior to and during the initial May 2nd notification.</w:t>
      </w:r>
    </w:p>
    <w:p w14:paraId="5DA3DFCA" w14:textId="77777777" w:rsidR="00075358" w:rsidRPr="00F15FB2" w:rsidRDefault="006F4BB0">
      <w:pPr>
        <w:pStyle w:val="BodyText"/>
        <w:rPr>
          <w:rFonts w:ascii="Calibri" w:hAnsi="Calibri" w:cs="Calibri"/>
          <w:color w:val="000000" w:themeColor="text1"/>
        </w:rPr>
      </w:pPr>
      <w:r w:rsidRPr="00F15FB2">
        <w:rPr>
          <w:rFonts w:ascii="Calibri" w:hAnsi="Calibri" w:cs="Calibri"/>
          <w:noProof/>
          <w:color w:val="000000" w:themeColor="text1"/>
        </w:rPr>
        <w:drawing>
          <wp:inline distT="0" distB="0" distL="0" distR="0" wp14:anchorId="0144247D" wp14:editId="2E38758D">
            <wp:extent cx="5334000" cy="3347722"/>
            <wp:effectExtent l="0" t="0" r="0" b="0"/>
            <wp:docPr id="20" name="Picture" descr="Empirical Timeline"/>
            <wp:cNvGraphicFramePr/>
            <a:graphic xmlns:a="http://schemas.openxmlformats.org/drawingml/2006/main">
              <a:graphicData uri="http://schemas.openxmlformats.org/drawingml/2006/picture">
                <pic:pic xmlns:pic="http://schemas.openxmlformats.org/drawingml/2006/picture">
                  <pic:nvPicPr>
                    <pic:cNvPr id="21" name="Picture" descr="/Users/jasonandrews/.gemini/antigravity/brain/26e83a96-4a63-4226-94fe-627b326b4048/artifacts/hondius_patient_timeline_1778878820.png"/>
                    <pic:cNvPicPr>
                      <a:picLocks noChangeAspect="1" noChangeArrowheads="1"/>
                    </pic:cNvPicPr>
                  </pic:nvPicPr>
                  <pic:blipFill>
                    <a:blip r:embed="rId6"/>
                    <a:stretch>
                      <a:fillRect/>
                    </a:stretch>
                  </pic:blipFill>
                  <pic:spPr bwMode="auto">
                    <a:xfrm>
                      <a:off x="0" y="0"/>
                      <a:ext cx="5334000" cy="3347722"/>
                    </a:xfrm>
                    <a:prstGeom prst="rect">
                      <a:avLst/>
                    </a:prstGeom>
                    <a:noFill/>
                    <a:ln w="9525">
                      <a:noFill/>
                      <a:headEnd/>
                      <a:tailEnd/>
                    </a:ln>
                  </pic:spPr>
                </pic:pic>
              </a:graphicData>
            </a:graphic>
          </wp:inline>
        </w:drawing>
      </w:r>
      <w:r w:rsidRPr="00F15FB2">
        <w:rPr>
          <w:rFonts w:ascii="Calibri" w:hAnsi="Calibri" w:cs="Calibri"/>
          <w:color w:val="000000" w:themeColor="text1"/>
        </w:rPr>
        <w:t xml:space="preserve"> </w:t>
      </w:r>
      <w:r w:rsidRPr="00F15FB2">
        <w:rPr>
          <w:rFonts w:ascii="Calibri" w:hAnsi="Calibri" w:cs="Calibri"/>
          <w:b/>
          <w:bCs/>
          <w:color w:val="000000" w:themeColor="text1"/>
        </w:rPr>
        <w:t xml:space="preserve">Supplementary Figure S1. Patient-Level Timeline of the MV </w:t>
      </w:r>
      <w:proofErr w:type="spellStart"/>
      <w:r w:rsidRPr="00F15FB2">
        <w:rPr>
          <w:rFonts w:ascii="Calibri" w:hAnsi="Calibri" w:cs="Calibri"/>
          <w:b/>
          <w:bCs/>
          <w:color w:val="000000" w:themeColor="text1"/>
        </w:rPr>
        <w:t>Hondius</w:t>
      </w:r>
      <w:proofErr w:type="spellEnd"/>
      <w:r w:rsidRPr="00F15FB2">
        <w:rPr>
          <w:rFonts w:ascii="Calibri" w:hAnsi="Calibri" w:cs="Calibri"/>
          <w:b/>
          <w:bCs/>
          <w:color w:val="000000" w:themeColor="text1"/>
        </w:rPr>
        <w:t xml:space="preserve"> Andes Virus Outbreak.</w:t>
      </w:r>
      <w:r w:rsidRPr="00F15FB2">
        <w:rPr>
          <w:rFonts w:ascii="Calibri" w:hAnsi="Calibri" w:cs="Calibri"/>
          <w:color w:val="000000" w:themeColor="text1"/>
        </w:rPr>
        <w:t xml:space="preserve"> Gantt chart illustrating the time spent on the vessel by the 11 identified cases, ending in specific reported events (death, critical illness medevac, symptom onset, or testing).</w:t>
      </w:r>
    </w:p>
    <w:p w14:paraId="72CD383F" w14:textId="0B405037" w:rsidR="00075358" w:rsidRPr="00BD7EC8" w:rsidRDefault="006F4BB0">
      <w:pPr>
        <w:pStyle w:val="Heading2"/>
        <w:rPr>
          <w:rFonts w:ascii="Calibri" w:hAnsi="Calibri" w:cs="Calibri"/>
          <w:b/>
          <w:bCs/>
          <w:color w:val="000000" w:themeColor="text1"/>
          <w:sz w:val="24"/>
          <w:szCs w:val="24"/>
        </w:rPr>
      </w:pPr>
      <w:bookmarkStart w:id="8" w:name="X6dadb0cfcccd537fb3c1039059a04313178fd6a"/>
      <w:bookmarkEnd w:id="7"/>
      <w:r w:rsidRPr="00BD7EC8">
        <w:rPr>
          <w:rFonts w:ascii="Calibri" w:hAnsi="Calibri" w:cs="Calibri"/>
          <w:b/>
          <w:bCs/>
          <w:color w:val="000000" w:themeColor="text1"/>
          <w:sz w:val="24"/>
          <w:szCs w:val="24"/>
        </w:rPr>
        <w:t>Stochastic Extinction Simulation</w:t>
      </w:r>
    </w:p>
    <w:p w14:paraId="45F3D05B" w14:textId="5CB0BD46" w:rsidR="00075358" w:rsidRPr="00F15FB2" w:rsidRDefault="006F4BB0">
      <w:pPr>
        <w:pStyle w:val="FirstParagraph"/>
        <w:rPr>
          <w:rFonts w:ascii="Calibri" w:hAnsi="Calibri" w:cs="Calibri"/>
          <w:color w:val="000000" w:themeColor="text1"/>
        </w:rPr>
      </w:pPr>
      <w:r w:rsidRPr="00F15FB2">
        <w:rPr>
          <w:rFonts w:ascii="Calibri" w:hAnsi="Calibri" w:cs="Calibri"/>
          <w:color w:val="000000" w:themeColor="text1"/>
        </w:rPr>
        <w:t>We executed a branching process simulation utilizing the empirical transmission parameters (</w:t>
      </w:r>
      <m:oMath>
        <m:sSub>
          <m:sSubPr>
            <m:ctrlPr>
              <w:rPr>
                <w:rFonts w:ascii="Cambria Math" w:hAnsi="Cambria Math" w:cs="Calibri"/>
                <w:color w:val="000000" w:themeColor="text1"/>
              </w:rPr>
            </m:ctrlPr>
          </m:sSubPr>
          <m:e>
            <m:r>
              <w:rPr>
                <w:rFonts w:ascii="Cambria Math" w:hAnsi="Cambria Math" w:cs="Calibri"/>
                <w:color w:val="000000" w:themeColor="text1"/>
              </w:rPr>
              <m:t>R</m:t>
            </m:r>
          </m:e>
          <m:sub>
            <m:r>
              <w:rPr>
                <w:rFonts w:ascii="Cambria Math" w:hAnsi="Cambria Math" w:cs="Calibri"/>
                <w:color w:val="000000" w:themeColor="text1"/>
              </w:rPr>
              <m:t>0</m:t>
            </m:r>
          </m:sub>
        </m:sSub>
        <m:r>
          <m:rPr>
            <m:sty m:val="p"/>
          </m:rPr>
          <w:rPr>
            <w:rFonts w:ascii="Cambria Math" w:hAnsi="Cambria Math" w:cs="Calibri"/>
            <w:color w:val="000000" w:themeColor="text1"/>
          </w:rPr>
          <m:t>=</m:t>
        </m:r>
        <m:r>
          <w:rPr>
            <w:rFonts w:ascii="Cambria Math" w:hAnsi="Cambria Math" w:cs="Calibri"/>
            <w:color w:val="000000" w:themeColor="text1"/>
          </w:rPr>
          <m:t>0.96</m:t>
        </m:r>
      </m:oMath>
      <w:r w:rsidRPr="00F15FB2">
        <w:rPr>
          <w:rFonts w:ascii="Calibri" w:hAnsi="Calibri" w:cs="Calibri"/>
          <w:color w:val="000000" w:themeColor="text1"/>
        </w:rPr>
        <w:t xml:space="preserve">, </w:t>
      </w:r>
      <m:oMath>
        <m:r>
          <w:rPr>
            <w:rFonts w:ascii="Cambria Math" w:hAnsi="Cambria Math" w:cs="Calibri"/>
            <w:color w:val="000000" w:themeColor="text1"/>
          </w:rPr>
          <m:t>k</m:t>
        </m:r>
        <m:r>
          <m:rPr>
            <m:sty m:val="p"/>
          </m:rPr>
          <w:rPr>
            <w:rFonts w:ascii="Cambria Math" w:hAnsi="Cambria Math" w:cs="Calibri"/>
            <w:color w:val="000000" w:themeColor="text1"/>
          </w:rPr>
          <m:t>=</m:t>
        </m:r>
        <m:r>
          <w:rPr>
            <w:rFonts w:ascii="Cambria Math" w:hAnsi="Cambria Math" w:cs="Calibri"/>
            <w:color w:val="000000" w:themeColor="text1"/>
          </w:rPr>
          <m:t>0.23</m:t>
        </m:r>
      </m:oMath>
      <w:r w:rsidRPr="00F15FB2">
        <w:rPr>
          <w:rFonts w:ascii="Calibri" w:hAnsi="Calibri" w:cs="Calibri"/>
          <w:color w:val="000000" w:themeColor="text1"/>
        </w:rPr>
        <w:t xml:space="preserve">) to model 50,000 theoretical virus introductions. The </w:t>
      </w:r>
      <w:r w:rsidR="000034A4">
        <w:rPr>
          <w:rFonts w:ascii="Calibri" w:hAnsi="Calibri" w:cs="Calibri"/>
          <w:color w:val="000000" w:themeColor="text1"/>
        </w:rPr>
        <w:t>results</w:t>
      </w:r>
      <w:r w:rsidRPr="00F15FB2">
        <w:rPr>
          <w:rFonts w:ascii="Calibri" w:hAnsi="Calibri" w:cs="Calibri"/>
          <w:color w:val="000000" w:themeColor="text1"/>
        </w:rPr>
        <w:t xml:space="preserve"> demonstrate the </w:t>
      </w:r>
      <w:r w:rsidR="00012097">
        <w:rPr>
          <w:rFonts w:ascii="Calibri" w:hAnsi="Calibri" w:cs="Calibri"/>
          <w:color w:val="000000" w:themeColor="text1"/>
        </w:rPr>
        <w:t>effect</w:t>
      </w:r>
      <w:r w:rsidRPr="00F15FB2">
        <w:rPr>
          <w:rFonts w:ascii="Calibri" w:hAnsi="Calibri" w:cs="Calibri"/>
          <w:color w:val="000000" w:themeColor="text1"/>
        </w:rPr>
        <w:t xml:space="preserve"> of the dispersion parameter: while the probability of stochastic extinction at the index case is elevated compared to homogenous pathogens, outbreaks that survive the first generation occasionally </w:t>
      </w:r>
      <w:r w:rsidR="009D4B8C">
        <w:rPr>
          <w:rFonts w:ascii="Calibri" w:hAnsi="Calibri" w:cs="Calibri"/>
          <w:color w:val="000000" w:themeColor="text1"/>
        </w:rPr>
        <w:t xml:space="preserve">result in </w:t>
      </w:r>
      <w:proofErr w:type="gramStart"/>
      <w:r w:rsidR="009D4B8C">
        <w:rPr>
          <w:rFonts w:ascii="Calibri" w:hAnsi="Calibri" w:cs="Calibri"/>
          <w:color w:val="000000" w:themeColor="text1"/>
        </w:rPr>
        <w:t>a large</w:t>
      </w:r>
      <w:r w:rsidR="002D4A63">
        <w:rPr>
          <w:rFonts w:ascii="Calibri" w:hAnsi="Calibri" w:cs="Calibri"/>
          <w:color w:val="000000" w:themeColor="text1"/>
        </w:rPr>
        <w:t xml:space="preserve"> </w:t>
      </w:r>
      <w:r w:rsidR="00D94E63">
        <w:rPr>
          <w:rFonts w:ascii="Calibri" w:hAnsi="Calibri" w:cs="Calibri"/>
          <w:color w:val="000000" w:themeColor="text1"/>
        </w:rPr>
        <w:t>number of</w:t>
      </w:r>
      <w:proofErr w:type="gramEnd"/>
      <w:r w:rsidR="00D94E63">
        <w:rPr>
          <w:rFonts w:ascii="Calibri" w:hAnsi="Calibri" w:cs="Calibri"/>
          <w:color w:val="000000" w:themeColor="text1"/>
        </w:rPr>
        <w:t xml:space="preserve"> cases.</w:t>
      </w:r>
    </w:p>
    <w:p w14:paraId="358D1C7C" w14:textId="77777777" w:rsidR="00075358" w:rsidRPr="00F15FB2" w:rsidRDefault="006F4BB0">
      <w:pPr>
        <w:pStyle w:val="BodyText"/>
        <w:rPr>
          <w:rFonts w:ascii="Calibri" w:hAnsi="Calibri" w:cs="Calibri"/>
          <w:color w:val="000000" w:themeColor="text1"/>
        </w:rPr>
      </w:pPr>
      <w:r w:rsidRPr="00F15FB2">
        <w:rPr>
          <w:rFonts w:ascii="Calibri" w:hAnsi="Calibri" w:cs="Calibri"/>
          <w:noProof/>
          <w:color w:val="000000" w:themeColor="text1"/>
        </w:rPr>
        <w:lastRenderedPageBreak/>
        <w:drawing>
          <wp:inline distT="0" distB="0" distL="0" distR="0" wp14:anchorId="47026728" wp14:editId="423C5311">
            <wp:extent cx="5334000" cy="3177396"/>
            <wp:effectExtent l="0" t="0" r="0" b="0"/>
            <wp:docPr id="24" name="Picture" descr="Stochastic Extinction Simulation"/>
            <wp:cNvGraphicFramePr/>
            <a:graphic xmlns:a="http://schemas.openxmlformats.org/drawingml/2006/main">
              <a:graphicData uri="http://schemas.openxmlformats.org/drawingml/2006/picture">
                <pic:pic xmlns:pic="http://schemas.openxmlformats.org/drawingml/2006/picture">
                  <pic:nvPicPr>
                    <pic:cNvPr id="25" name="Picture" descr="/Users/jasonandrews/.gemini/antigravity/brain/26e83a96-4a63-4226-94fe-627b326b4048/artifacts/appendix_stochastic_extinction_raincloud_1778877199.png"/>
                    <pic:cNvPicPr>
                      <a:picLocks noChangeAspect="1" noChangeArrowheads="1"/>
                    </pic:cNvPicPr>
                  </pic:nvPicPr>
                  <pic:blipFill>
                    <a:blip r:embed="rId7"/>
                    <a:stretch>
                      <a:fillRect/>
                    </a:stretch>
                  </pic:blipFill>
                  <pic:spPr bwMode="auto">
                    <a:xfrm>
                      <a:off x="0" y="0"/>
                      <a:ext cx="5334000" cy="3177396"/>
                    </a:xfrm>
                    <a:prstGeom prst="rect">
                      <a:avLst/>
                    </a:prstGeom>
                    <a:noFill/>
                    <a:ln w="9525">
                      <a:noFill/>
                      <a:headEnd/>
                      <a:tailEnd/>
                    </a:ln>
                  </pic:spPr>
                </pic:pic>
              </a:graphicData>
            </a:graphic>
          </wp:inline>
        </w:drawing>
      </w:r>
      <w:r w:rsidRPr="00F15FB2">
        <w:rPr>
          <w:rFonts w:ascii="Calibri" w:hAnsi="Calibri" w:cs="Calibri"/>
          <w:color w:val="000000" w:themeColor="text1"/>
        </w:rPr>
        <w:t xml:space="preserve"> </w:t>
      </w:r>
      <w:r w:rsidRPr="00F15FB2">
        <w:rPr>
          <w:rFonts w:ascii="Calibri" w:hAnsi="Calibri" w:cs="Calibri"/>
          <w:b/>
          <w:bCs/>
          <w:color w:val="000000" w:themeColor="text1"/>
        </w:rPr>
        <w:t>Supplementary Figure S2. Outbreak Size Probability Density.</w:t>
      </w:r>
      <w:r w:rsidRPr="00F15FB2">
        <w:rPr>
          <w:rFonts w:ascii="Calibri" w:hAnsi="Calibri" w:cs="Calibri"/>
          <w:color w:val="000000" w:themeColor="text1"/>
        </w:rPr>
        <w:t xml:space="preserve"> Raincloud plot (log-scaled KDE, jittered raw iterations, and boxplot) representing the total outbreak sizes over 50,000 simulated generations. The explicit log-scale x-axis highlights extreme long-tail clustering events.</w:t>
      </w:r>
    </w:p>
    <w:p w14:paraId="018A8A55" w14:textId="1DAD4ED9" w:rsidR="00075358" w:rsidRPr="00556C04" w:rsidRDefault="006F4BB0">
      <w:pPr>
        <w:pStyle w:val="Heading2"/>
        <w:rPr>
          <w:rFonts w:ascii="Calibri" w:hAnsi="Calibri" w:cs="Calibri"/>
          <w:b/>
          <w:bCs/>
          <w:color w:val="000000" w:themeColor="text1"/>
          <w:sz w:val="24"/>
          <w:szCs w:val="24"/>
        </w:rPr>
      </w:pPr>
      <w:bookmarkStart w:id="9" w:name="appendix-c-demographic-stratification"/>
      <w:bookmarkEnd w:id="8"/>
      <w:r w:rsidRPr="00556C04">
        <w:rPr>
          <w:rFonts w:ascii="Calibri" w:hAnsi="Calibri" w:cs="Calibri"/>
          <w:b/>
          <w:bCs/>
          <w:color w:val="000000" w:themeColor="text1"/>
          <w:sz w:val="24"/>
          <w:szCs w:val="24"/>
        </w:rPr>
        <w:t>Demographic Stratification</w:t>
      </w:r>
    </w:p>
    <w:p w14:paraId="3AE984B8" w14:textId="77777777" w:rsidR="00075358" w:rsidRPr="00F15FB2" w:rsidRDefault="006F4BB0">
      <w:pPr>
        <w:pStyle w:val="FirstParagraph"/>
        <w:rPr>
          <w:rFonts w:ascii="Calibri" w:hAnsi="Calibri" w:cs="Calibri"/>
          <w:color w:val="000000" w:themeColor="text1"/>
        </w:rPr>
      </w:pPr>
      <w:r w:rsidRPr="00F15FB2">
        <w:rPr>
          <w:rFonts w:ascii="Calibri" w:hAnsi="Calibri" w:cs="Calibri"/>
          <w:color w:val="000000" w:themeColor="text1"/>
        </w:rPr>
        <w:t xml:space="preserve">Analysis of the 2018 </w:t>
      </w:r>
      <w:proofErr w:type="spellStart"/>
      <w:r w:rsidRPr="00F15FB2">
        <w:rPr>
          <w:rFonts w:ascii="Calibri" w:hAnsi="Calibri" w:cs="Calibri"/>
          <w:color w:val="000000" w:themeColor="text1"/>
        </w:rPr>
        <w:t>Epuyén</w:t>
      </w:r>
      <w:proofErr w:type="spellEnd"/>
      <w:r w:rsidRPr="00F15FB2">
        <w:rPr>
          <w:rFonts w:ascii="Calibri" w:hAnsi="Calibri" w:cs="Calibri"/>
          <w:color w:val="000000" w:themeColor="text1"/>
        </w:rPr>
        <w:t xml:space="preserve"> line list mapped patient age against individual reproduction numbers. Infectiousness did not linearly correlate with age; rather, superspreading was bound to high-risk social behavioral events (e.g., attending specific indoor gatherings while infectious).</w:t>
      </w:r>
    </w:p>
    <w:p w14:paraId="2B955645" w14:textId="77777777" w:rsidR="00075358" w:rsidRPr="00F15FB2" w:rsidRDefault="006F4BB0">
      <w:pPr>
        <w:pStyle w:val="BodyText"/>
        <w:rPr>
          <w:rFonts w:ascii="Calibri" w:hAnsi="Calibri" w:cs="Calibri"/>
          <w:color w:val="000000" w:themeColor="text1"/>
        </w:rPr>
      </w:pPr>
      <w:r w:rsidRPr="00F15FB2">
        <w:rPr>
          <w:rFonts w:ascii="Calibri" w:hAnsi="Calibri" w:cs="Calibri"/>
          <w:noProof/>
          <w:color w:val="000000" w:themeColor="text1"/>
        </w:rPr>
        <w:lastRenderedPageBreak/>
        <w:drawing>
          <wp:inline distT="0" distB="0" distL="0" distR="0" wp14:anchorId="1F4B9A21" wp14:editId="3264AD7E">
            <wp:extent cx="5334000" cy="3810000"/>
            <wp:effectExtent l="0" t="0" r="0" b="0"/>
            <wp:docPr id="28" name="Picture" descr="Demographic Infectiousness"/>
            <wp:cNvGraphicFramePr/>
            <a:graphic xmlns:a="http://schemas.openxmlformats.org/drawingml/2006/main">
              <a:graphicData uri="http://schemas.openxmlformats.org/drawingml/2006/picture">
                <pic:pic xmlns:pic="http://schemas.openxmlformats.org/drawingml/2006/picture">
                  <pic:nvPicPr>
                    <pic:cNvPr id="29" name="Picture" descr="/Users/jasonandrews/.gemini/antigravity/brain/26e83a96-4a63-4226-94fe-627b326b4048/artifacts/appendix_demographics_1778877198.png"/>
                    <pic:cNvPicPr>
                      <a:picLocks noChangeAspect="1" noChangeArrowheads="1"/>
                    </pic:cNvPicPr>
                  </pic:nvPicPr>
                  <pic:blipFill>
                    <a:blip r:embed="rId8"/>
                    <a:stretch>
                      <a:fillRect/>
                    </a:stretch>
                  </pic:blipFill>
                  <pic:spPr bwMode="auto">
                    <a:xfrm>
                      <a:off x="0" y="0"/>
                      <a:ext cx="5334000" cy="3810000"/>
                    </a:xfrm>
                    <a:prstGeom prst="rect">
                      <a:avLst/>
                    </a:prstGeom>
                    <a:noFill/>
                    <a:ln w="9525">
                      <a:noFill/>
                      <a:headEnd/>
                      <a:tailEnd/>
                    </a:ln>
                  </pic:spPr>
                </pic:pic>
              </a:graphicData>
            </a:graphic>
          </wp:inline>
        </w:drawing>
      </w:r>
      <w:r w:rsidRPr="00F15FB2">
        <w:rPr>
          <w:rFonts w:ascii="Calibri" w:hAnsi="Calibri" w:cs="Calibri"/>
          <w:color w:val="000000" w:themeColor="text1"/>
        </w:rPr>
        <w:t xml:space="preserve"> </w:t>
      </w:r>
      <w:r w:rsidRPr="00F15FB2">
        <w:rPr>
          <w:rFonts w:ascii="Calibri" w:hAnsi="Calibri" w:cs="Calibri"/>
          <w:b/>
          <w:bCs/>
          <w:color w:val="000000" w:themeColor="text1"/>
        </w:rPr>
        <w:t>Supplementary Figure S3. Demographic Infectiousness Profiles.</w:t>
      </w:r>
      <w:r w:rsidRPr="00F15FB2">
        <w:rPr>
          <w:rFonts w:ascii="Calibri" w:hAnsi="Calibri" w:cs="Calibri"/>
          <w:color w:val="000000" w:themeColor="text1"/>
        </w:rPr>
        <w:t xml:space="preserve"> Scatter plot mapping the age of index cases against their respective number of secondary infections in the 2018 </w:t>
      </w:r>
      <w:proofErr w:type="spellStart"/>
      <w:r w:rsidRPr="00F15FB2">
        <w:rPr>
          <w:rFonts w:ascii="Calibri" w:hAnsi="Calibri" w:cs="Calibri"/>
          <w:color w:val="000000" w:themeColor="text1"/>
        </w:rPr>
        <w:t>Epuyén</w:t>
      </w:r>
      <w:proofErr w:type="spellEnd"/>
      <w:r w:rsidRPr="00F15FB2">
        <w:rPr>
          <w:rFonts w:ascii="Calibri" w:hAnsi="Calibri" w:cs="Calibri"/>
          <w:color w:val="000000" w:themeColor="text1"/>
        </w:rPr>
        <w:t xml:space="preserve"> outbreak.</w:t>
      </w:r>
      <w:bookmarkEnd w:id="6"/>
      <w:bookmarkEnd w:id="9"/>
    </w:p>
    <w:sectPr w:rsidR="00075358" w:rsidRPr="00F15FB2">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B8437C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C186CB5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58823788"/>
    <w:multiLevelType w:val="hybridMultilevel"/>
    <w:tmpl w:val="3F22707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7A932C0F"/>
    <w:multiLevelType w:val="hybridMultilevel"/>
    <w:tmpl w:val="79E6EB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91043925">
    <w:abstractNumId w:val="0"/>
  </w:num>
  <w:num w:numId="2" w16cid:durableId="878482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52331515">
    <w:abstractNumId w:val="3"/>
  </w:num>
  <w:num w:numId="4" w16cid:durableId="10986712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5358"/>
    <w:rsid w:val="000034A4"/>
    <w:rsid w:val="00012097"/>
    <w:rsid w:val="0005455D"/>
    <w:rsid w:val="0005621E"/>
    <w:rsid w:val="00075358"/>
    <w:rsid w:val="00076755"/>
    <w:rsid w:val="000809F3"/>
    <w:rsid w:val="00084BB9"/>
    <w:rsid w:val="0009068C"/>
    <w:rsid w:val="000952CF"/>
    <w:rsid w:val="00097B97"/>
    <w:rsid w:val="000A1ABA"/>
    <w:rsid w:val="000B63DC"/>
    <w:rsid w:val="000D50AE"/>
    <w:rsid w:val="000F7FC8"/>
    <w:rsid w:val="000F7FF2"/>
    <w:rsid w:val="001312B7"/>
    <w:rsid w:val="001418DB"/>
    <w:rsid w:val="001435F8"/>
    <w:rsid w:val="00174A52"/>
    <w:rsid w:val="001760C7"/>
    <w:rsid w:val="001A089B"/>
    <w:rsid w:val="001A5867"/>
    <w:rsid w:val="001B126E"/>
    <w:rsid w:val="001F6369"/>
    <w:rsid w:val="00254FCB"/>
    <w:rsid w:val="00265EE4"/>
    <w:rsid w:val="00266F7B"/>
    <w:rsid w:val="00285887"/>
    <w:rsid w:val="002D4A63"/>
    <w:rsid w:val="002E73D5"/>
    <w:rsid w:val="00313904"/>
    <w:rsid w:val="003157DC"/>
    <w:rsid w:val="003254BD"/>
    <w:rsid w:val="00365E11"/>
    <w:rsid w:val="00381CEE"/>
    <w:rsid w:val="003A64CC"/>
    <w:rsid w:val="003C7780"/>
    <w:rsid w:val="003D427B"/>
    <w:rsid w:val="004027F3"/>
    <w:rsid w:val="00422D6B"/>
    <w:rsid w:val="00425B07"/>
    <w:rsid w:val="004312D9"/>
    <w:rsid w:val="00442367"/>
    <w:rsid w:val="00474FED"/>
    <w:rsid w:val="004D2D13"/>
    <w:rsid w:val="00523885"/>
    <w:rsid w:val="005274FF"/>
    <w:rsid w:val="00545FB7"/>
    <w:rsid w:val="00556C04"/>
    <w:rsid w:val="00595079"/>
    <w:rsid w:val="005B3E8E"/>
    <w:rsid w:val="005D3013"/>
    <w:rsid w:val="00615CAD"/>
    <w:rsid w:val="00621D63"/>
    <w:rsid w:val="00622531"/>
    <w:rsid w:val="006B30AD"/>
    <w:rsid w:val="006B70A6"/>
    <w:rsid w:val="006C67F7"/>
    <w:rsid w:val="006D2BFA"/>
    <w:rsid w:val="006D6A9E"/>
    <w:rsid w:val="006F4BB0"/>
    <w:rsid w:val="00707A9B"/>
    <w:rsid w:val="00710B71"/>
    <w:rsid w:val="0072495F"/>
    <w:rsid w:val="00726BF0"/>
    <w:rsid w:val="00734BBD"/>
    <w:rsid w:val="00745F35"/>
    <w:rsid w:val="007B5BA3"/>
    <w:rsid w:val="007D740B"/>
    <w:rsid w:val="007F67CB"/>
    <w:rsid w:val="00834829"/>
    <w:rsid w:val="00866DBB"/>
    <w:rsid w:val="00880D73"/>
    <w:rsid w:val="00884503"/>
    <w:rsid w:val="008C45A5"/>
    <w:rsid w:val="0092471F"/>
    <w:rsid w:val="00972B1C"/>
    <w:rsid w:val="00995699"/>
    <w:rsid w:val="00996C54"/>
    <w:rsid w:val="009B1252"/>
    <w:rsid w:val="009D4B8C"/>
    <w:rsid w:val="009D7AF9"/>
    <w:rsid w:val="009E14DD"/>
    <w:rsid w:val="00A05685"/>
    <w:rsid w:val="00A15A6F"/>
    <w:rsid w:val="00A33C8B"/>
    <w:rsid w:val="00A935B1"/>
    <w:rsid w:val="00A94455"/>
    <w:rsid w:val="00A94C91"/>
    <w:rsid w:val="00A9629D"/>
    <w:rsid w:val="00AB5FE6"/>
    <w:rsid w:val="00AF15A0"/>
    <w:rsid w:val="00AF6B64"/>
    <w:rsid w:val="00B06C31"/>
    <w:rsid w:val="00B3539E"/>
    <w:rsid w:val="00B70590"/>
    <w:rsid w:val="00B9544E"/>
    <w:rsid w:val="00BD7EC8"/>
    <w:rsid w:val="00C0400D"/>
    <w:rsid w:val="00C22DFD"/>
    <w:rsid w:val="00C24535"/>
    <w:rsid w:val="00C82E72"/>
    <w:rsid w:val="00C84FB1"/>
    <w:rsid w:val="00CC1BDF"/>
    <w:rsid w:val="00CC2763"/>
    <w:rsid w:val="00CC3208"/>
    <w:rsid w:val="00CF5AB3"/>
    <w:rsid w:val="00D25A07"/>
    <w:rsid w:val="00D94E63"/>
    <w:rsid w:val="00DA5312"/>
    <w:rsid w:val="00DC5C92"/>
    <w:rsid w:val="00DF264C"/>
    <w:rsid w:val="00E02E44"/>
    <w:rsid w:val="00E175BC"/>
    <w:rsid w:val="00E41B25"/>
    <w:rsid w:val="00E754F8"/>
    <w:rsid w:val="00E82F71"/>
    <w:rsid w:val="00E905ED"/>
    <w:rsid w:val="00EA3295"/>
    <w:rsid w:val="00ED185A"/>
    <w:rsid w:val="00F12C1B"/>
    <w:rsid w:val="00F1306B"/>
    <w:rsid w:val="00F151CF"/>
    <w:rsid w:val="00F15FB2"/>
    <w:rsid w:val="00F53A1D"/>
    <w:rsid w:val="00F54676"/>
    <w:rsid w:val="00F722BB"/>
    <w:rsid w:val="00F90EC3"/>
    <w:rsid w:val="00FB3A36"/>
    <w:rsid w:val="00FC70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C2E56"/>
  <w15:docId w15:val="{84CCCA63-B776-484E-8BB0-42F77E693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unhideWhenUsed/>
    <w:rsid w:val="00254FCB"/>
    <w:pPr>
      <w:spacing w:before="100" w:beforeAutospacing="1" w:after="100" w:afterAutospacing="1"/>
    </w:pPr>
    <w:rPr>
      <w:rFonts w:ascii="Times New Roman" w:eastAsia="Times New Roman" w:hAnsi="Times New Roman" w:cs="Times New Roman"/>
      <w:lang w:val="en-CA" w:eastAsia="en-US"/>
    </w:rPr>
  </w:style>
  <w:style w:type="character" w:styleId="CommentReference">
    <w:name w:val="annotation reference"/>
    <w:basedOn w:val="DefaultParagraphFont"/>
    <w:rsid w:val="00B3539E"/>
    <w:rPr>
      <w:sz w:val="16"/>
      <w:szCs w:val="16"/>
    </w:rPr>
  </w:style>
  <w:style w:type="paragraph" w:styleId="CommentText">
    <w:name w:val="annotation text"/>
    <w:basedOn w:val="Normal"/>
    <w:link w:val="CommentTextChar"/>
    <w:rsid w:val="00B3539E"/>
    <w:rPr>
      <w:sz w:val="20"/>
      <w:szCs w:val="20"/>
    </w:rPr>
  </w:style>
  <w:style w:type="character" w:customStyle="1" w:styleId="CommentTextChar">
    <w:name w:val="Comment Text Char"/>
    <w:basedOn w:val="DefaultParagraphFont"/>
    <w:link w:val="CommentText"/>
    <w:rsid w:val="00B3539E"/>
    <w:rPr>
      <w:sz w:val="20"/>
      <w:szCs w:val="20"/>
    </w:rPr>
  </w:style>
  <w:style w:type="paragraph" w:styleId="CommentSubject">
    <w:name w:val="annotation subject"/>
    <w:basedOn w:val="CommentText"/>
    <w:next w:val="CommentText"/>
    <w:link w:val="CommentSubjectChar"/>
    <w:rsid w:val="00B3539E"/>
    <w:rPr>
      <w:b/>
      <w:bCs/>
    </w:rPr>
  </w:style>
  <w:style w:type="character" w:customStyle="1" w:styleId="CommentSubjectChar">
    <w:name w:val="Comment Subject Char"/>
    <w:basedOn w:val="CommentTextChar"/>
    <w:link w:val="CommentSubject"/>
    <w:rsid w:val="00B3539E"/>
    <w:rPr>
      <w:b/>
      <w:bCs/>
      <w:sz w:val="20"/>
      <w:szCs w:val="20"/>
    </w:rPr>
  </w:style>
  <w:style w:type="paragraph" w:styleId="BalloonText">
    <w:name w:val="Balloon Text"/>
    <w:basedOn w:val="Normal"/>
    <w:link w:val="BalloonTextChar"/>
    <w:rsid w:val="001418DB"/>
    <w:pPr>
      <w:spacing w:after="0"/>
    </w:pPr>
    <w:rPr>
      <w:rFonts w:ascii="Times New Roman" w:hAnsi="Times New Roman" w:cs="Times New Roman"/>
      <w:sz w:val="18"/>
      <w:szCs w:val="18"/>
    </w:rPr>
  </w:style>
  <w:style w:type="character" w:customStyle="1" w:styleId="BalloonTextChar">
    <w:name w:val="Balloon Text Char"/>
    <w:basedOn w:val="DefaultParagraphFont"/>
    <w:link w:val="BalloonText"/>
    <w:rsid w:val="001418DB"/>
    <w:rPr>
      <w:rFonts w:ascii="Times New Roman" w:hAnsi="Times New Roman" w:cs="Times New Roman"/>
      <w:sz w:val="18"/>
      <w:szCs w:val="18"/>
    </w:rPr>
  </w:style>
  <w:style w:type="paragraph" w:styleId="ListParagraph">
    <w:name w:val="List Paragraph"/>
    <w:basedOn w:val="Normal"/>
    <w:uiPriority w:val="34"/>
    <w:qFormat/>
    <w:rsid w:val="001418DB"/>
    <w:pPr>
      <w:spacing w:after="0"/>
      <w:ind w:left="720"/>
      <w:contextualSpacing/>
    </w:pPr>
    <w:rPr>
      <w:rFonts w:ascii="Times New Roman" w:eastAsia="Times New Roman" w:hAnsi="Times New Roman" w:cs="Times New Roman"/>
      <w:lang w:val="en-CA"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8870072">
      <w:bodyDiv w:val="1"/>
      <w:marLeft w:val="0"/>
      <w:marRight w:val="0"/>
      <w:marTop w:val="0"/>
      <w:marBottom w:val="0"/>
      <w:divBdr>
        <w:top w:val="none" w:sz="0" w:space="0" w:color="auto"/>
        <w:left w:val="none" w:sz="0" w:space="0" w:color="auto"/>
        <w:bottom w:val="none" w:sz="0" w:space="0" w:color="auto"/>
        <w:right w:val="none" w:sz="0" w:space="0" w:color="auto"/>
      </w:divBdr>
    </w:div>
    <w:div w:id="152135479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1506</Words>
  <Characters>8586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Isaac Bogoch</dc:creator>
  <cp:keywords/>
  <cp:lastModifiedBy>Jason Andrews</cp:lastModifiedBy>
  <cp:revision>4</cp:revision>
  <dcterms:created xsi:type="dcterms:W3CDTF">2026-05-16T15:56:00Z</dcterms:created>
  <dcterms:modified xsi:type="dcterms:W3CDTF">2026-05-16T21:06:00Z</dcterms:modified>
</cp:coreProperties>
</file>