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7D" w:rsidRPr="000C37DF" w:rsidRDefault="000C37DF" w:rsidP="006C26A2">
      <w:pPr>
        <w:widowControl/>
        <w:spacing w:beforeAutospacing="1" w:after="100" w:afterAutospacing="1" w:line="500" w:lineRule="exact"/>
        <w:jc w:val="both"/>
        <w:rPr>
          <w:rFonts w:ascii="Yu Gothic UI Light" w:eastAsia="Yu Gothic UI Light" w:hAnsi="Yu Gothic UI Light" w:cs="新細明體"/>
          <w:color w:val="343535"/>
          <w:kern w:val="0"/>
          <w:sz w:val="29"/>
          <w:szCs w:val="29"/>
        </w:rPr>
      </w:pPr>
      <w:r w:rsidRPr="000C37DF">
        <w:rPr>
          <w:rFonts w:ascii="微軟正黑體" w:eastAsia="微軟正黑體" w:hAnsi="微軟正黑體" w:cs="新細明體" w:hint="eastAsia"/>
          <w:b/>
          <w:caps/>
          <w:color w:val="343535"/>
          <w:kern w:val="0"/>
          <w:sz w:val="29"/>
          <w:szCs w:val="29"/>
          <w:lang w:eastAsia="zh-H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Chapter2 選股方法</w:t>
      </w:r>
      <w:r w:rsidR="00EE58AE" w:rsidRPr="000C37DF">
        <w:rPr>
          <w:rFonts w:ascii="微軟正黑體" w:eastAsia="微軟正黑體" w:hAnsi="微軟正黑體" w:cs="新細明體" w:hint="eastAsia"/>
          <w:b/>
          <w:caps/>
          <w:color w:val="343535"/>
          <w:kern w:val="0"/>
          <w:sz w:val="29"/>
          <w:szCs w:val="29"/>
          <w:lang w:eastAsia="zh-H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&gt;&gt;</w:t>
      </w:r>
      <w:r w:rsidRPr="000C37DF">
        <w:rPr>
          <w:rFonts w:ascii="微軟正黑體" w:eastAsia="微軟正黑體" w:hAnsi="微軟正黑體" w:cs="新細明體" w:hint="eastAsia"/>
          <w:b/>
          <w:caps/>
          <w:color w:val="343535"/>
          <w:kern w:val="0"/>
          <w:sz w:val="29"/>
          <w:szCs w:val="29"/>
          <w:lang w:eastAsia="zh-H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觀察獲利矩陣</w:t>
      </w:r>
      <w:proofErr w:type="gramStart"/>
      <w:r w:rsidRPr="000C37DF">
        <w:rPr>
          <w:rFonts w:ascii="微軟正黑體" w:eastAsia="微軟正黑體" w:hAnsi="微軟正黑體" w:cs="新細明體" w:hint="eastAsia"/>
          <w:b/>
          <w:caps/>
          <w:color w:val="343535"/>
          <w:kern w:val="0"/>
          <w:sz w:val="29"/>
          <w:szCs w:val="29"/>
          <w:lang w:eastAsia="zh-H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快篩好</w:t>
      </w:r>
      <w:proofErr w:type="gramEnd"/>
      <w:r w:rsidRPr="000C37DF">
        <w:rPr>
          <w:rFonts w:ascii="微軟正黑體" w:eastAsia="微軟正黑體" w:hAnsi="微軟正黑體" w:cs="新細明體" w:hint="eastAsia"/>
          <w:b/>
          <w:caps/>
          <w:color w:val="343535"/>
          <w:kern w:val="0"/>
          <w:sz w:val="29"/>
          <w:szCs w:val="29"/>
          <w:lang w:eastAsia="zh-HK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股清單</w:t>
      </w:r>
      <w:r w:rsidR="00EE58AE" w:rsidRPr="000C37DF">
        <w:rPr>
          <w:rFonts w:ascii="微軟正黑體" w:eastAsia="微軟正黑體" w:hAnsi="微軟正黑體" w:cs="新細明體" w:hint="eastAsia"/>
          <w:b/>
          <w:caps/>
          <w:color w:val="000000" w:themeColor="text1"/>
          <w:kern w:val="0"/>
          <w:sz w:val="29"/>
          <w:szCs w:val="2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(讀後心得)</w:t>
      </w:r>
    </w:p>
    <w:p w:rsidR="00F343BE" w:rsidRDefault="00BA4938" w:rsidP="00100424">
      <w:pPr>
        <w:widowControl/>
        <w:spacing w:line="0" w:lineRule="atLeast"/>
        <w:jc w:val="both"/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</w:pPr>
      <w:r w:rsidRPr="00BA4938"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2-1</w:t>
      </w:r>
      <w:r w:rsidRPr="00BA4938"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  <w:t xml:space="preserve"> </w:t>
      </w:r>
      <w:r w:rsidRPr="00BA4938"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用2指標將股票分類聚焦投資A</w:t>
      </w:r>
      <w:proofErr w:type="gramStart"/>
      <w:r w:rsidRPr="00BA4938"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級好股</w:t>
      </w:r>
      <w:proofErr w:type="gramEnd"/>
    </w:p>
    <w:p w:rsidR="00BA4938" w:rsidRPr="00B74BAE" w:rsidRDefault="00BA4938" w:rsidP="00100424">
      <w:pPr>
        <w:widowControl/>
        <w:spacing w:line="0" w:lineRule="atLeast"/>
        <w:jc w:val="both"/>
        <w:rPr>
          <w:rFonts w:ascii="Microsoft JhengHei UI" w:eastAsia="Microsoft JhengHei UI" w:hAnsi="Microsoft JhengHei UI" w:cstheme="minorHAnsi"/>
          <w:color w:val="343535"/>
          <w:kern w:val="0"/>
          <w:sz w:val="26"/>
          <w:szCs w:val="26"/>
          <w:lang w:eastAsia="zh-HK"/>
        </w:rPr>
      </w:pPr>
      <w:r w:rsidRPr="00B74BAE">
        <w:rPr>
          <w:rFonts w:ascii="Microsoft JhengHei UI" w:eastAsia="Microsoft JhengHei UI" w:hAnsi="Microsoft JhengHei UI" w:cstheme="minorHAnsi"/>
          <w:color w:val="343535"/>
          <w:kern w:val="0"/>
          <w:sz w:val="26"/>
          <w:szCs w:val="26"/>
          <w:lang w:eastAsia="zh-HK"/>
        </w:rPr>
        <w:sym w:font="Wingdings 2" w:char="F075"/>
      </w:r>
      <w:r w:rsidRPr="00B74BAE">
        <w:rPr>
          <w:rFonts w:ascii="Microsoft JhengHei UI" w:eastAsia="Microsoft JhengHei UI" w:hAnsi="Microsoft JhengHei UI" w:cstheme="minorHAnsi"/>
          <w:color w:val="343535"/>
          <w:kern w:val="0"/>
          <w:sz w:val="26"/>
          <w:szCs w:val="26"/>
          <w:lang w:eastAsia="zh-HK"/>
        </w:rPr>
        <w:t xml:space="preserve"> ROE：</w:t>
      </w:r>
      <w:r w:rsidR="005372BC" w:rsidRPr="00B74BAE">
        <w:rPr>
          <w:rFonts w:ascii="Microsoft JhengHei UI" w:eastAsia="Microsoft JhengHei UI" w:hAnsi="Microsoft JhengHei UI" w:cstheme="minorHAnsi"/>
          <w:color w:val="343535"/>
          <w:kern w:val="0"/>
          <w:sz w:val="26"/>
          <w:szCs w:val="26"/>
          <w:lang w:eastAsia="zh-HK"/>
        </w:rPr>
        <w:t>爲衡量一間公司爲股東賺錢能力的指標。</w:t>
      </w:r>
    </w:p>
    <w:p w:rsidR="00BA4938" w:rsidRDefault="00BA4938" w:rsidP="00100424">
      <w:pPr>
        <w:widowControl/>
        <w:spacing w:line="0" w:lineRule="atLeast"/>
        <w:ind w:left="283" w:hangingChars="109" w:hanging="283"/>
        <w:jc w:val="both"/>
        <w:rPr>
          <w:rFonts w:ascii="Microsoft JhengHei UI" w:eastAsia="Microsoft JhengHei UI" w:hAnsi="Microsoft JhengHei UI" w:cstheme="minorHAnsi"/>
          <w:color w:val="343535"/>
          <w:kern w:val="0"/>
          <w:sz w:val="26"/>
          <w:szCs w:val="26"/>
          <w:lang w:eastAsia="zh-HK"/>
        </w:rPr>
      </w:pPr>
      <w:r w:rsidRPr="00B74BAE">
        <w:rPr>
          <w:rFonts w:ascii="Microsoft JhengHei UI" w:eastAsia="Microsoft JhengHei UI" w:hAnsi="Microsoft JhengHei UI" w:cstheme="minorHAnsi"/>
          <w:color w:val="343535"/>
          <w:kern w:val="0"/>
          <w:sz w:val="26"/>
          <w:szCs w:val="26"/>
          <w:lang w:eastAsia="zh-HK"/>
        </w:rPr>
        <w:sym w:font="Wingdings 2" w:char="F076"/>
      </w:r>
      <w:r w:rsidR="00B74BAE" w:rsidRPr="00B74BAE">
        <w:rPr>
          <w:rFonts w:ascii="Microsoft JhengHei UI" w:eastAsia="Microsoft JhengHei UI" w:hAnsi="Microsoft JhengHei UI" w:cstheme="minorHAnsi" w:hint="eastAsia"/>
          <w:color w:val="343535"/>
          <w:kern w:val="0"/>
          <w:sz w:val="26"/>
          <w:szCs w:val="26"/>
          <w:lang w:eastAsia="zh-HK"/>
        </w:rPr>
        <w:t>自由現金流：又被稱作「業主盈餘」</w:t>
      </w:r>
      <w:r w:rsidR="002D6552">
        <w:rPr>
          <w:rFonts w:ascii="Microsoft JhengHei UI" w:eastAsia="Microsoft JhengHei UI" w:hAnsi="Microsoft JhengHei UI" w:cstheme="minorHAnsi" w:hint="eastAsia"/>
          <w:color w:val="343535"/>
          <w:kern w:val="0"/>
          <w:sz w:val="26"/>
          <w:szCs w:val="26"/>
          <w:lang w:eastAsia="zh-HK"/>
        </w:rPr>
        <w:t>，有充沛自由現金流的公司，才是良好的</w:t>
      </w:r>
      <w:proofErr w:type="gramStart"/>
      <w:r w:rsidR="002D6552">
        <w:rPr>
          <w:rFonts w:ascii="Microsoft JhengHei UI" w:eastAsia="Microsoft JhengHei UI" w:hAnsi="Microsoft JhengHei UI" w:cstheme="minorHAnsi" w:hint="eastAsia"/>
          <w:color w:val="343535"/>
          <w:kern w:val="0"/>
          <w:sz w:val="26"/>
          <w:szCs w:val="26"/>
          <w:lang w:eastAsia="zh-HK"/>
        </w:rPr>
        <w:t>長期存股標</w:t>
      </w:r>
      <w:proofErr w:type="gramEnd"/>
      <w:r w:rsidR="002D6552">
        <w:rPr>
          <w:rFonts w:ascii="Microsoft JhengHei UI" w:eastAsia="Microsoft JhengHei UI" w:hAnsi="Microsoft JhengHei UI" w:cstheme="minorHAnsi" w:hint="eastAsia"/>
          <w:color w:val="343535"/>
          <w:kern w:val="0"/>
          <w:sz w:val="26"/>
          <w:szCs w:val="26"/>
          <w:lang w:eastAsia="zh-HK"/>
        </w:rPr>
        <w:t>的。</w:t>
      </w:r>
    </w:p>
    <w:p w:rsidR="00100424" w:rsidRPr="00100424" w:rsidRDefault="00100424" w:rsidP="00100424">
      <w:pPr>
        <w:widowControl/>
        <w:spacing w:line="0" w:lineRule="atLeast"/>
        <w:ind w:left="218" w:hangingChars="109" w:hanging="218"/>
        <w:jc w:val="both"/>
        <w:rPr>
          <w:rFonts w:ascii="Microsoft JhengHei UI" w:eastAsia="Microsoft JhengHei UI" w:hAnsi="Microsoft JhengHei UI" w:cstheme="minorHAnsi"/>
          <w:color w:val="343535"/>
          <w:kern w:val="0"/>
          <w:sz w:val="20"/>
          <w:szCs w:val="20"/>
          <w:lang w:eastAsia="zh-HK"/>
        </w:rPr>
      </w:pPr>
    </w:p>
    <w:p w:rsidR="00F278A4" w:rsidRPr="007825F0" w:rsidRDefault="002D6552" w:rsidP="00100424">
      <w:pPr>
        <w:widowControl/>
        <w:spacing w:line="0" w:lineRule="atLeast"/>
        <w:jc w:val="both"/>
        <w:rPr>
          <w:rFonts w:ascii="Microsoft YaHei UI" w:eastAsia="Microsoft YaHei UI" w:hAnsi="Microsoft YaHei UI" w:cs="新細明體"/>
          <w:color w:val="343535"/>
          <w:kern w:val="0"/>
          <w:sz w:val="26"/>
          <w:szCs w:val="26"/>
          <w:lang w:eastAsia="zh-HK"/>
        </w:rPr>
      </w:pPr>
      <w:r w:rsidRPr="002D6552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獲利矩陣</w:t>
      </w:r>
      <w:proofErr w:type="gramStart"/>
      <w:r w:rsidRPr="002D6552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共可評等</w:t>
      </w:r>
      <w:proofErr w:type="gramEnd"/>
      <w:r w:rsidRPr="002D6552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出</w:t>
      </w:r>
      <w:r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7</w:t>
      </w:r>
      <w:r w:rsidRPr="002D6552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種等級</w:t>
      </w:r>
      <w:r w:rsidRPr="00651DFA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，優選矩陣中等級爲A</w:t>
      </w:r>
      <w:r w:rsidR="00367BC2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級</w:t>
      </w:r>
      <w:r w:rsidR="00367BC2">
        <w:rPr>
          <w:rFonts w:asciiTheme="minorEastAsia" w:hAnsiTheme="minorEastAsia" w:cs="新細明體" w:hint="eastAsia"/>
          <w:color w:val="343535"/>
          <w:kern w:val="0"/>
          <w:sz w:val="26"/>
          <w:szCs w:val="26"/>
          <w:lang w:eastAsia="zh-HK"/>
        </w:rPr>
        <w:t>、</w:t>
      </w:r>
      <w:r w:rsidRPr="00651DFA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備取B</w:t>
      </w:r>
      <w:r w:rsidR="00367BC2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級</w:t>
      </w:r>
      <w:r w:rsidR="00367BC2">
        <w:rPr>
          <w:rFonts w:asciiTheme="minorEastAsia" w:hAnsiTheme="minorEastAsia" w:cs="新細明體" w:hint="eastAsia"/>
          <w:color w:val="343535"/>
          <w:kern w:val="0"/>
          <w:sz w:val="26"/>
          <w:szCs w:val="26"/>
          <w:lang w:eastAsia="zh-HK"/>
        </w:rPr>
        <w:t>、</w:t>
      </w:r>
      <w:r w:rsidRPr="00651DFA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C級納入觀察區</w:t>
      </w:r>
      <w:r w:rsidR="00651DFA" w:rsidRPr="00651DFA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，D級則完全不納入投資考慮。</w:t>
      </w:r>
    </w:p>
    <w:p w:rsidR="00F278A4" w:rsidRPr="00FF6748" w:rsidRDefault="00F278A4" w:rsidP="00100424">
      <w:pPr>
        <w:widowControl/>
        <w:spacing w:line="0" w:lineRule="atLeast"/>
        <w:jc w:val="both"/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</w:pPr>
      <w:r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lang w:eastAsia="zh-HK"/>
        </w:rPr>
        <w:t>1.</w:t>
      </w:r>
      <w:r w:rsidR="00651DFA"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u w:val="single"/>
          <w:lang w:eastAsia="zh-HK"/>
        </w:rPr>
        <w:t>A等級</w:t>
      </w:r>
      <w:r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lang w:eastAsia="zh-HK"/>
        </w:rPr>
        <w:t>：</w:t>
      </w:r>
      <w:r w:rsidR="00FF6748"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ROE</w:t>
      </w:r>
      <w:r w:rsidR="00FF6748" w:rsidRPr="00FF6748">
        <w:rPr>
          <w:rFonts w:ascii="Times New Roman" w:hAnsi="Times New Roman" w:cs="Times New Roman"/>
          <w:color w:val="000000" w:themeColor="text1"/>
        </w:rPr>
        <w:t xml:space="preserve"> </w:t>
      </w:r>
      <w:r w:rsidR="00FF6748" w:rsidRPr="00FF6748"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  <w:t>≥15%</w:t>
      </w:r>
      <w:r w:rsidR="00FF6748"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，</w:t>
      </w:r>
      <w:r w:rsidR="00FF6748" w:rsidRPr="00FF6748">
        <w:rPr>
          <w:rFonts w:ascii="Microsoft YaHei UI" w:eastAsia="Microsoft YaHei UI" w:hAnsi="Microsoft YaHei UI" w:cs="新細明體" w:hint="eastAsia"/>
          <w:color w:val="0070C0"/>
          <w:kern w:val="0"/>
          <w:sz w:val="26"/>
          <w:szCs w:val="26"/>
          <w:lang w:eastAsia="zh-HK"/>
        </w:rPr>
        <w:t>有</w:t>
      </w:r>
      <w:r w:rsidR="00FF6748"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自由現金流</w:t>
      </w:r>
      <w:r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。</w:t>
      </w:r>
    </w:p>
    <w:p w:rsidR="00FF6748" w:rsidRDefault="00F278A4" w:rsidP="00100424">
      <w:pPr>
        <w:widowControl/>
        <w:spacing w:line="0" w:lineRule="atLeast"/>
        <w:jc w:val="both"/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</w:pPr>
      <w:r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lang w:eastAsia="zh-HK"/>
        </w:rPr>
        <w:t>2.</w:t>
      </w:r>
      <w:r w:rsidR="00651DFA"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u w:val="single"/>
          <w:lang w:eastAsia="zh-HK"/>
        </w:rPr>
        <w:t>B</w:t>
      </w:r>
      <w:r w:rsid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u w:val="single"/>
          <w:lang w:eastAsia="zh-HK"/>
        </w:rPr>
        <w:t>1</w:t>
      </w:r>
      <w:r w:rsidR="00651DFA"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u w:val="single"/>
          <w:lang w:eastAsia="zh-HK"/>
        </w:rPr>
        <w:t>等級</w:t>
      </w:r>
      <w:r w:rsidR="00FF6748" w:rsidRPr="00FF6748">
        <w:rPr>
          <w:rFonts w:asciiTheme="minorEastAsia" w:hAnsiTheme="minorEastAsia" w:cs="新細明體" w:hint="eastAsia"/>
          <w:b/>
          <w:color w:val="C00000"/>
          <w:kern w:val="0"/>
          <w:sz w:val="26"/>
          <w:szCs w:val="26"/>
          <w:lang w:eastAsia="zh-HK"/>
        </w:rPr>
        <w:t>：</w:t>
      </w:r>
      <w:r w:rsidR="00FF6748"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ROE</w:t>
      </w:r>
      <w:r w:rsidR="00FF6748" w:rsidRPr="00FF6748">
        <w:rPr>
          <w:rFonts w:ascii="Times New Roman" w:hAnsi="Times New Roman" w:cs="Times New Roman"/>
          <w:color w:val="000000" w:themeColor="text1"/>
        </w:rPr>
        <w:t xml:space="preserve"> </w:t>
      </w:r>
      <w:r w:rsidR="00FF6748" w:rsidRPr="00FF6748"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  <w:t>≥15%</w:t>
      </w:r>
      <w:r w:rsidR="00FF6748"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，</w:t>
      </w:r>
      <w:r w:rsidR="00FF6748" w:rsidRPr="00FF6748">
        <w:rPr>
          <w:rFonts w:ascii="Microsoft YaHei UI" w:eastAsia="Microsoft YaHei UI" w:hAnsi="Microsoft YaHei UI" w:cs="新細明體" w:hint="eastAsia"/>
          <w:color w:val="00B050"/>
          <w:kern w:val="0"/>
          <w:sz w:val="26"/>
          <w:szCs w:val="26"/>
          <w:lang w:eastAsia="zh-HK"/>
        </w:rPr>
        <w:t>無</w:t>
      </w:r>
      <w:r w:rsidR="00FF6748"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自由現金流。</w:t>
      </w:r>
    </w:p>
    <w:p w:rsidR="00FF6748" w:rsidRPr="00FF6748" w:rsidRDefault="00FF6748" w:rsidP="00100424">
      <w:pPr>
        <w:widowControl/>
        <w:spacing w:line="0" w:lineRule="atLeast"/>
        <w:ind w:firstLineChars="100" w:firstLine="260"/>
        <w:jc w:val="both"/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</w:pPr>
      <w:r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u w:val="single"/>
          <w:lang w:eastAsia="zh-HK"/>
        </w:rPr>
        <w:t>B</w:t>
      </w:r>
      <w:r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u w:val="single"/>
          <w:lang w:eastAsia="zh-HK"/>
        </w:rPr>
        <w:t>2</w:t>
      </w:r>
      <w:r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u w:val="single"/>
          <w:lang w:eastAsia="zh-HK"/>
        </w:rPr>
        <w:t>等級</w:t>
      </w:r>
      <w:r w:rsidRPr="00FF6748">
        <w:rPr>
          <w:rFonts w:asciiTheme="minorEastAsia" w:hAnsiTheme="minorEastAsia" w:cs="新細明體" w:hint="eastAsia"/>
          <w:b/>
          <w:color w:val="C00000"/>
          <w:kern w:val="0"/>
          <w:sz w:val="26"/>
          <w:szCs w:val="26"/>
          <w:lang w:eastAsia="zh-HK"/>
        </w:rPr>
        <w:t>：</w:t>
      </w:r>
      <w:r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15%&gt;ROE</w:t>
      </w:r>
      <w:r w:rsidRPr="00FF6748">
        <w:rPr>
          <w:rFonts w:ascii="Times New Roman" w:hAnsi="Times New Roman" w:cs="Times New Roman"/>
          <w:color w:val="000000" w:themeColor="text1"/>
        </w:rPr>
        <w:t xml:space="preserve"> </w:t>
      </w:r>
      <w:r w:rsidRPr="00FF6748"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  <w:t>≥</w:t>
      </w:r>
      <w:r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  <w:t>10</w:t>
      </w:r>
      <w:r w:rsidRPr="00FF6748"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  <w:t>%</w:t>
      </w:r>
      <w:r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，</w:t>
      </w:r>
      <w:r w:rsidRPr="00FF6748">
        <w:rPr>
          <w:rFonts w:ascii="Microsoft YaHei UI" w:eastAsia="Microsoft YaHei UI" w:hAnsi="Microsoft YaHei UI" w:cs="新細明體" w:hint="eastAsia"/>
          <w:color w:val="0070C0"/>
          <w:kern w:val="0"/>
          <w:sz w:val="26"/>
          <w:szCs w:val="26"/>
          <w:lang w:eastAsia="zh-HK"/>
        </w:rPr>
        <w:t>有</w:t>
      </w:r>
      <w:r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自由現金流。</w:t>
      </w:r>
    </w:p>
    <w:p w:rsidR="00FF6748" w:rsidRDefault="00F278A4" w:rsidP="00100424">
      <w:pPr>
        <w:widowControl/>
        <w:spacing w:line="0" w:lineRule="atLeast"/>
        <w:jc w:val="both"/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</w:pPr>
      <w:r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lang w:eastAsia="zh-HK"/>
        </w:rPr>
        <w:t>3.</w:t>
      </w:r>
      <w:r w:rsidR="00651DFA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u w:val="single"/>
          <w:lang w:eastAsia="zh-HK"/>
        </w:rPr>
        <w:t>C</w:t>
      </w:r>
      <w:r w:rsidR="00651DFA"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u w:val="single"/>
          <w:lang w:eastAsia="zh-HK"/>
        </w:rPr>
        <w:t>等級</w:t>
      </w:r>
      <w:r w:rsidR="00651DFA" w:rsidRPr="00FF6748">
        <w:rPr>
          <w:rFonts w:ascii="Microsoft YaHei UI" w:eastAsia="Microsoft YaHei UI" w:hAnsi="Microsoft YaHei UI" w:cs="新細明體" w:hint="eastAsia"/>
          <w:b/>
          <w:color w:val="C00000"/>
          <w:kern w:val="0"/>
          <w:sz w:val="26"/>
          <w:szCs w:val="26"/>
          <w:lang w:eastAsia="zh-HK"/>
        </w:rPr>
        <w:t>：</w:t>
      </w:r>
      <w:r w:rsidR="00FF6748"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15%&gt;ROE</w:t>
      </w:r>
      <w:r w:rsidR="00FF6748" w:rsidRPr="00FF6748">
        <w:rPr>
          <w:rFonts w:ascii="Times New Roman" w:hAnsi="Times New Roman" w:cs="Times New Roman"/>
          <w:color w:val="000000" w:themeColor="text1"/>
        </w:rPr>
        <w:t xml:space="preserve"> </w:t>
      </w:r>
      <w:r w:rsidR="00FF6748" w:rsidRPr="00FF6748"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  <w:t>≥</w:t>
      </w:r>
      <w:r w:rsidR="00FF6748"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  <w:t>10</w:t>
      </w:r>
      <w:r w:rsidR="00FF6748" w:rsidRPr="00FF6748">
        <w:rPr>
          <w:rFonts w:ascii="Microsoft YaHei UI" w:eastAsia="Microsoft YaHei UI" w:hAnsi="Microsoft YaHei UI" w:cs="新細明體"/>
          <w:color w:val="000000" w:themeColor="text1"/>
          <w:kern w:val="0"/>
          <w:sz w:val="26"/>
          <w:szCs w:val="26"/>
          <w:lang w:eastAsia="zh-HK"/>
        </w:rPr>
        <w:t>%</w:t>
      </w:r>
      <w:r w:rsidR="00FF6748"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，</w:t>
      </w:r>
      <w:r w:rsidR="00FF6748" w:rsidRPr="00FF6748">
        <w:rPr>
          <w:rFonts w:ascii="Microsoft YaHei UI" w:eastAsia="Microsoft YaHei UI" w:hAnsi="Microsoft YaHei UI" w:cs="新細明體" w:hint="eastAsia"/>
          <w:color w:val="00B050"/>
          <w:kern w:val="0"/>
          <w:sz w:val="26"/>
          <w:szCs w:val="26"/>
          <w:lang w:eastAsia="zh-HK"/>
        </w:rPr>
        <w:t>無</w:t>
      </w:r>
      <w:r w:rsidR="00FF6748" w:rsidRPr="00FF6748">
        <w:rPr>
          <w:rFonts w:ascii="Microsoft YaHei UI" w:eastAsia="Microsoft YaHei UI" w:hAnsi="Microsoft YaHei UI" w:cs="新細明體" w:hint="eastAsia"/>
          <w:color w:val="000000" w:themeColor="text1"/>
          <w:kern w:val="0"/>
          <w:sz w:val="26"/>
          <w:szCs w:val="26"/>
          <w:lang w:eastAsia="zh-HK"/>
        </w:rPr>
        <w:t>自由現金流。</w:t>
      </w:r>
    </w:p>
    <w:p w:rsidR="00100424" w:rsidRPr="00100424" w:rsidRDefault="00100424" w:rsidP="00100424">
      <w:pPr>
        <w:widowControl/>
        <w:spacing w:line="0" w:lineRule="atLeast"/>
        <w:jc w:val="both"/>
        <w:rPr>
          <w:rFonts w:ascii="Microsoft YaHei UI" w:eastAsia="Microsoft YaHei UI" w:hAnsi="Microsoft YaHei UI" w:cs="新細明體"/>
          <w:color w:val="000000" w:themeColor="text1"/>
          <w:kern w:val="0"/>
          <w:sz w:val="20"/>
          <w:szCs w:val="20"/>
          <w:lang w:eastAsia="zh-HK"/>
        </w:rPr>
      </w:pPr>
    </w:p>
    <w:p w:rsidR="00100424" w:rsidRDefault="00100424" w:rsidP="00100424">
      <w:pPr>
        <w:widowControl/>
        <w:spacing w:line="0" w:lineRule="atLeast"/>
        <w:jc w:val="both"/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</w:pPr>
      <w:r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2-2</w:t>
      </w:r>
      <w:r w:rsidR="000E47A6"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/2-3</w:t>
      </w:r>
      <w:r w:rsidRPr="00BA4938"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  <w:t xml:space="preserve"> </w:t>
      </w:r>
      <w:r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長期持有領先組，才能創造領先的投資績效</w:t>
      </w:r>
      <w:r w:rsidR="000E47A6"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，有效拉高整體報酬率</w:t>
      </w:r>
    </w:p>
    <w:p w:rsidR="00100424" w:rsidRDefault="000E47A6" w:rsidP="009B3965">
      <w:pPr>
        <w:widowControl/>
        <w:spacing w:line="0" w:lineRule="atLeast"/>
        <w:ind w:left="283" w:hangingChars="109" w:hanging="283"/>
        <w:jc w:val="both"/>
        <w:rPr>
          <w:rFonts w:ascii="微軟正黑體" w:eastAsia="微軟正黑體" w:hAnsi="微軟正黑體" w:cstheme="minorHAnsi"/>
          <w:color w:val="343535"/>
          <w:kern w:val="0"/>
          <w:sz w:val="26"/>
          <w:szCs w:val="26"/>
          <w:lang w:eastAsia="zh-HK"/>
        </w:rPr>
      </w:pPr>
      <w:r>
        <w:rPr>
          <w:rFonts w:ascii="微軟正黑體" w:eastAsia="微軟正黑體" w:hAnsi="微軟正黑體" w:cstheme="minorHAnsi" w:hint="eastAsia"/>
          <w:color w:val="343535"/>
          <w:kern w:val="0"/>
          <w:sz w:val="26"/>
          <w:szCs w:val="26"/>
          <w:lang w:eastAsia="zh-HK"/>
        </w:rPr>
        <w:sym w:font="Wingdings 2" w:char="F06A"/>
      </w:r>
      <w:r w:rsidR="00100424">
        <w:rPr>
          <w:rFonts w:ascii="微軟正黑體" w:eastAsia="微軟正黑體" w:hAnsi="微軟正黑體" w:cstheme="minorHAnsi" w:hint="eastAsia"/>
          <w:color w:val="343535"/>
          <w:kern w:val="0"/>
          <w:sz w:val="26"/>
          <w:szCs w:val="26"/>
          <w:lang w:eastAsia="zh-HK"/>
        </w:rPr>
        <w:t>長期持有</w:t>
      </w:r>
      <w:r w:rsidR="0042135F">
        <w:rPr>
          <w:rFonts w:ascii="微軟正黑體" w:eastAsia="微軟正黑體" w:hAnsi="微軟正黑體" w:cstheme="minorHAnsi" w:hint="eastAsia"/>
          <w:color w:val="343535"/>
          <w:kern w:val="0"/>
          <w:sz w:val="26"/>
          <w:szCs w:val="26"/>
          <w:lang w:eastAsia="zh-HK"/>
        </w:rPr>
        <w:t>A等級股</w:t>
      </w:r>
      <w:r w:rsidR="00A66381">
        <w:rPr>
          <w:rFonts w:ascii="微軟正黑體" w:eastAsia="微軟正黑體" w:hAnsi="微軟正黑體" w:cstheme="minorHAnsi" w:hint="eastAsia"/>
          <w:color w:val="343535"/>
          <w:kern w:val="0"/>
          <w:sz w:val="26"/>
          <w:szCs w:val="26"/>
          <w:lang w:eastAsia="zh-HK"/>
        </w:rPr>
        <w:t>報酬率一定比B、C等級好，但没有永遠都是A等級的公司，還是要透過定期檢視並調整手上持股，如個股降至C等級應賣出轉投入其它A等級股，有助於提升整體報酬率。</w:t>
      </w:r>
    </w:p>
    <w:p w:rsidR="000E47A6" w:rsidRDefault="000E47A6" w:rsidP="009B3965">
      <w:pPr>
        <w:widowControl/>
        <w:spacing w:line="0" w:lineRule="atLeast"/>
        <w:ind w:left="283" w:hangingChars="109" w:hanging="283"/>
        <w:jc w:val="both"/>
        <w:rPr>
          <w:rFonts w:ascii="微軟正黑體" w:eastAsia="微軟正黑體" w:hAnsi="微軟正黑體" w:cstheme="minorHAnsi"/>
          <w:color w:val="343535"/>
          <w:kern w:val="0"/>
          <w:sz w:val="26"/>
          <w:szCs w:val="26"/>
          <w:lang w:eastAsia="zh-HK"/>
        </w:rPr>
      </w:pPr>
      <w:r>
        <w:rPr>
          <w:rFonts w:ascii="微軟正黑體" w:eastAsia="微軟正黑體" w:hAnsi="微軟正黑體" w:cstheme="minorHAnsi" w:hint="eastAsia"/>
          <w:color w:val="343535"/>
          <w:kern w:val="0"/>
          <w:sz w:val="26"/>
          <w:szCs w:val="26"/>
          <w:lang w:eastAsia="zh-HK"/>
        </w:rPr>
        <w:sym w:font="Wingdings 2" w:char="F06B"/>
      </w:r>
      <w:r w:rsidR="00473152">
        <w:rPr>
          <w:rFonts w:ascii="微軟正黑體" w:eastAsia="微軟正黑體" w:hAnsi="微軟正黑體" w:cstheme="minorHAnsi" w:hint="eastAsia"/>
          <w:color w:val="343535"/>
          <w:kern w:val="0"/>
          <w:sz w:val="26"/>
          <w:szCs w:val="26"/>
          <w:lang w:eastAsia="zh-HK"/>
        </w:rPr>
        <w:t>要讓</w:t>
      </w:r>
      <w:proofErr w:type="gramStart"/>
      <w:r w:rsidR="00473152">
        <w:rPr>
          <w:rFonts w:ascii="微軟正黑體" w:eastAsia="微軟正黑體" w:hAnsi="微軟正黑體" w:cstheme="minorHAnsi" w:hint="eastAsia"/>
          <w:color w:val="343535"/>
          <w:kern w:val="0"/>
          <w:sz w:val="26"/>
          <w:szCs w:val="26"/>
          <w:lang w:eastAsia="zh-HK"/>
        </w:rPr>
        <w:t>矩陣式存股發揮</w:t>
      </w:r>
      <w:proofErr w:type="gramEnd"/>
      <w:r w:rsidR="00473152">
        <w:rPr>
          <w:rFonts w:ascii="微軟正黑體" w:eastAsia="微軟正黑體" w:hAnsi="微軟正黑體" w:cstheme="minorHAnsi" w:hint="eastAsia"/>
          <w:color w:val="343535"/>
          <w:kern w:val="0"/>
          <w:sz w:val="26"/>
          <w:szCs w:val="26"/>
          <w:lang w:eastAsia="zh-HK"/>
        </w:rPr>
        <w:t>它的功能，就要同時使用「複利」和「80/20的法則」這兩股力量。</w:t>
      </w:r>
    </w:p>
    <w:p w:rsidR="009B3965" w:rsidRPr="009B3965" w:rsidRDefault="009B3965" w:rsidP="009B3965">
      <w:pPr>
        <w:widowControl/>
        <w:spacing w:line="0" w:lineRule="atLeast"/>
        <w:ind w:left="218" w:hangingChars="109" w:hanging="218"/>
        <w:jc w:val="both"/>
        <w:rPr>
          <w:rFonts w:ascii="微軟正黑體" w:eastAsia="微軟正黑體" w:hAnsi="微軟正黑體" w:cstheme="minorHAnsi"/>
          <w:color w:val="343535"/>
          <w:kern w:val="0"/>
          <w:sz w:val="20"/>
          <w:szCs w:val="20"/>
          <w:lang w:eastAsia="zh-HK"/>
        </w:rPr>
      </w:pPr>
    </w:p>
    <w:p w:rsidR="000E47A6" w:rsidRDefault="009B3965" w:rsidP="00100424">
      <w:pPr>
        <w:widowControl/>
        <w:spacing w:line="0" w:lineRule="atLeast"/>
        <w:jc w:val="both"/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</w:pPr>
      <w:r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2-4</w:t>
      </w:r>
      <w:r w:rsidRPr="00BA4938"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  <w:t xml:space="preserve"> </w:t>
      </w:r>
      <w:r w:rsidR="001B14CC"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三</w:t>
      </w:r>
      <w:r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方法找到A</w:t>
      </w:r>
      <w:proofErr w:type="gramStart"/>
      <w:r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級股輕鬆</w:t>
      </w:r>
      <w:proofErr w:type="gramEnd"/>
      <w:r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建立</w:t>
      </w:r>
      <w:proofErr w:type="gramStart"/>
      <w:r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定存股名單</w:t>
      </w:r>
      <w:proofErr w:type="gramEnd"/>
    </w:p>
    <w:p w:rsidR="00F96FBE" w:rsidRPr="00F96FBE" w:rsidRDefault="00F96FBE" w:rsidP="00F96FBE">
      <w:pPr>
        <w:widowControl/>
        <w:spacing w:line="0" w:lineRule="atLeast"/>
        <w:ind w:left="424" w:hangingChars="163" w:hanging="424"/>
        <w:jc w:val="both"/>
        <w:rPr>
          <w:rFonts w:ascii="NSimSun" w:eastAsia="NSimSun" w:hAnsi="NSimSun"/>
          <w:color w:val="000000" w:themeColor="text1"/>
          <w:sz w:val="26"/>
          <w:szCs w:val="26"/>
          <w:lang w:eastAsia="zh-HK"/>
        </w:rPr>
      </w:pPr>
      <w:r w:rsidRPr="00F96FBE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sym w:font="Wingdings 2" w:char="F052"/>
      </w:r>
      <w:r w:rsidRPr="00F96FBE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t>參考ETF成分股，從台灣50、中型100指數過濾。</w:t>
      </w:r>
    </w:p>
    <w:p w:rsidR="00F96FBE" w:rsidRDefault="00F96FBE" w:rsidP="00F96FBE">
      <w:pPr>
        <w:widowControl/>
        <w:spacing w:line="0" w:lineRule="atLeast"/>
        <w:ind w:left="424" w:hangingChars="163" w:hanging="424"/>
        <w:jc w:val="both"/>
        <w:rPr>
          <w:rFonts w:asciiTheme="minorEastAsia" w:hAnsiTheme="minorEastAsia"/>
          <w:color w:val="000000" w:themeColor="text1"/>
          <w:sz w:val="26"/>
          <w:szCs w:val="26"/>
          <w:lang w:eastAsia="zh-HK"/>
        </w:rPr>
      </w:pPr>
      <w:r w:rsidRPr="00F96FBE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sym w:font="Wingdings 2" w:char="F052"/>
      </w:r>
      <w:r w:rsidR="00BF532A" w:rsidRPr="00BF532A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使用程式篩選，利用</w:t>
      </w:r>
      <w:proofErr w:type="gramStart"/>
      <w:r w:rsidR="00BF532A" w:rsidRPr="00BF532A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財報狗</w:t>
      </w:r>
      <w:proofErr w:type="gramEnd"/>
      <w:r w:rsidR="0030236E" w:rsidRPr="0030236E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9大指標</w:t>
      </w:r>
      <w:r w:rsidR="00BF532A" w:rsidRPr="00BF532A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網站找出A</w:t>
      </w:r>
      <w:proofErr w:type="gramStart"/>
      <w:r w:rsidR="00BF532A" w:rsidRPr="00BF532A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級股</w:t>
      </w:r>
      <w:proofErr w:type="gramEnd"/>
      <w:r w:rsidR="0030236E">
        <w:rPr>
          <w:rFonts w:asciiTheme="minorEastAsia" w:hAnsiTheme="minorEastAsia" w:hint="eastAsia"/>
          <w:color w:val="000000" w:themeColor="text1"/>
          <w:sz w:val="26"/>
          <w:szCs w:val="26"/>
          <w:lang w:eastAsia="zh-HK"/>
        </w:rPr>
        <w:t>。</w:t>
      </w:r>
    </w:p>
    <w:p w:rsidR="0030236E" w:rsidRDefault="0030236E" w:rsidP="00F96FBE">
      <w:pPr>
        <w:widowControl/>
        <w:spacing w:line="0" w:lineRule="atLeast"/>
        <w:ind w:left="424" w:hangingChars="163" w:hanging="424"/>
        <w:jc w:val="both"/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sectPr w:rsidR="0030236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0236E" w:rsidRDefault="0057597B" w:rsidP="00F96FBE">
      <w:pPr>
        <w:widowControl/>
        <w:spacing w:line="0" w:lineRule="atLeast"/>
        <w:ind w:left="424" w:hangingChars="163" w:hanging="424"/>
        <w:jc w:val="both"/>
        <w:rPr>
          <w:rFonts w:ascii="NSimSun" w:eastAsia="NSimSun" w:hAnsi="NSimSun"/>
          <w:color w:val="000000" w:themeColor="text1"/>
          <w:sz w:val="26"/>
          <w:szCs w:val="26"/>
          <w:lang w:eastAsia="zh-HK"/>
        </w:rPr>
      </w:pPr>
      <w:r>
        <w:rPr>
          <w:rFonts w:ascii="NSimSun" w:eastAsia="NSimSun" w:hAnsi="NSimSun" w:hint="eastAsia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271880" cy="2092411"/>
            <wp:effectExtent l="0" t="0" r="508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9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BE" w:rsidRDefault="00F96FBE" w:rsidP="00F96FBE">
      <w:pPr>
        <w:widowControl/>
        <w:spacing w:line="0" w:lineRule="atLeast"/>
        <w:ind w:left="424" w:hangingChars="163" w:hanging="424"/>
        <w:jc w:val="both"/>
        <w:rPr>
          <w:rFonts w:ascii="NSimSun" w:eastAsia="NSimSun" w:hAnsi="NSimSun"/>
          <w:color w:val="000000" w:themeColor="text1"/>
          <w:sz w:val="26"/>
          <w:szCs w:val="26"/>
          <w:lang w:eastAsia="zh-HK"/>
        </w:rPr>
      </w:pPr>
      <w:r w:rsidRPr="00F96FBE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lastRenderedPageBreak/>
        <w:sym w:font="Wingdings 2" w:char="F052"/>
      </w:r>
      <w:r w:rsidR="0057597B" w:rsidRPr="0057597B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利用雜誌和網路找出潛在標的。</w:t>
      </w:r>
    </w:p>
    <w:p w:rsidR="007C0658" w:rsidRPr="00D4108D" w:rsidRDefault="007C0658" w:rsidP="00D4108D">
      <w:pPr>
        <w:widowControl/>
        <w:spacing w:line="0" w:lineRule="atLeast"/>
        <w:ind w:left="326" w:hangingChars="163" w:hanging="326"/>
        <w:jc w:val="both"/>
        <w:rPr>
          <w:rFonts w:ascii="NSimSun" w:eastAsia="NSimSun" w:hAnsi="NSimSun"/>
          <w:color w:val="000000" w:themeColor="text1"/>
          <w:sz w:val="20"/>
          <w:szCs w:val="20"/>
          <w:lang w:eastAsia="zh-HK"/>
        </w:rPr>
      </w:pPr>
    </w:p>
    <w:p w:rsidR="007C0658" w:rsidRDefault="007C0658" w:rsidP="007C0658">
      <w:pPr>
        <w:widowControl/>
        <w:spacing w:line="0" w:lineRule="atLeast"/>
        <w:jc w:val="both"/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</w:pPr>
      <w:r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2-5</w:t>
      </w:r>
      <w:r w:rsidRPr="00BA4938"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  <w:t xml:space="preserve"> </w:t>
      </w:r>
      <w:r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自製獲利能力矩陣等級表快速分析個股</w:t>
      </w:r>
    </w:p>
    <w:p w:rsidR="00E73A68" w:rsidRPr="00E73A68" w:rsidRDefault="00E73A68" w:rsidP="00E73A68">
      <w:pPr>
        <w:widowControl/>
        <w:spacing w:line="0" w:lineRule="atLeast"/>
        <w:ind w:leftChars="176" w:left="422" w:firstLineChars="55" w:firstLine="143"/>
        <w:jc w:val="both"/>
        <w:rPr>
          <w:rFonts w:asciiTheme="majorHAnsi" w:eastAsia="Microsoft YaHei Light" w:hAnsiTheme="majorHAnsi"/>
          <w:color w:val="000000" w:themeColor="text1"/>
          <w:sz w:val="26"/>
          <w:szCs w:val="26"/>
          <w:lang w:eastAsia="zh-HK"/>
        </w:rPr>
      </w:pPr>
      <w:r w:rsidRPr="00E73A68">
        <w:rPr>
          <w:rFonts w:asciiTheme="majorHAnsi" w:eastAsia="Microsoft YaHei Light" w:hAnsiTheme="majorHAnsi"/>
          <w:color w:val="000000" w:themeColor="text1"/>
          <w:sz w:val="26"/>
          <w:szCs w:val="26"/>
          <w:lang w:eastAsia="zh-HK"/>
        </w:rPr>
        <w:sym w:font="Wingdings 2" w:char="F0EA"/>
      </w:r>
      <w:r w:rsidRPr="00E73A68">
        <w:rPr>
          <w:rFonts w:asciiTheme="majorHAnsi" w:eastAsia="Microsoft YaHei Light" w:hAnsiTheme="majorHAnsi"/>
          <w:color w:val="1D2129"/>
        </w:rPr>
        <w:t>設定近</w:t>
      </w:r>
      <w:r w:rsidRPr="00E73A68">
        <w:rPr>
          <w:rFonts w:asciiTheme="majorHAnsi" w:eastAsia="Microsoft YaHei Light" w:hAnsiTheme="majorHAnsi"/>
          <w:color w:val="1D2129"/>
        </w:rPr>
        <w:t>5</w:t>
      </w:r>
      <w:r w:rsidRPr="00E73A68">
        <w:rPr>
          <w:rFonts w:asciiTheme="majorHAnsi" w:eastAsia="Microsoft YaHei Light" w:hAnsiTheme="majorHAnsi"/>
          <w:color w:val="1D2129"/>
        </w:rPr>
        <w:t>年表格</w:t>
      </w:r>
    </w:p>
    <w:p w:rsidR="00E73A68" w:rsidRPr="00E73A68" w:rsidRDefault="00E73A68" w:rsidP="00E73A68">
      <w:pPr>
        <w:widowControl/>
        <w:spacing w:line="0" w:lineRule="atLeast"/>
        <w:ind w:leftChars="176" w:left="422" w:firstLineChars="55" w:firstLine="143"/>
        <w:jc w:val="both"/>
        <w:rPr>
          <w:rFonts w:asciiTheme="majorHAnsi" w:eastAsia="Microsoft YaHei Light" w:hAnsiTheme="majorHAnsi"/>
          <w:color w:val="000000" w:themeColor="text1"/>
          <w:sz w:val="26"/>
          <w:szCs w:val="26"/>
          <w:lang w:eastAsia="zh-HK"/>
        </w:rPr>
      </w:pPr>
      <w:r w:rsidRPr="00E73A68">
        <w:rPr>
          <w:rFonts w:asciiTheme="majorHAnsi" w:eastAsia="Microsoft YaHei Light" w:hAnsiTheme="majorHAnsi"/>
          <w:color w:val="000000" w:themeColor="text1"/>
          <w:sz w:val="26"/>
          <w:szCs w:val="26"/>
          <w:lang w:eastAsia="zh-HK"/>
        </w:rPr>
        <w:sym w:font="Wingdings 2" w:char="F0EA"/>
      </w:r>
      <w:r w:rsidRPr="00E73A68">
        <w:rPr>
          <w:rFonts w:asciiTheme="majorHAnsi" w:eastAsia="Microsoft YaHei Light" w:hAnsiTheme="majorHAnsi"/>
          <w:color w:val="1D2129"/>
        </w:rPr>
        <w:t>查詢個股近</w:t>
      </w:r>
      <w:r w:rsidRPr="00E73A68">
        <w:rPr>
          <w:rFonts w:asciiTheme="majorHAnsi" w:eastAsia="Microsoft YaHei Light" w:hAnsiTheme="majorHAnsi"/>
          <w:color w:val="1D2129"/>
        </w:rPr>
        <w:t>5</w:t>
      </w:r>
      <w:r w:rsidRPr="00E73A68">
        <w:rPr>
          <w:rFonts w:asciiTheme="majorHAnsi" w:eastAsia="Microsoft YaHei Light" w:hAnsiTheme="majorHAnsi"/>
          <w:color w:val="1D2129"/>
        </w:rPr>
        <w:t>年的年度</w:t>
      </w:r>
      <w:r w:rsidRPr="00E73A68">
        <w:rPr>
          <w:rFonts w:asciiTheme="majorHAnsi" w:eastAsia="Microsoft YaHei Light" w:hAnsiTheme="majorHAnsi"/>
          <w:color w:val="1D2129"/>
        </w:rPr>
        <w:t>ROE</w:t>
      </w:r>
    </w:p>
    <w:p w:rsidR="00E73A68" w:rsidRPr="00E73A68" w:rsidRDefault="00E73A68" w:rsidP="00E73A68">
      <w:pPr>
        <w:widowControl/>
        <w:spacing w:line="0" w:lineRule="atLeast"/>
        <w:ind w:leftChars="176" w:left="422" w:firstLineChars="55" w:firstLine="143"/>
        <w:jc w:val="both"/>
        <w:rPr>
          <w:rFonts w:asciiTheme="majorHAnsi" w:eastAsia="Microsoft YaHei Light" w:hAnsiTheme="majorHAnsi"/>
          <w:color w:val="000000" w:themeColor="text1"/>
          <w:sz w:val="26"/>
          <w:szCs w:val="26"/>
          <w:lang w:eastAsia="zh-HK"/>
        </w:rPr>
      </w:pPr>
      <w:r w:rsidRPr="00E73A68">
        <w:rPr>
          <w:rFonts w:asciiTheme="majorHAnsi" w:eastAsia="Microsoft YaHei Light" w:hAnsiTheme="majorHAnsi"/>
          <w:color w:val="000000" w:themeColor="text1"/>
          <w:sz w:val="26"/>
          <w:szCs w:val="26"/>
          <w:lang w:eastAsia="zh-HK"/>
        </w:rPr>
        <w:sym w:font="Wingdings 2" w:char="F0EA"/>
      </w:r>
      <w:r w:rsidRPr="00E73A68">
        <w:rPr>
          <w:rFonts w:asciiTheme="majorHAnsi" w:eastAsia="Microsoft YaHei Light" w:hAnsiTheme="majorHAnsi"/>
          <w:color w:val="1D2129"/>
        </w:rPr>
        <w:t>查詢個股每股自由現金流</w:t>
      </w:r>
    </w:p>
    <w:p w:rsidR="00E73A68" w:rsidRPr="00E73A68" w:rsidRDefault="00E73A68" w:rsidP="00E73A68">
      <w:pPr>
        <w:widowControl/>
        <w:spacing w:line="0" w:lineRule="atLeast"/>
        <w:ind w:leftChars="176" w:left="422" w:firstLineChars="55" w:firstLine="132"/>
        <w:jc w:val="both"/>
        <w:rPr>
          <w:rFonts w:asciiTheme="majorHAnsi" w:eastAsia="Microsoft YaHei Light" w:hAnsiTheme="majorHAnsi"/>
          <w:color w:val="1D2129"/>
        </w:rPr>
      </w:pPr>
      <w:r w:rsidRPr="00E73A68">
        <w:rPr>
          <w:rFonts w:asciiTheme="majorHAnsi" w:eastAsia="Microsoft YaHei Light" w:hAnsiTheme="majorHAnsi"/>
          <w:color w:val="1D2129"/>
        </w:rPr>
        <w:sym w:font="Wingdings 2" w:char="F0EA"/>
      </w:r>
      <w:r w:rsidRPr="00E73A68">
        <w:rPr>
          <w:rFonts w:asciiTheme="majorHAnsi" w:eastAsia="Microsoft YaHei Light" w:hAnsiTheme="majorHAnsi" w:hint="eastAsia"/>
          <w:color w:val="1D2129"/>
        </w:rPr>
        <w:t>確認</w:t>
      </w:r>
      <w:r w:rsidRPr="00E73A68">
        <w:rPr>
          <w:rFonts w:asciiTheme="majorHAnsi" w:eastAsia="Microsoft YaHei Light" w:hAnsiTheme="majorHAnsi"/>
          <w:color w:val="1D2129"/>
        </w:rPr>
        <w:t>表格填入正確</w:t>
      </w:r>
      <w:r w:rsidRPr="00E73A68">
        <w:rPr>
          <w:rFonts w:asciiTheme="majorHAnsi" w:eastAsia="Microsoft YaHei Light" w:hAnsiTheme="majorHAnsi"/>
          <w:color w:val="1D2129"/>
        </w:rPr>
        <w:t>ROE</w:t>
      </w:r>
      <w:r w:rsidRPr="00E73A68">
        <w:rPr>
          <w:rFonts w:asciiTheme="majorHAnsi" w:eastAsia="Microsoft YaHei Light" w:hAnsiTheme="majorHAnsi"/>
          <w:color w:val="1D2129"/>
        </w:rPr>
        <w:t>和每股自由現金流數據</w:t>
      </w:r>
    </w:p>
    <w:p w:rsidR="00E73A68" w:rsidRPr="00E73A68" w:rsidRDefault="00E73A68" w:rsidP="00E73A68">
      <w:pPr>
        <w:widowControl/>
        <w:spacing w:line="0" w:lineRule="atLeast"/>
        <w:ind w:leftChars="176" w:left="422" w:firstLineChars="55" w:firstLine="132"/>
        <w:jc w:val="both"/>
        <w:rPr>
          <w:rFonts w:asciiTheme="majorHAnsi" w:eastAsia="Microsoft YaHei Light" w:hAnsiTheme="majorHAnsi"/>
          <w:color w:val="1D2129"/>
        </w:rPr>
      </w:pPr>
      <w:r w:rsidRPr="00E73A68">
        <w:rPr>
          <w:rFonts w:asciiTheme="majorHAnsi" w:eastAsia="Microsoft YaHei Light" w:hAnsiTheme="majorHAnsi"/>
          <w:color w:val="1D2129"/>
        </w:rPr>
        <w:sym w:font="Wingdings 2" w:char="F0EA"/>
      </w:r>
      <w:r w:rsidRPr="00E73A68">
        <w:rPr>
          <w:rFonts w:asciiTheme="majorHAnsi" w:eastAsia="Microsoft YaHei Light" w:hAnsiTheme="majorHAnsi"/>
          <w:color w:val="1D2129"/>
        </w:rPr>
        <w:t>設定公式讓</w:t>
      </w:r>
      <w:r w:rsidRPr="00E73A68">
        <w:rPr>
          <w:rFonts w:asciiTheme="majorHAnsi" w:eastAsia="Microsoft YaHei Light" w:hAnsiTheme="majorHAnsi"/>
          <w:color w:val="1D2129"/>
        </w:rPr>
        <w:t xml:space="preserve">EXCEL </w:t>
      </w:r>
      <w:r w:rsidRPr="00E73A68">
        <w:rPr>
          <w:rFonts w:asciiTheme="majorHAnsi" w:eastAsia="Microsoft YaHei Light" w:hAnsiTheme="majorHAnsi"/>
          <w:color w:val="1D2129"/>
        </w:rPr>
        <w:t>自動判讀獲利矩陣</w:t>
      </w:r>
    </w:p>
    <w:p w:rsidR="00F06E80" w:rsidRDefault="00E73A68" w:rsidP="00E73A68">
      <w:pPr>
        <w:widowControl/>
        <w:spacing w:line="0" w:lineRule="atLeast"/>
        <w:ind w:leftChars="176" w:left="422" w:firstLineChars="55" w:firstLine="143"/>
        <w:jc w:val="both"/>
        <w:rPr>
          <w:rFonts w:asciiTheme="majorHAnsi" w:hAnsiTheme="majorHAnsi"/>
          <w:color w:val="1D2129"/>
        </w:rPr>
      </w:pPr>
      <w:r w:rsidRPr="00E73A68">
        <w:rPr>
          <w:rFonts w:asciiTheme="majorHAnsi" w:eastAsia="Microsoft YaHei Light" w:hAnsiTheme="majorHAnsi"/>
          <w:color w:val="000000" w:themeColor="text1"/>
          <w:sz w:val="26"/>
          <w:szCs w:val="26"/>
          <w:lang w:eastAsia="zh-HK"/>
        </w:rPr>
        <w:sym w:font="Wingdings 2" w:char="F0EA"/>
      </w:r>
      <w:r w:rsidRPr="00E73A68">
        <w:rPr>
          <w:rFonts w:asciiTheme="majorHAnsi" w:eastAsia="Microsoft YaHei Light" w:hAnsiTheme="majorHAnsi"/>
          <w:color w:val="1D2129"/>
        </w:rPr>
        <w:t>加入近</w:t>
      </w:r>
      <w:r w:rsidRPr="00E73A68">
        <w:rPr>
          <w:rFonts w:asciiTheme="majorHAnsi" w:eastAsia="Microsoft YaHei Light" w:hAnsiTheme="majorHAnsi"/>
          <w:color w:val="1D2129"/>
        </w:rPr>
        <w:t>4</w:t>
      </w:r>
      <w:r w:rsidRPr="00E73A68">
        <w:rPr>
          <w:rFonts w:asciiTheme="majorHAnsi" w:eastAsia="Microsoft YaHei Light" w:hAnsiTheme="majorHAnsi"/>
          <w:color w:val="1D2129"/>
        </w:rPr>
        <w:t>季獲利矩陣等級</w:t>
      </w:r>
    </w:p>
    <w:p w:rsidR="007C0658" w:rsidRDefault="00F06E80" w:rsidP="00F06E80">
      <w:pPr>
        <w:widowControl/>
        <w:spacing w:line="0" w:lineRule="atLeast"/>
        <w:ind w:leftChars="176" w:left="422" w:firstLineChars="55" w:firstLine="132"/>
        <w:jc w:val="both"/>
        <w:rPr>
          <w:rFonts w:asciiTheme="majorHAnsi" w:hAnsiTheme="majorHAnsi"/>
          <w:color w:val="1D2129"/>
        </w:rPr>
      </w:pPr>
      <w:r w:rsidRPr="00F06E80">
        <w:rPr>
          <w:rFonts w:asciiTheme="majorHAnsi" w:eastAsia="Microsoft YaHei Light" w:hAnsiTheme="majorHAnsi"/>
          <w:color w:val="1D2129"/>
        </w:rPr>
        <w:sym w:font="Wingdings 2" w:char="F0EA"/>
      </w:r>
      <w:r w:rsidRPr="00F06E80">
        <w:rPr>
          <w:rFonts w:asciiTheme="majorHAnsi" w:eastAsia="Microsoft YaHei Light" w:hAnsiTheme="majorHAnsi" w:hint="eastAsia"/>
          <w:color w:val="1D2129"/>
        </w:rPr>
        <w:t>欲判斷其他個股等級，複製範例表格即可</w:t>
      </w:r>
    </w:p>
    <w:p w:rsidR="006C48EE" w:rsidRPr="006C48EE" w:rsidRDefault="006C48EE" w:rsidP="00F06E80">
      <w:pPr>
        <w:widowControl/>
        <w:spacing w:line="0" w:lineRule="atLeast"/>
        <w:ind w:leftChars="176" w:left="422" w:firstLineChars="55" w:firstLine="132"/>
        <w:jc w:val="both"/>
        <w:rPr>
          <w:rFonts w:asciiTheme="majorHAnsi" w:hAnsiTheme="majorHAnsi"/>
          <w:color w:val="1D2129"/>
        </w:rPr>
      </w:pPr>
    </w:p>
    <w:p w:rsidR="00A92449" w:rsidRDefault="006C48EE" w:rsidP="006C48EE">
      <w:pPr>
        <w:widowControl/>
        <w:spacing w:line="0" w:lineRule="atLeast"/>
        <w:ind w:leftChars="1" w:left="422" w:hangingChars="175" w:hanging="420"/>
        <w:jc w:val="both"/>
        <w:rPr>
          <w:rFonts w:asciiTheme="majorHAnsi" w:hAnsiTheme="majorHAnsi"/>
          <w:color w:val="1D2129"/>
          <w:lang w:eastAsia="zh-HK"/>
        </w:rPr>
      </w:pPr>
      <w:proofErr w:type="gramStart"/>
      <w:r>
        <w:rPr>
          <w:rFonts w:asciiTheme="majorHAnsi" w:hAnsiTheme="majorHAnsi" w:hint="eastAsia"/>
          <w:color w:val="1D2129"/>
          <w:lang w:eastAsia="zh-HK"/>
        </w:rPr>
        <w:t>雷大版</w:t>
      </w:r>
      <w:proofErr w:type="gramEnd"/>
      <w:r>
        <w:rPr>
          <w:rFonts w:asciiTheme="majorHAnsi" w:hAnsiTheme="majorHAnsi" w:hint="eastAsia"/>
          <w:color w:val="1D2129"/>
          <w:lang w:eastAsia="zh-HK"/>
        </w:rPr>
        <w:t>矩陣</w:t>
      </w:r>
      <w:r>
        <w:rPr>
          <w:rFonts w:asciiTheme="majorHAnsi" w:hAnsiTheme="majorHAnsi" w:hint="eastAsia"/>
          <w:color w:val="1D2129"/>
          <w:lang w:eastAsia="zh-HK"/>
        </w:rPr>
        <w:t>EXCEL</w:t>
      </w:r>
      <w:r>
        <w:rPr>
          <w:rFonts w:asciiTheme="majorHAnsi" w:hAnsiTheme="majorHAnsi" w:hint="eastAsia"/>
          <w:color w:val="1D2129"/>
          <w:lang w:eastAsia="zh-HK"/>
        </w:rPr>
        <w:t>檔案</w:t>
      </w:r>
      <w:proofErr w:type="gramStart"/>
      <w:r>
        <w:rPr>
          <w:rFonts w:asciiTheme="majorHAnsi" w:hAnsiTheme="majorHAnsi" w:hint="eastAsia"/>
          <w:color w:val="1D2129"/>
          <w:lang w:eastAsia="zh-HK"/>
        </w:rPr>
        <w:t>範</w:t>
      </w:r>
      <w:proofErr w:type="gramEnd"/>
      <w:r>
        <w:rPr>
          <w:rFonts w:asciiTheme="majorHAnsi" w:hAnsiTheme="majorHAnsi" w:hint="eastAsia"/>
          <w:color w:val="1D2129"/>
          <w:lang w:eastAsia="zh-HK"/>
        </w:rPr>
        <w:t>案，網站：</w:t>
      </w:r>
      <w:r w:rsidRPr="006C48EE">
        <w:rPr>
          <w:rFonts w:asciiTheme="majorHAnsi" w:hAnsiTheme="majorHAnsi" w:hint="eastAsia"/>
          <w:color w:val="1D2129"/>
          <w:u w:val="single"/>
          <w:lang w:eastAsia="zh-HK"/>
        </w:rPr>
        <w:t>goo.gl/</w:t>
      </w:r>
      <w:proofErr w:type="spellStart"/>
      <w:r w:rsidRPr="006C48EE">
        <w:rPr>
          <w:rFonts w:asciiTheme="majorHAnsi" w:hAnsiTheme="majorHAnsi" w:hint="eastAsia"/>
          <w:color w:val="1D2129"/>
          <w:u w:val="single"/>
          <w:lang w:eastAsia="zh-HK"/>
        </w:rPr>
        <w:t>etTMYV</w:t>
      </w:r>
      <w:proofErr w:type="spellEnd"/>
      <w:r>
        <w:rPr>
          <w:rFonts w:asciiTheme="majorHAnsi" w:hAnsiTheme="majorHAnsi" w:hint="eastAsia"/>
          <w:color w:val="1D2129"/>
          <w:u w:val="single"/>
          <w:lang w:eastAsia="zh-HK"/>
        </w:rPr>
        <w:t>下載。</w:t>
      </w:r>
    </w:p>
    <w:p w:rsidR="006C48EE" w:rsidRPr="00A92449" w:rsidRDefault="006C48EE" w:rsidP="006C48EE">
      <w:pPr>
        <w:widowControl/>
        <w:spacing w:line="0" w:lineRule="atLeast"/>
        <w:ind w:leftChars="1" w:left="422" w:hangingChars="175" w:hanging="420"/>
        <w:jc w:val="both"/>
        <w:rPr>
          <w:rFonts w:asciiTheme="majorHAnsi" w:hAnsiTheme="majorHAnsi"/>
          <w:color w:val="1D2129"/>
        </w:rPr>
      </w:pPr>
    </w:p>
    <w:p w:rsidR="00A92449" w:rsidRPr="00A92449" w:rsidRDefault="00A92449" w:rsidP="00A92449">
      <w:pPr>
        <w:widowControl/>
        <w:spacing w:line="0" w:lineRule="atLeast"/>
        <w:ind w:leftChars="1" w:left="423" w:hangingChars="162" w:hanging="421"/>
        <w:jc w:val="both"/>
        <w:rPr>
          <w:rFonts w:ascii="NSimSun" w:hAnsi="NSimSun"/>
          <w:color w:val="000000" w:themeColor="text1"/>
          <w:sz w:val="26"/>
          <w:szCs w:val="26"/>
        </w:rPr>
      </w:pPr>
      <w:r>
        <w:rPr>
          <w:rFonts w:ascii="NSimSun" w:hAnsi="NSimSun" w:hint="eastAsia"/>
          <w:noProof/>
          <w:color w:val="000000" w:themeColor="text1"/>
          <w:sz w:val="26"/>
          <w:szCs w:val="26"/>
        </w:rPr>
        <w:drawing>
          <wp:inline distT="0" distB="0" distL="0" distR="0">
            <wp:extent cx="5271630" cy="1960605"/>
            <wp:effectExtent l="0" t="0" r="571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6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8D" w:rsidRPr="00D4108D" w:rsidRDefault="00D4108D" w:rsidP="00D4108D">
      <w:pPr>
        <w:widowControl/>
        <w:spacing w:line="0" w:lineRule="atLeast"/>
        <w:ind w:left="326" w:hangingChars="163" w:hanging="326"/>
        <w:jc w:val="both"/>
        <w:rPr>
          <w:rFonts w:ascii="NSimSun" w:eastAsia="NSimSun" w:hAnsi="NSimSun"/>
          <w:color w:val="000000" w:themeColor="text1"/>
          <w:sz w:val="20"/>
          <w:szCs w:val="20"/>
          <w:lang w:eastAsia="zh-HK"/>
        </w:rPr>
      </w:pPr>
    </w:p>
    <w:p w:rsidR="00D4108D" w:rsidRDefault="00D4108D" w:rsidP="00D4108D">
      <w:pPr>
        <w:widowControl/>
        <w:spacing w:line="0" w:lineRule="atLeast"/>
        <w:jc w:val="both"/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</w:pPr>
      <w:r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2-6</w:t>
      </w:r>
      <w:r w:rsidRPr="00BA4938"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  <w:t xml:space="preserve"> </w:t>
      </w:r>
      <w:r w:rsidR="00880C6A"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  <w:t>/2-7</w:t>
      </w:r>
      <w:r w:rsidR="00880C6A"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 xml:space="preserve"> </w:t>
      </w:r>
      <w:r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A</w:t>
      </w:r>
      <w:proofErr w:type="gramStart"/>
      <w:r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級股也</w:t>
      </w:r>
      <w:proofErr w:type="gramEnd"/>
      <w:r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可能降級，</w:t>
      </w:r>
      <w:r w:rsidR="00880C6A">
        <w:rPr>
          <w:rFonts w:ascii="微軟正黑體" w:eastAsia="微軟正黑體" w:hAnsi="微軟正黑體" w:hint="eastAsia"/>
          <w:b/>
          <w:color w:val="00B050"/>
          <w:sz w:val="28"/>
          <w:szCs w:val="28"/>
          <w:lang w:eastAsia="zh-HK"/>
        </w:rPr>
        <w:t>留意3關鍵指標</w:t>
      </w:r>
    </w:p>
    <w:p w:rsidR="00802DD0" w:rsidRDefault="00363840" w:rsidP="00802DD0">
      <w:pPr>
        <w:widowControl/>
        <w:spacing w:line="0" w:lineRule="atLeast"/>
        <w:ind w:left="283" w:hangingChars="109" w:hanging="283"/>
        <w:jc w:val="both"/>
        <w:rPr>
          <w:rFonts w:ascii="NSimSun" w:eastAsia="NSimSun" w:hAnsi="NSimSun"/>
          <w:color w:val="000000" w:themeColor="text1"/>
          <w:sz w:val="26"/>
          <w:szCs w:val="26"/>
          <w:lang w:eastAsia="zh-HK"/>
        </w:rPr>
      </w:pPr>
      <w:r w:rsidRPr="00802DD0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sym w:font="Wingdings 2" w:char="F06A"/>
      </w:r>
      <w:r w:rsidRPr="00802DD0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t>避開近4季ROE 趨勢下滑的公司</w:t>
      </w:r>
      <w:r w:rsidR="00802DD0">
        <w:rPr>
          <w:rFonts w:asciiTheme="minorEastAsia" w:hAnsiTheme="minorEastAsia" w:hint="eastAsia"/>
          <w:color w:val="000000" w:themeColor="text1"/>
          <w:sz w:val="26"/>
          <w:szCs w:val="26"/>
          <w:lang w:eastAsia="zh-HK"/>
        </w:rPr>
        <w:t>：</w:t>
      </w:r>
      <w:r w:rsidR="00802DD0" w:rsidRPr="00802DD0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產業趨勢下滑、公司股本小於10億元。</w:t>
      </w:r>
    </w:p>
    <w:p w:rsidR="00363840" w:rsidRPr="00802DD0" w:rsidRDefault="00363840" w:rsidP="00802DD0">
      <w:pPr>
        <w:widowControl/>
        <w:spacing w:line="0" w:lineRule="atLeast"/>
        <w:ind w:left="283" w:hangingChars="109" w:hanging="283"/>
        <w:jc w:val="both"/>
        <w:rPr>
          <w:rFonts w:ascii="NSimSun" w:eastAsia="NSimSun" w:hAnsi="NSimSun"/>
          <w:color w:val="000000" w:themeColor="text1"/>
          <w:sz w:val="26"/>
          <w:szCs w:val="26"/>
          <w:lang w:eastAsia="zh-HK"/>
        </w:rPr>
      </w:pPr>
      <w:r w:rsidRPr="00802DD0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sym w:font="Wingdings 2" w:char="F06B"/>
      </w:r>
      <w:r w:rsidRPr="00802DD0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t>避開現金股利政策不穩定的公司</w:t>
      </w:r>
      <w:r w:rsidR="00802DD0" w:rsidRPr="00802DD0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：穩定的股息政策，代表著公司運用資金的能力。</w:t>
      </w:r>
    </w:p>
    <w:p w:rsidR="00D4108D" w:rsidRDefault="00363840" w:rsidP="00363840">
      <w:pPr>
        <w:widowControl/>
        <w:spacing w:line="0" w:lineRule="atLeast"/>
        <w:ind w:left="424" w:hangingChars="163" w:hanging="424"/>
        <w:jc w:val="both"/>
        <w:rPr>
          <w:rFonts w:asciiTheme="minorEastAsia" w:hAnsiTheme="minorEastAsia"/>
          <w:color w:val="000000" w:themeColor="text1"/>
          <w:sz w:val="26"/>
          <w:szCs w:val="26"/>
          <w:lang w:eastAsia="zh-HK"/>
        </w:rPr>
      </w:pPr>
      <w:r w:rsidRPr="00802DD0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sym w:font="Wingdings 2" w:char="F06C"/>
      </w:r>
      <w:r w:rsidRPr="00802DD0">
        <w:rPr>
          <w:rFonts w:ascii="NSimSun" w:eastAsia="NSimSun" w:hAnsi="NSimSun"/>
          <w:color w:val="000000" w:themeColor="text1"/>
          <w:sz w:val="26"/>
          <w:szCs w:val="26"/>
          <w:lang w:eastAsia="zh-HK"/>
        </w:rPr>
        <w:t>避開董監事質押比高的公司</w:t>
      </w:r>
      <w:r w:rsidR="00B544C7">
        <w:rPr>
          <w:rFonts w:asciiTheme="minorEastAsia" w:hAnsiTheme="minorEastAsia" w:hint="eastAsia"/>
          <w:color w:val="000000" w:themeColor="text1"/>
          <w:sz w:val="26"/>
          <w:szCs w:val="26"/>
          <w:lang w:eastAsia="zh-HK"/>
        </w:rPr>
        <w:t>。</w:t>
      </w:r>
    </w:p>
    <w:p w:rsidR="00B544C7" w:rsidRPr="00B544C7" w:rsidRDefault="00B544C7" w:rsidP="00B544C7">
      <w:pPr>
        <w:widowControl/>
        <w:spacing w:line="0" w:lineRule="atLeast"/>
        <w:ind w:left="326" w:hangingChars="163" w:hanging="326"/>
        <w:jc w:val="both"/>
        <w:rPr>
          <w:rFonts w:asciiTheme="minorEastAsia" w:hAnsiTheme="minorEastAsia"/>
          <w:color w:val="000000" w:themeColor="text1"/>
          <w:sz w:val="20"/>
          <w:szCs w:val="20"/>
          <w:lang w:eastAsia="zh-HK"/>
        </w:rPr>
      </w:pPr>
    </w:p>
    <w:p w:rsidR="00B544C7" w:rsidRDefault="00F64A53" w:rsidP="00B544C7">
      <w:pPr>
        <w:widowControl/>
        <w:spacing w:line="0" w:lineRule="atLeast"/>
        <w:jc w:val="both"/>
        <w:rPr>
          <w:rFonts w:ascii="微軟正黑體" w:eastAsia="微軟正黑體" w:hAnsi="微軟正黑體"/>
          <w:b/>
          <w:color w:val="00B050"/>
          <w:sz w:val="28"/>
          <w:szCs w:val="28"/>
          <w:lang w:eastAsia="zh-HK"/>
        </w:rPr>
      </w:pPr>
      <w:r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2-8進階檢查</w:t>
      </w:r>
      <w:r w:rsidR="00734A4A"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3</w:t>
      </w:r>
      <w:r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條件</w:t>
      </w:r>
      <w:r w:rsidR="00734A4A" w:rsidRPr="00734A4A">
        <w:rPr>
          <w:rFonts w:ascii="MS Gothic" w:eastAsia="MS Gothic" w:hAnsi="MS Gothic" w:cs="新細明體" w:hint="eastAsia"/>
          <w:b/>
          <w:color w:val="FF0000"/>
          <w:kern w:val="0"/>
          <w:sz w:val="28"/>
          <w:szCs w:val="28"/>
          <w:lang w:eastAsia="zh-HK"/>
        </w:rPr>
        <w:t>(杜邦方程式)</w:t>
      </w:r>
      <w:r>
        <w:rPr>
          <w:rFonts w:ascii="微軟正黑體" w:eastAsia="微軟正黑體" w:hAnsi="微軟正黑體" w:cs="新細明體" w:hint="eastAsia"/>
          <w:b/>
          <w:color w:val="00B050"/>
          <w:kern w:val="0"/>
          <w:sz w:val="28"/>
          <w:szCs w:val="28"/>
          <w:lang w:eastAsia="zh-HK"/>
        </w:rPr>
        <w:t>，找到持續維持A級的好股</w:t>
      </w:r>
    </w:p>
    <w:p w:rsidR="00B544C7" w:rsidRPr="005F0443" w:rsidRDefault="00645653" w:rsidP="005F0443">
      <w:pPr>
        <w:pStyle w:val="a7"/>
        <w:widowControl/>
        <w:numPr>
          <w:ilvl w:val="0"/>
          <w:numId w:val="1"/>
        </w:numPr>
        <w:spacing w:line="0" w:lineRule="atLeast"/>
        <w:ind w:leftChars="0"/>
        <w:jc w:val="both"/>
        <w:rPr>
          <w:rFonts w:asciiTheme="minorEastAsia" w:hAnsiTheme="minorEastAsia" w:hint="eastAsia"/>
          <w:color w:val="000000" w:themeColor="text1"/>
          <w:sz w:val="26"/>
          <w:szCs w:val="26"/>
          <w:lang w:eastAsia="zh-HK"/>
        </w:rPr>
      </w:pPr>
      <w:r w:rsidRPr="005F0443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檢查獲利能力</w:t>
      </w:r>
      <w:r w:rsidR="005F0443" w:rsidRPr="005F0443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&gt;觀察稅後淨利率</w:t>
      </w:r>
      <w:r w:rsidR="005F0443">
        <w:rPr>
          <w:rFonts w:asciiTheme="minorEastAsia" w:hAnsiTheme="minorEastAsia" w:hint="eastAsia"/>
          <w:color w:val="000000" w:themeColor="text1"/>
          <w:sz w:val="26"/>
          <w:szCs w:val="26"/>
          <w:lang w:eastAsia="zh-HK"/>
        </w:rPr>
        <w:t>，</w:t>
      </w:r>
      <w:r w:rsidR="005F0443" w:rsidRPr="005F0443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愈高愈好，能長年維持更佳</w:t>
      </w:r>
      <w:r w:rsidR="005F0443" w:rsidRPr="005F0443">
        <w:rPr>
          <w:rFonts w:asciiTheme="minorEastAsia" w:hAnsiTheme="minorEastAsia" w:hint="eastAsia"/>
          <w:color w:val="000000" w:themeColor="text1"/>
          <w:sz w:val="26"/>
          <w:szCs w:val="26"/>
          <w:lang w:eastAsia="zh-HK"/>
        </w:rPr>
        <w:t>。</w:t>
      </w:r>
    </w:p>
    <w:p w:rsidR="005F0443" w:rsidRPr="005F0443" w:rsidRDefault="005F0443" w:rsidP="005F0443">
      <w:pPr>
        <w:pStyle w:val="a7"/>
        <w:widowControl/>
        <w:numPr>
          <w:ilvl w:val="0"/>
          <w:numId w:val="1"/>
        </w:numPr>
        <w:spacing w:line="0" w:lineRule="atLeast"/>
        <w:ind w:leftChars="0"/>
        <w:jc w:val="both"/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</w:pPr>
      <w:r w:rsidRPr="005F0443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檢查管理能力&gt;觀察總資產周轉率，低稅後淨利率公司，宜有高總資產周轉率。</w:t>
      </w:r>
    </w:p>
    <w:p w:rsidR="005F0443" w:rsidRPr="005F0443" w:rsidRDefault="005F0443" w:rsidP="005F0443">
      <w:pPr>
        <w:pStyle w:val="a7"/>
        <w:widowControl/>
        <w:numPr>
          <w:ilvl w:val="0"/>
          <w:numId w:val="1"/>
        </w:numPr>
        <w:spacing w:line="0" w:lineRule="atLeast"/>
        <w:ind w:leftChars="0"/>
        <w:jc w:val="both"/>
        <w:rPr>
          <w:rFonts w:ascii="NSimSun" w:eastAsia="NSimSun" w:hAnsi="NSimSun"/>
          <w:color w:val="000000" w:themeColor="text1"/>
          <w:sz w:val="26"/>
          <w:szCs w:val="26"/>
          <w:lang w:eastAsia="zh-HK"/>
        </w:rPr>
      </w:pPr>
      <w:r w:rsidRPr="005F0443">
        <w:rPr>
          <w:rFonts w:ascii="NSimSun" w:eastAsia="NSimSun" w:hAnsi="NSimSun" w:hint="eastAsia"/>
          <w:color w:val="000000" w:themeColor="text1"/>
          <w:sz w:val="26"/>
          <w:szCs w:val="26"/>
          <w:lang w:eastAsia="zh-HK"/>
        </w:rPr>
        <w:t>檢查財務結構&gt;觀察長短期金融負債比，愈低愈好，最好能在30%以下。</w:t>
      </w:r>
    </w:p>
    <w:p w:rsidR="0030236E" w:rsidRDefault="00C16BA5" w:rsidP="0057597B">
      <w:pPr>
        <w:widowControl/>
        <w:spacing w:before="100" w:beforeAutospacing="1" w:after="100" w:afterAutospacing="1" w:line="0" w:lineRule="atLeast"/>
        <w:jc w:val="both"/>
        <w:rPr>
          <w:rFonts w:ascii="Microsoft YaHei UI" w:eastAsia="Microsoft YaHei UI" w:hAnsi="Microsoft YaHei UI" w:cs="新細明體"/>
          <w:color w:val="343535"/>
          <w:kern w:val="0"/>
          <w:sz w:val="26"/>
          <w:szCs w:val="26"/>
          <w:lang w:eastAsia="zh-HK"/>
        </w:rPr>
      </w:pPr>
      <w:r w:rsidRPr="00C16BA5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再好的</w:t>
      </w:r>
      <w:r w:rsidR="00C15902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「</w:t>
      </w:r>
      <w:proofErr w:type="gramStart"/>
      <w:r w:rsidR="00C15902" w:rsidRPr="00C15902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矩陣式存股法</w:t>
      </w:r>
      <w:proofErr w:type="gramEnd"/>
      <w:r w:rsidR="00C15902" w:rsidRPr="00A06163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」</w:t>
      </w:r>
      <w:r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若不知如何利用方法篩選出優質的好股，也可能會因股質轉差，而讓自己虧損，因</w:t>
      </w:r>
      <w:r w:rsidR="00570AD9"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此</w:t>
      </w:r>
      <w:r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，</w:t>
      </w:r>
      <w:r w:rsidR="00570AD9"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唯有</w:t>
      </w:r>
      <w:r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按季持續追蹤手</w:t>
      </w:r>
      <w:r w:rsidR="00570AD9"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中持股</w:t>
      </w:r>
      <w:r w:rsidR="00570AD9">
        <w:rPr>
          <w:rFonts w:asciiTheme="minorEastAsia" w:hAnsiTheme="minorEastAsia" w:cs="新細明體" w:hint="eastAsia"/>
          <w:color w:val="343535"/>
          <w:kern w:val="0"/>
          <w:sz w:val="26"/>
          <w:szCs w:val="26"/>
          <w:lang w:eastAsia="zh-HK"/>
        </w:rPr>
        <w:t>，</w:t>
      </w:r>
      <w:r w:rsidR="00570AD9"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並</w:t>
      </w:r>
      <w:r w:rsidR="00235E21" w:rsidRPr="00235E21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進</w:t>
      </w:r>
      <w:r w:rsidR="00235E21" w:rsidRPr="00235E21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lastRenderedPageBreak/>
        <w:t>階</w:t>
      </w:r>
      <w:r w:rsidR="00570AD9"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利用「杜邦方程式」</w:t>
      </w:r>
      <w:r w:rsidR="00235E21" w:rsidRPr="00235E21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檢查</w:t>
      </w:r>
      <w:r w:rsidR="00ED7760">
        <w:rPr>
          <w:rFonts w:asciiTheme="minorEastAsia" w:hAnsiTheme="minorEastAsia" w:cs="新細明體" w:hint="eastAsia"/>
          <w:color w:val="343535"/>
          <w:kern w:val="0"/>
          <w:sz w:val="26"/>
          <w:szCs w:val="26"/>
          <w:lang w:eastAsia="zh-HK"/>
        </w:rPr>
        <w:t>，</w:t>
      </w:r>
      <w:r w:rsidR="00ED7760" w:rsidRPr="00ED7760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公式</w:t>
      </w:r>
      <w:r w:rsidR="00570AD9"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：稅後淨利率*總資產周轉率*權益乘數</w:t>
      </w:r>
      <w:r w:rsidR="00235E21">
        <w:rPr>
          <w:rFonts w:asciiTheme="minorEastAsia" w:hAnsiTheme="minorEastAsia" w:cs="新細明體" w:hint="eastAsia"/>
          <w:color w:val="343535"/>
          <w:kern w:val="0"/>
          <w:sz w:val="26"/>
          <w:szCs w:val="26"/>
          <w:lang w:eastAsia="zh-HK"/>
        </w:rPr>
        <w:t>，</w:t>
      </w:r>
      <w:r w:rsidR="00570AD9"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也是很重要的</w:t>
      </w:r>
      <w:proofErr w:type="gramStart"/>
      <w:r w:rsidR="00570AD9"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一</w:t>
      </w:r>
      <w:proofErr w:type="gramEnd"/>
      <w:r w:rsidR="00570AD9" w:rsidRPr="00570AD9">
        <w:rPr>
          <w:rFonts w:ascii="Microsoft YaHei UI" w:eastAsia="Microsoft YaHei UI" w:hAnsi="Microsoft YaHei UI" w:cs="新細明體" w:hint="eastAsia"/>
          <w:color w:val="343535"/>
          <w:kern w:val="0"/>
          <w:sz w:val="26"/>
          <w:szCs w:val="26"/>
          <w:lang w:eastAsia="zh-HK"/>
        </w:rPr>
        <w:t>環節。</w:t>
      </w:r>
      <w:bookmarkStart w:id="0" w:name="_GoBack"/>
      <w:bookmarkEnd w:id="0"/>
    </w:p>
    <w:p w:rsidR="0030236E" w:rsidRDefault="0030236E" w:rsidP="0030236E">
      <w:pPr>
        <w:widowControl/>
        <w:spacing w:before="100" w:beforeAutospacing="1" w:after="100" w:afterAutospacing="1" w:line="0" w:lineRule="atLeast"/>
        <w:jc w:val="both"/>
        <w:rPr>
          <w:rFonts w:ascii="Microsoft YaHei UI" w:eastAsia="Microsoft YaHei UI" w:hAnsi="Microsoft YaHei UI" w:cs="新細明體"/>
          <w:color w:val="343535"/>
          <w:kern w:val="0"/>
          <w:sz w:val="26"/>
          <w:szCs w:val="26"/>
          <w:lang w:eastAsia="zh-HK"/>
        </w:rPr>
      </w:pPr>
    </w:p>
    <w:sectPr w:rsidR="0030236E" w:rsidSect="00D4108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252"/>
    <w:multiLevelType w:val="hybridMultilevel"/>
    <w:tmpl w:val="959CF044"/>
    <w:lvl w:ilvl="0" w:tplc="0DAE3646">
      <w:start w:val="1"/>
      <w:numFmt w:val="decimal"/>
      <w:lvlText w:val="%1."/>
      <w:lvlJc w:val="left"/>
      <w:pPr>
        <w:ind w:left="360" w:hanging="360"/>
      </w:pPr>
      <w:rPr>
        <w:rFonts w:ascii="NSimSun" w:eastAsia="NSimSun" w:hAnsi="N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A4"/>
    <w:rsid w:val="000A03B8"/>
    <w:rsid w:val="000C37DF"/>
    <w:rsid w:val="000E47A6"/>
    <w:rsid w:val="00100424"/>
    <w:rsid w:val="001903EF"/>
    <w:rsid w:val="001B14CC"/>
    <w:rsid w:val="001F12B4"/>
    <w:rsid w:val="00232581"/>
    <w:rsid w:val="00235E21"/>
    <w:rsid w:val="00294BE5"/>
    <w:rsid w:val="002D6552"/>
    <w:rsid w:val="002E267D"/>
    <w:rsid w:val="0030236E"/>
    <w:rsid w:val="00363840"/>
    <w:rsid w:val="00367BC2"/>
    <w:rsid w:val="00375D66"/>
    <w:rsid w:val="003C0F17"/>
    <w:rsid w:val="0042135F"/>
    <w:rsid w:val="00473152"/>
    <w:rsid w:val="00497368"/>
    <w:rsid w:val="005372BC"/>
    <w:rsid w:val="00570AD9"/>
    <w:rsid w:val="0057597B"/>
    <w:rsid w:val="005875D7"/>
    <w:rsid w:val="00595EA0"/>
    <w:rsid w:val="005C5445"/>
    <w:rsid w:val="005F0443"/>
    <w:rsid w:val="00613D59"/>
    <w:rsid w:val="00645653"/>
    <w:rsid w:val="00645C0F"/>
    <w:rsid w:val="00651DFA"/>
    <w:rsid w:val="00661DCD"/>
    <w:rsid w:val="006A33A7"/>
    <w:rsid w:val="006C26A2"/>
    <w:rsid w:val="006C48EE"/>
    <w:rsid w:val="006E5618"/>
    <w:rsid w:val="00734A4A"/>
    <w:rsid w:val="007825F0"/>
    <w:rsid w:val="007C0658"/>
    <w:rsid w:val="007C2058"/>
    <w:rsid w:val="00802DD0"/>
    <w:rsid w:val="00821DE4"/>
    <w:rsid w:val="00880C6A"/>
    <w:rsid w:val="00891C18"/>
    <w:rsid w:val="008D3CFE"/>
    <w:rsid w:val="008E120A"/>
    <w:rsid w:val="008F62A4"/>
    <w:rsid w:val="00947020"/>
    <w:rsid w:val="009728F6"/>
    <w:rsid w:val="00984AE8"/>
    <w:rsid w:val="00996638"/>
    <w:rsid w:val="009A707D"/>
    <w:rsid w:val="009B3965"/>
    <w:rsid w:val="00A06163"/>
    <w:rsid w:val="00A56718"/>
    <w:rsid w:val="00A64175"/>
    <w:rsid w:val="00A66381"/>
    <w:rsid w:val="00A92449"/>
    <w:rsid w:val="00AA734B"/>
    <w:rsid w:val="00B544C7"/>
    <w:rsid w:val="00B74BAE"/>
    <w:rsid w:val="00BA4938"/>
    <w:rsid w:val="00BF532A"/>
    <w:rsid w:val="00BF6E83"/>
    <w:rsid w:val="00C150D1"/>
    <w:rsid w:val="00C15902"/>
    <w:rsid w:val="00C16BA5"/>
    <w:rsid w:val="00C71F1D"/>
    <w:rsid w:val="00CC7AAF"/>
    <w:rsid w:val="00D062B1"/>
    <w:rsid w:val="00D3573E"/>
    <w:rsid w:val="00D4108D"/>
    <w:rsid w:val="00D47239"/>
    <w:rsid w:val="00D52190"/>
    <w:rsid w:val="00D9276D"/>
    <w:rsid w:val="00DF7534"/>
    <w:rsid w:val="00E455CE"/>
    <w:rsid w:val="00E73193"/>
    <w:rsid w:val="00E73A68"/>
    <w:rsid w:val="00E73ABC"/>
    <w:rsid w:val="00EC439D"/>
    <w:rsid w:val="00ED7760"/>
    <w:rsid w:val="00EE58AE"/>
    <w:rsid w:val="00F06E80"/>
    <w:rsid w:val="00F278A4"/>
    <w:rsid w:val="00F343BE"/>
    <w:rsid w:val="00F64A53"/>
    <w:rsid w:val="00F87CEC"/>
    <w:rsid w:val="00F96FBE"/>
    <w:rsid w:val="00FF05BC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78A4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71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71F1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A03B8"/>
    <w:pPr>
      <w:widowControl w:val="0"/>
    </w:pPr>
  </w:style>
  <w:style w:type="paragraph" w:styleId="a7">
    <w:name w:val="List Paragraph"/>
    <w:basedOn w:val="a"/>
    <w:uiPriority w:val="34"/>
    <w:qFormat/>
    <w:rsid w:val="005F044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78A4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71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71F1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A03B8"/>
    <w:pPr>
      <w:widowControl w:val="0"/>
    </w:pPr>
  </w:style>
  <w:style w:type="paragraph" w:styleId="a7">
    <w:name w:val="List Paragraph"/>
    <w:basedOn w:val="a"/>
    <w:uiPriority w:val="34"/>
    <w:qFormat/>
    <w:rsid w:val="005F04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9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9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19789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89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0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21421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4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8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10691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787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09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5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21246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19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1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4292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598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1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3324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969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1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3409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382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34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0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13427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87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6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3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410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99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3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2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8" w:color="000000"/>
                        <w:bottom w:val="single" w:sz="2" w:space="4" w:color="000000"/>
                        <w:right w:val="single" w:sz="2" w:space="8" w:color="000000"/>
                      </w:divBdr>
                      <w:divsChild>
                        <w:div w:id="7299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2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51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3267-687E-421A-9D95-7989B078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14</cp:revision>
  <dcterms:created xsi:type="dcterms:W3CDTF">2017-04-14T07:08:00Z</dcterms:created>
  <dcterms:modified xsi:type="dcterms:W3CDTF">2017-04-14T13:29:00Z</dcterms:modified>
</cp:coreProperties>
</file>