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Arial" w:cs="Arial" w:eastAsia="Arial" w:hAnsi="Arial"/>
          <w:b/>
          <w:bCs/>
          <w:color w:val="2563EB"/>
          <w:sz w:val="72"/>
          <w:szCs w:val="72"/>
        </w:rPr>
        <w:t xml:space="preserve">FINMETRICS</w:t>
      </w:r>
    </w:p>
    <w:p>
      <w:pPr>
        <w:spacing w:after="120" w:before="0"/>
        <w:jc w:val="center"/>
      </w:pPr>
      <w:r>
        <w:rPr>
          <w:rFonts w:ascii="Arial" w:cs="Arial" w:eastAsia="Arial" w:hAnsi="Arial"/>
          <w:color w:val="0D1B2A"/>
          <w:sz w:val="32"/>
          <w:szCs w:val="32"/>
        </w:rPr>
        <w:t xml:space="preserve">Global Scope &amp; Data Framework</w:t>
      </w:r>
    </w:p>
    <w:p>
      <w:pPr>
        <w:spacing w:after="200" w:before="0"/>
        <w:jc w:val="center"/>
      </w:pPr>
      <w:r>
        <w:rPr>
          <w:rFonts w:ascii="Arial" w:cs="Arial" w:eastAsia="Arial" w:hAnsi="Arial"/>
          <w:i/>
          <w:iCs/>
          <w:color w:val="9CA3AF"/>
          <w:sz w:val="20"/>
          <w:szCs w:val="20"/>
        </w:rPr>
        <w:t xml:space="preserve">Complete Universe Definition  |  Filing Systems  |  Canonical Data Model  |  Normalization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COMPANIES</w:t>
            </w:r>
          </w:p>
        </w:tc>
        <w:tc>
          <w:tcPr>
            <w:tcW w:type="dxa" w:w="234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FILING SYSTEMS</w:t>
            </w:r>
          </w:p>
        </w:tc>
        <w:tc>
          <w:tcPr>
            <w:tcW w:type="dxa" w:w="234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METRICS</w:t>
            </w:r>
          </w:p>
        </w:tc>
        <w:tc>
          <w:tcPr>
            <w:tcW w:type="dxa" w:w="234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DATA POINTS</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~285 total</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sources</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 canonical</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~825 raw tags</w:t>
            </w:r>
          </w:p>
        </w:tc>
      </w:tr>
      <w:tr>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~275 semiconductor</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 ESMA · EDINET</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categories</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taxonomies</w:t>
            </w:r>
          </w:p>
        </w:tc>
      </w:tr>
      <w:tr>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11 sector benchmarks</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DART · TWSE</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Growth · Profit</w:t>
            </w:r>
          </w:p>
        </w:tc>
        <w:tc>
          <w:tcPr>
            <w:tcW w:type="dxa" w:w="23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GAAP/IFRS/J-GAAP</w:t>
            </w:r>
          </w:p>
        </w:tc>
      </w:tr>
      <w:tr>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Global coverage</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 public data only</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Cycle · Complexity</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 quality flags</w:t>
            </w:r>
          </w:p>
        </w:tc>
      </w:tr>
    </w:tbl>
    <w:p>
      <w:pPr>
        <w:spacing w:after="40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1 — Defined Company Universe</w:t>
      </w:r>
    </w:p>
    <w:p>
      <w:pPr>
        <w:spacing w:after="100" w:before="60"/>
      </w:pPr>
      <w:r>
        <w:rPr>
          <w:rFonts w:ascii="Arial" w:cs="Arial" w:eastAsia="Arial" w:hAnsi="Arial"/>
          <w:color w:val="374151"/>
          <w:sz w:val="22"/>
          <w:szCs w:val="22"/>
        </w:rPr>
        <w:t xml:space="preserve">The FinMetrics universe is structured in two layers. Layer 1 is complete global semiconductor sector coverage. Layer 2 is a single best-in-class benchmark company per GICS sector, providing cross-industry context for every metric comparison.</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Layer 1 — Global Semiconductor Universe (~275 companies)</w:t>
      </w:r>
    </w:p>
    <w:p>
      <w:pPr>
        <w:pStyle w:val="Heading3"/>
        <w:spacing w:after="80" w:before="200"/>
      </w:pPr>
      <w:r>
        <w:rPr>
          <w:rFonts w:ascii="Arial" w:cs="Arial" w:eastAsia="Arial" w:hAnsi="Arial"/>
          <w:b/>
          <w:bCs/>
          <w:color w:val="374151"/>
          <w:sz w:val="24"/>
          <w:szCs w:val="24"/>
        </w:rPr>
        <w:t xml:space="preserve">By Sub-Sector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60"/>
        <w:gridCol w:w="1600"/>
      </w:tblGrid>
      <w:tr>
        <w:tc>
          <w:tcPr>
            <w:tcW w:type="dxa" w:w="20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Sub-Sector</w:t>
            </w:r>
          </w:p>
        </w:tc>
        <w:tc>
          <w:tcPr>
            <w:tcW w:type="dxa" w:w="30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They Do</w:t>
            </w:r>
          </w:p>
        </w:tc>
        <w:tc>
          <w:tcPr>
            <w:tcW w:type="dxa" w:w="276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Example Companies</w:t>
            </w:r>
          </w:p>
        </w:tc>
        <w:tc>
          <w:tcPr>
            <w:tcW w:type="dxa" w:w="16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Count</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Fabless Designers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Design chips, outsource manufacturing</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Nvidia, AMD, Qualcomm, Broadcom, MediaTek, Marvell</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~85</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Foundries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Manufacture chips for others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TSMC, GlobalFoundries, SMIC, UMC, Samsung Foundry</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IDMs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Design and manufacture own chips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Intel, Samsung Semi, Micron, Kioxia, SK Hynix</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~18</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Equipment Makers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Machines that manufacture chips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ASML, Applied Materials, Lam Research, KLA, Tokyo Electron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Materials &amp; EDA</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 materials, design software, substrates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Synopsys, Cadence, Entegris, Shin-Etsu, Murata</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~40</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Packaging &amp; Test</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Assembly, testing, advanced packaging</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ASE Technology, Amkor, Powertech, STATS ChipPAC</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~25</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9CA3AF"/>
                <w:sz w:val="21"/>
                <w:szCs w:val="21"/>
              </w:rPr>
              <w:t xml:space="preserve">Micro-cap excluded</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Incomplete XBRL history</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~80 out</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0D1B2A"/>
                <w:sz w:val="21"/>
                <w:szCs w:val="21"/>
              </w:rPr>
              <w:t xml:space="preserve">TOTAL</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0D1B2A"/>
                <w:sz w:val="21"/>
                <w:szCs w:val="21"/>
              </w:rPr>
              <w:t xml:space="preserve"/>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0D1B2A"/>
                <w:sz w:val="21"/>
                <w:szCs w:val="21"/>
              </w:rPr>
              <w:t xml:space="preserve"/>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~275</w:t>
            </w:r>
          </w:p>
        </w:tc>
      </w:tr>
    </w:tbl>
    <w:p>
      <w:pPr>
        <w:spacing w:after="120" w:before="0"/>
      </w:pPr>
      <w:r>
        <w:t xml:space="preserve"/>
      </w:r>
    </w:p>
    <w:p>
      <w:pPr>
        <w:pStyle w:val="Heading3"/>
        <w:spacing w:after="80" w:before="200"/>
      </w:pPr>
      <w:r>
        <w:rPr>
          <w:rFonts w:ascii="Arial" w:cs="Arial" w:eastAsia="Arial" w:hAnsi="Arial"/>
          <w:b/>
          <w:bCs/>
          <w:color w:val="374151"/>
          <w:sz w:val="24"/>
          <w:szCs w:val="24"/>
        </w:rPr>
        <w:t xml:space="preserve">By Geography &amp; Filing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200"/>
        <w:gridCol w:w="2160"/>
      </w:tblGrid>
      <w:tr>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Region</w:t>
            </w:r>
          </w:p>
        </w:tc>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Filing System</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Standard</w:t>
            </w:r>
          </w:p>
        </w:tc>
        <w:tc>
          <w:tcPr>
            <w:tcW w:type="dxa" w:w="1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Companies</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Pipeline Phase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United States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EDGAR (10-K/10-Q)</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~200</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Foreign ADRs on US exchanges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EDGAR (20-F/6-K)</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~30</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 — same pipeline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Japan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EDINET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 or IFRS</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~80</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Europe (EU + UK)</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ESMA ESEF</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South Korea</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Open DART API</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K-IFRS</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~40</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4</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Taiwan (non-ADR)</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TWSE/MOPS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TW-GAAP/IFRS</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~60</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4</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D1B2A"/>
                <w:sz w:val="21"/>
                <w:szCs w:val="21"/>
              </w:rPr>
              <w:t xml:space="preserve">Total</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systems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standards</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166534"/>
                <w:sz w:val="21"/>
                <w:szCs w:val="21"/>
              </w:rPr>
              <w:t xml:space="preserve">~275</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phases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Layer 2 — Cross-Sector Benchmarks (11 companies)</w:t>
      </w:r>
    </w:p>
    <w:p>
      <w:pPr>
        <w:spacing w:after="100" w:before="60"/>
      </w:pPr>
      <w:r>
        <w:rPr>
          <w:rFonts w:ascii="Arial" w:cs="Arial" w:eastAsia="Arial" w:hAnsi="Arial"/>
          <w:color w:val="374151"/>
          <w:sz w:val="22"/>
          <w:szCs w:val="22"/>
        </w:rPr>
        <w:t xml:space="preserve">One market-cap leader per GICS sector. Provides absolute reference frame for metric evaluation — answers 'is this semiconductor company's gross margin good, not just compared to peers but in the broader economy?'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GICS Sector</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Benchmark</w:t>
            </w:r>
          </w:p>
        </w:tc>
        <w:tc>
          <w:tcPr>
            <w:tcW w:type="dxa" w:w="1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Filing</w:t>
            </w:r>
          </w:p>
        </w:tc>
        <w:tc>
          <w:tcPr>
            <w:tcW w:type="dxa" w:w="3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Analytical Purpose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Information Technology</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Nvidia</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Already in semi universe — largest IT company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Financials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JPMorgan Chase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Asset-heavy model; balance sheet contrast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Consumer Discretionary</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Amazon</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Major semiconductor demand driver; thin margins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Communication Services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Alphabet</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AI/cloud — primary driver of semi demand growth</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Health Care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Eli Lilly</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High R&amp;D intensity; fat margin comparison</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Consumer Staples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Walmart</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Anchors gross margin scale — ultra-thin margins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Industrials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Caterpillar</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Cycle-intensive; inventory and working capital</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Energy</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ExxonMobil</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Capital-intensive; asset turnover contrast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Real Estate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Prologis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Asset-heavy structure; leverage contrast</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Materials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Linde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Process manufacturing; COGS and margin structure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Utilities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NextEra Energy</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Regulated capital-heavy; leverage comparison</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All 11 — EDGAR only</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Zero new pipeline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Free</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Pure analytical value on existing infrastructure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Every benchmark company is already reachable through your existing EDGAR pipeline. The cross-sector layer adds zero infrastructure cost — it is pure analytical value on data you already collect.</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2 — Filing Systems</w:t>
      </w:r>
    </w:p>
    <w:p>
      <w:pPr>
        <w:spacing w:after="100" w:before="60"/>
      </w:pPr>
      <w:r>
        <w:rPr>
          <w:rFonts w:ascii="Arial" w:cs="Arial" w:eastAsia="Arial" w:hAnsi="Arial"/>
          <w:color w:val="374151"/>
          <w:sz w:val="22"/>
          <w:szCs w:val="22"/>
        </w:rPr>
        <w:t xml:space="preserve">Five filing systems provide raw data. All are free, public, and XBRL-based. Each has its own API, taxonomy, and technical requirements documented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r>
              <w:rPr>
                <w:rFonts w:ascii="Arial" w:cs="Arial" w:eastAsia="Arial" w:hAnsi="Arial"/>
                <w:b/>
                <w:bCs/>
                <w:color w:val="FFFFFF"/>
                <w:sz w:val="26"/>
                <w:szCs w:val="26"/>
              </w:rPr>
              <w:t xml:space="preserve">FILING SYSTEM 1  —  SEC EDGAR  (USA + Foreign ADRs)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41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Technical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Operator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Securities &amp; Exchange Commission</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data.sec.gov</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10-K (annual), 10-Q (quarterly), 20-F (foreign annual), 6-K (foreign interim)</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 type filter in pipeline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 endpoint</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data.sec.gov/api/xbrl/companyfacts/CIK{n}.json</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 · no key · 10 req/sec</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CIK lookup</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data.sec.gov/submissions/company_tickers.json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Ticker → CIK mapping table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Taxonomy</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 (domestic) · IFRS namespace (20-F filers)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Both in same endpoint</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format</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Inline XBRL in HTML since 2020</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Parser: python-xbrl or lxml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Live feed</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RSS: sec.gov/cgi-bin/browse-edgar?action=getcurrent</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Triggers earnings refresh</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 limit</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10 req/sec · unlimited daily · User-Agent header required</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Add 100ms delay between calls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00"/>
              <w:bottom w:type="dxa" w:w="140"/>
              <w:right w:type="dxa" w:w="200"/>
            </w:tcMar>
          </w:tcPr>
          <w:p>
            <w:r>
              <w:rPr>
                <w:rFonts w:ascii="Arial" w:cs="Arial" w:eastAsia="Arial" w:hAnsi="Arial"/>
                <w:b/>
                <w:bCs/>
                <w:color w:val="FFFFFF"/>
                <w:sz w:val="26"/>
                <w:szCs w:val="26"/>
              </w:rPr>
              <w:t xml:space="preserve">FILING SYSTEM 2  —  ESMA ESEF  (Europe)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41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Technical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Operator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European Securities &amp; Markets Authority</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filings.esma.europa.eu</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financial reports (ESEF mandate since 2020)</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Quarterly less standardized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ESMA FITRS + bulk download portal</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 · registration optional</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Taxonomy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 taxonomy (ifrs-full namespace)</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tags as 20-F IFRS on EDGAR</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format</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iXBRL (Inline XBRL embedded in HTML)</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Arelle open source parser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Coverage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EU27 + Norway, Iceland, Liechtenstein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UK: Companies House separately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Language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English required for financial statements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Some dual-language filings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Cadence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only — no quarterly ESEF mandate</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Refresh once per year per company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40"/>
              <w:left w:type="dxa" w:w="200"/>
              <w:bottom w:type="dxa" w:w="140"/>
              <w:right w:type="dxa" w:w="200"/>
            </w:tcMar>
          </w:tcPr>
          <w:p>
            <w:r>
              <w:rPr>
                <w:rFonts w:ascii="Arial" w:cs="Arial" w:eastAsia="Arial" w:hAnsi="Arial"/>
                <w:b/>
                <w:bCs/>
                <w:color w:val="FFFFFF"/>
                <w:sz w:val="26"/>
                <w:szCs w:val="26"/>
              </w:rPr>
              <w:t xml:space="preserve">FILING SYSTEM 3  —  EDINET  (Japan)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416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Technical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Operator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Japan Financial Services Agency (FSA)</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disclosure.edinet-fsa.go.jp</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Yuho (有価証券報告書) annual + quarterly reports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Equivalent to 10-K/10-Q</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EDINET API v2 — free with API key registration</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api.edinet-fsa.go.jp/api/v2</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Taxonomy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 (jpcrp namespace) or IFRS for larger listed companies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~30% now use IFRS; growing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format</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instance documents in ZIP archives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Extract ZIP then parse XBRL</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Language challenge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Element labels in Japanese — numeric values universal</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Build Japanese tag → canonical mapping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Fiscal year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Many companies: March 31 year-end</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TTM calculator must be calendar-aware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2027 roadmap</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FSA embedding ISSB taxonomy — increasing IFRS alignment</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Monitor for tag migration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40"/>
              <w:left w:type="dxa" w:w="200"/>
              <w:bottom w:type="dxa" w:w="140"/>
              <w:right w:type="dxa" w:w="200"/>
            </w:tcMar>
          </w:tcPr>
          <w:p>
            <w:r>
              <w:rPr>
                <w:rFonts w:ascii="Arial" w:cs="Arial" w:eastAsia="Arial" w:hAnsi="Arial"/>
                <w:b/>
                <w:bCs/>
                <w:color w:val="FFFFFF"/>
                <w:sz w:val="26"/>
                <w:szCs w:val="26"/>
              </w:rPr>
              <w:t xml:space="preserve">FILING SYSTEM 4  —  DART  (South Korea)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416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Technical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Operator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Korea Financial Supervisory Service (FSS)</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opendart.fss.or.kr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(사업보고서), quarterly, semi-annual</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English DART: englishdart.fss.or.kr</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Open DART API — free with API key registration</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Well-documented REST API</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Taxonomy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K-IFRS (Korean adoption of IFRS) since 2011 for KOSPI/KOSDAQ</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Very close to IFRS — lowest normalization burden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format</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available; 2025 expansion includes notes tagging</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Expanding scope — improving coverage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English access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Feb 2025: 83 disclosure types now in English</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Major accessibility improvement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Key companies</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Samsung Electronics, SK Hynix, DB HiTek</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~40 semiconductor relevant</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Advantage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K-IFRS aligns with IFRS taxonomy — tag mapping is straightforward</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Easiest non-EDGAR system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00"/>
              <w:bottom w:type="dxa" w:w="140"/>
              <w:right w:type="dxa" w:w="200"/>
            </w:tcMar>
          </w:tcPr>
          <w:p>
            <w:r>
              <w:rPr>
                <w:rFonts w:ascii="Arial" w:cs="Arial" w:eastAsia="Arial" w:hAnsi="Arial"/>
                <w:b/>
                <w:bCs/>
                <w:color w:val="FFFFFF"/>
                <w:sz w:val="26"/>
                <w:szCs w:val="26"/>
              </w:rPr>
              <w:t xml:space="preserve">FILING SYSTEM 5  —  TWSE/MOPS  (Taiwan)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416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Technical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Operator</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Taiwan Stock Exchange / Market Observation Post System</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mops.twse.com.tw</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Forms</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 quarterly financial statements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Mandatory XBRL since 2013</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API</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MOPS open data API — free, no key required</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JSON endpoints; less documented than EDGAR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Taxonomy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 for listed companies since 2013; legacy TW-GAAP remnants</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Arelle handles both formats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Language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Chinese Traditional — tag labels in Chinese; values numeric</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 values universal; labels need mapping</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Key note</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TSMC (largest Taiwan semi) files 20-F with SEC — already in EDGAR</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Major companies covered via Phase 1</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Remaining value</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UMC, MediaTek (also ADR), Realtek, Novatek, Himax</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 meaningful non-ADR additions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Complexity</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Most complex of 5 systems — least API documentation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4 — lowest priority</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3 — Accounting Standards &amp; Material Differences</w:t>
      </w:r>
    </w:p>
    <w:p>
      <w:pPr>
        <w:spacing w:after="100" w:before="60"/>
      </w:pPr>
      <w:r>
        <w:rPr>
          <w:rFonts w:ascii="Arial" w:cs="Arial" w:eastAsia="Arial" w:hAnsi="Arial"/>
          <w:color w:val="374151"/>
          <w:sz w:val="22"/>
          <w:szCs w:val="22"/>
        </w:rPr>
        <w:t xml:space="preserve">Four accounting standards exist in the universe. Structural differences between them directly affect how 18 of the 55 metrics are calculated. The normalization layer handles each difference with one of four actions: direct use, tag synonym resolution, calculated adjustment, or a data quality flag.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Standard</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Used By</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Governing Body</w:t>
            </w:r>
          </w:p>
        </w:tc>
        <w:tc>
          <w:tcPr>
            <w:tcW w:type="dxa" w:w="3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Key Character</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domestic (EDGAR 10-K/Q)</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FASB</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Rules-based — prescriptive, detailed guidance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Foreign ADRs (20-F), EU (ESMA), K-IFRS (Korea)</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IASB</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Principles-based — judgment-driven, flexible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Japan EDINET — ~70% of listed companies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ASBJ</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Revenue-expense approach; unique P&amp;L structure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TW-GAAP / IFRS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Taiwan TWSE — IFRS for listed since 2013</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FSC Taiwan</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IFRS-convergent; legacy elements remain</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Material Differences by Impact Area</w:t>
      </w:r>
    </w:p>
    <w:p>
      <w:pPr>
        <w:spacing w:after="80" w:before="0"/>
      </w:pPr>
      <w:r>
        <w:t xml:space="preserve"/>
      </w:r>
    </w:p>
    <w:p>
      <w:pPr>
        <w:pStyle w:val="Heading3"/>
        <w:spacing w:after="80" w:before="200"/>
      </w:pPr>
      <w:r>
        <w:rPr>
          <w:rFonts w:ascii="Arial" w:cs="Arial" w:eastAsia="Arial" w:hAnsi="Arial"/>
          <w:b/>
          <w:bCs/>
          <w:color w:val="374151"/>
          <w:sz w:val="24"/>
          <w:szCs w:val="24"/>
        </w:rPr>
        <w:t xml:space="preserve">1. Inventory Valuation  —  CRITICAL for Cycle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32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US-GAAP</w:t>
            </w:r>
          </w:p>
        </w:tc>
        <w:tc>
          <w:tcPr>
            <w:tcW w:type="dxa" w:w="32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IFRS / J-GAAP / K-IFRS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 method</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ALLOWED — rare in semiconductors but some US companies use it</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PROHIBITED everywhere — all use FIFO or weighted average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Impact on COGS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 inflates COGS in rising-price environments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FIFO typically reports lower COGS; higher gross profit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Impact on inventory value</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 understates balance sheet inventory</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FIFO reflects current replacement cost — more comparable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Impact on cycle metrics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Inventory, Inventory Turns, Cash-to-Cash all affected</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More consistent base for comparison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 triggered; add LIFO reserve to inventory for peer comparison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adjustment needed — FIFO already</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2. R&amp;D Treatment  —  HIGH IMPACT on R&amp;D Metrics &amp; EBITDA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328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US-GAAP</w:t>
            </w:r>
          </w:p>
        </w:tc>
        <w:tc>
          <w:tcPr>
            <w:tcW w:type="dxa" w:w="328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IFRS / J-GAAP</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Research costs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Expensed immediately — always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Expensed immediately — same treatment</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Development costs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Expensed immediately — no capitalization ever</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CAPITALIZED if 6 IAS 38 criteria met (technical feasibility, intent, ability, resources, future benefits, reliable measurement)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P&amp;L effect</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Higher R&amp;D expense reduces operating income</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Lower R&amp;D expense reported; development on balance sheet then amortized</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Metrics affected</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Margin overstated vs. IFRS peers; EBITDA lower</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understated; EBITDA higher but amortization below EBIT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IFRS_RD_CAP flag; note capitalized development costs from balance sheet footnotes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Cannot cleanly adjust without full development note</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3. Lease Accounting  —  MODERATE IMPACT on EBITDA &amp; ROIC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32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US-GAAP (ASC 842)</w:t>
            </w:r>
          </w:p>
        </w:tc>
        <w:tc>
          <w:tcPr>
            <w:tcW w:type="dxa" w:w="32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IFRS 16</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Lease classification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Dual model: operating leases vs. finance leases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Single model — all leases treated as finance leases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lease P&amp;L</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Straight-line rent expense — reduces EBITDA directly</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rent line — lease cost split into depreciation + interest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effect</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lease payments reduce EBITDA</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higher under IFRS 16 — depreciation + interest excluded from EBITDA</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Balance sheet</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Both operating and finance leases on balance sheet since 2019</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 both on balance sheet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ROIC effect</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Lease liabilities in invested capital base</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 but NOPAT calculation differs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IFRS16_LEASE_ADJ flag; adjust IFRS EBITDA by subtracting ROU depreciation + adding lease interest back</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Creates equivalent operating-lease basis EBITDA</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4. Asset Revaluation  —  MODERATE IMPACT on Return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32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US-GAAP</w:t>
            </w:r>
          </w:p>
        </w:tc>
        <w:tc>
          <w:tcPr>
            <w:tcW w:type="dxa" w:w="32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IFRS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PP&amp;E valuation basis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Historical cost only — no upward revaluation permitted</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IAS 16: revaluation to fair value permitted if reliably measurable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Impact on asset base</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Lower asset values — return ratios appear stronger</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Higher assets if revalued — ROA/RONE appear weaker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Relevant companies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Not applicable</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TSMC, Samsung, foundry-heavy companies with significant PP&amp;E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ASSET_REVAL_FLAG; document revaluation surplus amount from equity section</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Cannot fully adjust without detailed PP&amp;E roll-forward</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5. J-GAAP Structural Differences  —  Japan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32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J-GAAP</w:t>
            </w:r>
          </w:p>
        </w:tc>
        <w:tc>
          <w:tcPr>
            <w:tcW w:type="dxa" w:w="32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US-GAAP / IFRS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P&amp;L philosophy</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Revenue-expense approach — profit = revenues minus expenses</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Asset-liability approach — profit = change in net assets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income definition</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Defined differently — excludes items US-GAAP includes in operations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More inclusive operating income definition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Non-operating section</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Significant section below operating income for interest, dividends, FX</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Folded into operating or classified as other</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Extraordinary items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Permitted — unusual non-recurring items shown separately</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Prohibited under IFRS; strongly discouraged under GAAP</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reporting</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Often split into Selling Expenses + G&amp;A Expenses separately</w:t>
            </w:r>
          </w:p>
        </w:tc>
        <w:tc>
          <w:tcPr>
            <w:tcW w:type="dxa" w:w="32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Single SG&amp;A line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JGAAP_EXTRAORDINARY flag; JGAAP_SGA_SPLIT flag; sum selling + G&amp;A for SG&amp;A metrics</w:t>
            </w:r>
          </w:p>
        </w:tc>
        <w:tc>
          <w:tcPr>
            <w:tcW w:type="dxa" w:w="32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Map NetSales → Revenue; OperatingIncome → EBIT equivalent</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Normalization Action Matrix</w:t>
      </w:r>
    </w:p>
    <w:p>
      <w:pPr>
        <w:spacing w:after="100" w:before="60"/>
      </w:pPr>
      <w:r>
        <w:rPr>
          <w:rFonts w:ascii="Arial" w:cs="Arial" w:eastAsia="Arial" w:hAnsi="Arial"/>
          <w:color w:val="374151"/>
          <w:sz w:val="22"/>
          <w:szCs w:val="22"/>
        </w:rPr>
        <w:t xml:space="preserve">Every raw data input is processed through one of four actions before being used in metric calculations: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60"/>
        <w:gridCol w:w="2400"/>
      </w:tblGrid>
      <w:tr>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Examples</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Metrics Affected</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Direct use</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Tag maps cleanly — no structural accounting difference</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Total Assets, Net Income, Cash, Shares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 of 55 metrics</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Tag synonym resolution</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concept — different tag name across taxonomies</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vs Revenue vs NetSales vs TurnoverRevenue</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55 — tag mapping table handles this</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 adjustment</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Structural difference requires formula modification</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 16 EBITDA adjustment; J-GAAP SG&amp;A sum</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Operating Margin, ROIC — ~8 metrics</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Flagged — no clean adjustment</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Difference too fundamental; flag surfaced on dashboard</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capitalization, asset revaluation, LIFO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metrics, inventory metrics, return ratios — ~12 metrics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4 — Canonical Data Model</w:t>
      </w:r>
    </w:p>
    <w:p>
      <w:pPr>
        <w:spacing w:after="100" w:before="60"/>
      </w:pPr>
      <w:r>
        <w:rPr>
          <w:rFonts w:ascii="Arial" w:cs="Arial" w:eastAsia="Arial" w:hAnsi="Arial"/>
          <w:color w:val="374151"/>
          <w:sz w:val="22"/>
          <w:szCs w:val="22"/>
        </w:rPr>
        <w:t xml:space="preserve">The canonical data model defines exactly what is stored, how it is structured, and what every field means. This is the database specification for the pipeline.</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Core Database Tables</w:t>
      </w:r>
    </w:p>
    <w:p>
      <w:pPr>
        <w:spacing w:after="60" w:before="0"/>
      </w:pPr>
      <w:r>
        <w:t xml:space="preserve"/>
      </w:r>
    </w:p>
    <w:p>
      <w:pPr>
        <w:pStyle w:val="Heading3"/>
        <w:spacing w:after="80" w:before="200"/>
      </w:pPr>
      <w:r>
        <w:rPr>
          <w:rFonts w:ascii="Arial" w:cs="Arial" w:eastAsia="Arial" w:hAnsi="Arial"/>
          <w:b/>
          <w:bCs/>
          <w:color w:val="374151"/>
          <w:sz w:val="24"/>
          <w:szCs w:val="24"/>
        </w:rPr>
        <w:t xml:space="preserve">companies — Master entity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6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0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35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PK</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Generated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Internal identifier — stable across filing system changes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ticker</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Primary user-facing lookup key</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cik</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for non-EDGAR companies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edinet_code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EDINET</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E-code for Japan companies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dart_code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DART</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Corp code for Korea companies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twse_code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TWSE</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Stock code for Taiwan companies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name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Legal entity name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country</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CHAR(2)</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ISO 3166-2 country code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reporting_currency</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CHAR(3)</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ISO 4217 — USD, JPY, EUR, KRW, TWD</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accounting_standard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 | IFRS | J-GAAP | K-IFRS | TW-GAAP</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fiscal_year_end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CHAR(5)</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MM-DD format — 12-31 or 03-31 or 06-30</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filing_system</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System</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 ESMA | EDINET | DART | TWSE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gics_sector</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GICS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11 sector classification</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semi_sub_sector</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Manual</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Fabless | Foundry | IDM | Equipment | Materials | Packaging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is_benchmark</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Manual</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for 11 cross-sector benchmark companies</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raw_facts — Every XBRL value as filed. Never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6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00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356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fact_id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PK</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Generated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FK</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companies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source_tag</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Original tag — e.g. us-gaap:Revenues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canonical_tag</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tag_mappings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Resolved — e.g. Revenue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 value in reporting currency — never converted</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value_usd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FX conversion</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Converted using period-appropriate FX rate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unit</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USD | JPY | EUR | KRW | TWD | shares | pure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period_start</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Duration facts (income statement items)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period_end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facts — primary temporal key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period_type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instant | duration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fiscal_year</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INTEGER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Fiscal year — e.g. 2024</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fiscal_quarter</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INTEGER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1–4; NULL for annual-only facts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form_type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10-K | 10-Q | 20-F | Yuho | etc.</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accession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 reference — full audit trail to source document</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is_restated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if amended filing supersedes prior value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data_quality_score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SMALLINT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0–100 — penalized for estimated or partially-matched tags</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tag_mappings — The canonical normalization table (the core IP)</w:t>
      </w:r>
    </w:p>
    <w:p>
      <w:pPr>
        <w:spacing w:after="100" w:before="60"/>
      </w:pPr>
      <w:r>
        <w:rPr>
          <w:rFonts w:ascii="Arial" w:cs="Arial" w:eastAsia="Arial" w:hAnsi="Arial"/>
          <w:color w:val="374151"/>
          <w:sz w:val="22"/>
          <w:szCs w:val="22"/>
        </w:rPr>
        <w:t xml:space="preserve">Approximately 825 entries: 55 metrics × 5 taxonomies × ~3 synonym tags average. Built incrementally as companies are added. This table is what makes global comparison possible.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1400"/>
        <w:gridCol w:w="1600"/>
      </w:tblGrid>
      <w:tr>
        <w:tc>
          <w:tcPr>
            <w:tcW w:type="dxa" w:w="24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canonical_name</w:t>
            </w:r>
          </w:p>
        </w:tc>
        <w:tc>
          <w:tcPr>
            <w:tcW w:type="dxa" w:w="18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taxonomy</w:t>
            </w:r>
          </w:p>
        </w:tc>
        <w:tc>
          <w:tcPr>
            <w:tcW w:type="dxa" w:w="216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source_tag</w:t>
            </w:r>
          </w:p>
        </w:tc>
        <w:tc>
          <w:tcPr>
            <w:tcW w:type="dxa" w:w="14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6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Most common US tag</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RevenueFromContractWithCustomerExcludingAssessedTax</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Post-ASC 606</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SalesRevenueNet</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Legacy tag</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ifrs-full</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Primary IFRS tag</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ifrs-full</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RevenueFromContractsWithCustomers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 15 specific</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jpcrp</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NetSales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Primary J-GAAP tag</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jpcrp</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OperatingRevenue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Service companies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k-ifrs</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K-IFRS aligns with IFRS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tw-ifrs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 IFRS aligns with IFRS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CostOfGoodsAndServicesSold</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CostOfRevenue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ifrs-full</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CostOfSales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jpcrp</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CostOfSales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us-gaap</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GrossProfit</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Direct tag — use if available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ifrs-full</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GrossProfit</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810+ more entries across all 55 metrics ...</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Populated incrementally</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metrics — All 55 calculated values, one row per company per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6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0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Derived From</w:t>
            </w:r>
          </w:p>
        </w:tc>
        <w:tc>
          <w:tcPr>
            <w:tcW w:type="dxa" w:w="356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metric_id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PK</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Generated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FK</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companies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period_end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Balance sheet date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period_type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quarterly | annual | ttm</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GROWTH ---</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revenue_usd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monetary values in USD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revenue_growth_yoy</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YoY % change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revenue_ttm_usd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Trailing 12 months — fiscal calendar aware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rd_expense_usd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rd_margin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 Revenue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sga_expense_usd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Summed from split lines if J-GAAP</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INTEGER</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not tagged</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employee_growth_yoy</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employees sparse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shares_outstanding</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BIGINT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PROFITABILITY ---</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gross_profit_usd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0.0–1.0 decimal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Lease-adjusted for IFRS 16 filers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operating_income_usd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net_income_usd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net_profit_margin</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cash_usd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free_cash_flow_usd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OCF - CapEx</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CYCLE ---</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inventory_usd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raw_facts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inventory_turns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days_inventory</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days_sales_outstanding</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days_payables_outstanding</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cash_to_cash</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DIO + DSO - DPO</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COMPLEXITY ---</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current_ratio</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quick_ratio</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return_on_assets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return_on_equity</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roic</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NOPAT / invested capital</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altman_z</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5-factor score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revenue_per_employee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employees sparse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FLAGS ---</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accounting_flags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JSONB</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Active flags as JSON array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completeness_score</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SMALLINT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0–100 — % of 55 metrics populated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ebitda_lease_adjusted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if IFRS 16 adjustment applied</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rd_capitalized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if IFRS development costs detected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inventory_method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Detected</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FIFO | LIFO | WeightedAvg | Unknown</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fx_rates — Period-accurate currency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from_currency</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CHAR(3)</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 Fed H.10</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JPY | EUR | KRW | TWD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to_currency</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CHAR(3)</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Always USD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Standard comparison currency</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rate_date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DATE</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 Fed H.10</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rates stored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NUMERIC(12,6)</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 Fed H.10</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rate_type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period_average | period_end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System</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 FederalReserve | OpenExchangeRates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period_average logic</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P&amp;L items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Average of daily rates across fiscal quarter</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Income statement, R&amp;D, SG&amp;A, COGS</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period_end logic</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Balance sheet items</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 on final day of reporting period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Inventory, Assets, Liabilities</w:t>
            </w:r>
          </w:p>
        </w:tc>
      </w:tr>
    </w:tbl>
    <w:p>
      <w:pPr>
        <w:spacing w:after="80" w:before="0"/>
      </w:pPr>
      <w:r>
        <w:t xml:space="preserve"/>
      </w:r>
    </w:p>
    <w:p>
      <w:pPr>
        <w:pStyle w:val="Heading3"/>
        <w:spacing w:after="80" w:before="200"/>
      </w:pPr>
      <w:r>
        <w:rPr>
          <w:rFonts w:ascii="Arial" w:cs="Arial" w:eastAsia="Arial" w:hAnsi="Arial"/>
          <w:b/>
          <w:bCs/>
          <w:color w:val="374151"/>
          <w:sz w:val="24"/>
          <w:szCs w:val="24"/>
        </w:rPr>
        <w:t xml:space="preserve">flags — Threshold alerts and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60"/>
        <w:gridCol w:w="3800"/>
      </w:tblGrid>
      <w:tr>
        <w:tc>
          <w:tcPr>
            <w:tcW w:type="dxa" w:w="22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4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96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Logic</w:t>
            </w:r>
          </w:p>
        </w:tc>
        <w:tc>
          <w:tcPr>
            <w:tcW w:type="dxa" w:w="38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UUID FK</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companies</w:t>
            </w:r>
          </w:p>
        </w:tc>
        <w:tc>
          <w:tcPr>
            <w:tcW w:type="dxa" w:w="3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metric_name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VARCHAR</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Threshold rule</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altman_z | days_sales_outstanding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flag_type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 category</w:t>
            </w:r>
          </w:p>
        </w:tc>
        <w:tc>
          <w:tcPr>
            <w:tcW w:type="dxa" w:w="3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threshold | trend | anomaly | data_quality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severity</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ENUM</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 definition</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warning | alert | critical</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triggered_value</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value</w:t>
            </w:r>
          </w:p>
        </w:tc>
        <w:tc>
          <w:tcPr>
            <w:tcW w:type="dxa" w:w="3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1.72</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threshold_value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1.81 (Altman Z grey zone lower bound)</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period_end</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DATE</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period</w:t>
            </w:r>
          </w:p>
        </w:tc>
        <w:tc>
          <w:tcPr>
            <w:tcW w:type="dxa" w:w="3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2024-12-31</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flag_message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Generated</w:t>
            </w:r>
          </w:p>
        </w:tc>
        <w:tc>
          <w:tcPr>
            <w:tcW w:type="dxa" w:w="3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 Z entered distress zone (1.72 &lt; 1.81)</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consecutive_periods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SMALLINT</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Trend logic</w:t>
            </w:r>
          </w:p>
        </w:tc>
        <w:tc>
          <w:tcPr>
            <w:tcW w:type="dxa" w:w="3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 — DSO rising for 3 consecutive quarters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5 — Complete Tag Mapping: All 55 Metrics</w:t>
      </w:r>
    </w:p>
    <w:p>
      <w:pPr>
        <w:spacing w:after="100" w:before="60"/>
      </w:pPr>
      <w:r>
        <w:rPr>
          <w:rFonts w:ascii="Arial" w:cs="Arial" w:eastAsia="Arial" w:hAnsi="Arial"/>
          <w:color w:val="374151"/>
          <w:sz w:val="22"/>
          <w:szCs w:val="22"/>
        </w:rPr>
        <w:t xml:space="preserve">For each metric: canonical name, required raw inputs, primary XBRL tags per taxonomy, and normalization flag. This is the complete data dictionary and the build specification for the tag_mappings table.</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GROWTH METRICS  (14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c>
          <w:tcPr>
            <w:tcW w:type="dxa" w:w="20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Raw Inputs</w:t>
            </w:r>
          </w:p>
        </w:tc>
        <w:tc>
          <w:tcPr>
            <w:tcW w:type="dxa" w:w="27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Primary XBRL Tags</w:t>
            </w:r>
          </w:p>
        </w:tc>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Common Shares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Shares outstanding</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CommonStockSharesOutstanding (GAAP) · ifrs: OrdinarySharesOutstanding · jpcrp: NumberOfSharesIssued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 Growth</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Headcount × 2 periods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EntityNumberOfEmployees (GAAP) · jpcrp: NumberOfEmployees · ifrs: not standardized</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SPARSE_EMPLOYEES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Headcount</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EntityNumberOfEmployees · jpcrp: NumberOfEmployees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SPARSE_EMPLOYEES</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 Cap</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Shares × price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CommonStockSharesOutstanding + live price (not in XBRL)</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ESTIMATE_FLAG for price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Margin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ResearchAndDevelopmentExpense / Revenues · ifrs: ResearchAndDevelopmentExpense / Revenue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IFRS_RD_CAP if capitalized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 OpEx</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ResearchAndDevelopmentExpense / OperatingExpenses (all standards)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IFRS_RD_CAP</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To COGS Ratio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 COGS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ResearchAndDevelopmentExpense / CostOfGoodsAndServicesSold · ifrs: / CostOfSales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revenue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[p1] · RevenueFromContractWithCustomer [p2] · ifrs: Revenue [p1] · jpcrp: NetSales [p1]</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 — maps cleanly</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Growth</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2 periods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current vs. prior period (same tag, different period)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Growth TTM</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TTM Revenue × 2 years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Sum 4Q Revenues (fiscal calendar aware)</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Calendar normalization</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TTM</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Last 4 quarters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Sum(Revenues, 4 most recent quarters)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Calendar normalization</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Margin</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 Revenue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SellingGeneralAndAdministrativeExpense / Revenues · jpcrp: SellingExpenses + GeneralAndAdministrativeExpenses / NetSales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JGAAP_SGA_SPLIT</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Ratio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 OpEx</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SellingGeneralAndAdministrativeExpense / OperatingExpenses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JGAAP_SGA_SPLIT</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To COGS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 COGS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SellingGeneralAndAdministrativeExpense / CostOfGoodsAndServicesSold</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PROFITABILITY METRICS  (17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c>
          <w:tcPr>
            <w:tcW w:type="dxa" w:w="20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Raw Inputs</w:t>
            </w:r>
          </w:p>
        </w:tc>
        <w:tc>
          <w:tcPr>
            <w:tcW w:type="dxa" w:w="276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Primary XBRL Tags</w:t>
            </w:r>
          </w:p>
        </w:tc>
        <w:tc>
          <w:tcPr>
            <w:tcW w:type="dxa" w:w="22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&amp; equivalents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CashAndCashEquivalentsAtCarryingValue · ifrs: CashAndCashEquivalents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Change In Period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end – start</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CashAndCashEquivalentsAtCarryingValue (two consecutive periods)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On Hand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equivalents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CashAndCashEquivalentsAtCarryingValue (same as Cash)</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Ratio TTM</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current liab (TTM avg)</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CashAndCashEquivalentsAtCarryingValue / LiabilitiesCurrent — averaged</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Averaging logic</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Ratio Quarter</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current liab (Q)</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tags — quarterly period filter</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Ratio Year</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current liab (annual)</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tags — annual period filter</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 of sales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CostOfGoodsAndServicesSold [p1] · CostOfRevenue [p2] · ifrs: CostOfSales [p1]</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 + D&amp;A</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OperatingIncomeLoss + DepreciationDepletionAndAmortization · ifrs: requires lease adj</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IFRS16_LEASE_ADJ</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 Cash Flow Ratio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(NetCashProvidedByUsedInOperatingActivities – CapitalExpenditures) / Revenues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Margin</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 / Revenue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GrossProfit / Revenues · ifrs: GrossProfit / Revenue</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COGS</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GrossProfit [direct, all standards] or Revenues – COGS fallback</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 — maps cleanly</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Fgross Profit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Forward gross profit</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Not in XBRL — analyst estimate only</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ESTIMATE_FLAG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Profit Margin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NetIncomeLoss / Revenues · ifrs: ProfitLoss / Revenue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JGAAP_EXTRAORDINARY</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Cash Flow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OCF / current liab</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NetCashProvidedByUsedInOperatingActivities / LiabilitiesCurrent</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Margin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 income /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OperatingIncomeLoss / Revenues · ifrs: OperatingProfit / Revenue · jpcrp: OperatingIncome / NetSales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 structure note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Opex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 OpEx / Revenue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OperatingExpenses / Revenues · ifrs: OperatingExpenses / Revenue</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Pretax Margin</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EBT / Revenue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IncomeLossFromContinuingOperationsBeforeIncomeTaxes / Revenues · ifrs: ProfitLossBeforeTax / Revenue</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CYCLE METRICS  (14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c>
          <w:tcPr>
            <w:tcW w:type="dxa" w:w="20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Raw Inputs</w:t>
            </w:r>
          </w:p>
        </w:tc>
        <w:tc>
          <w:tcPr>
            <w:tcW w:type="dxa" w:w="276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Primary XBRL Tags</w:t>
            </w:r>
          </w:p>
        </w:tc>
        <w:tc>
          <w:tcPr>
            <w:tcW w:type="dxa" w:w="2200"/>
            <w:tcBorders>
              <w:top w:val="single" w:color="E5E7EB" w:sz="4"/>
              <w:left w:val="single" w:color="E5E7EB" w:sz="4"/>
              <w:bottom w:val="single" w:color="E5E7EB" w:sz="4"/>
              <w:right w:val="single" w:color="E5E7EB" w:sz="4"/>
            </w:tcBorders>
            <w:shd w:fill="92400E" w:val="clear"/>
            <w:tcMar>
              <w:top w:type="dxa" w:w="100"/>
              <w:left w:type="dxa" w:w="140"/>
              <w:bottom w:type="dxa" w:w="100"/>
              <w:right w:type="dxa" w:w="140"/>
            </w:tcMar>
          </w:tcPr>
          <w:p>
            <w:r>
              <w:rPr>
                <w:rFonts w:ascii="Arial" w:cs="Arial" w:eastAsia="Arial" w:hAnsi="Arial"/>
                <w:b/>
                <w:bCs/>
                <w:color w:val="FFFFFF"/>
                <w:sz w:val="19"/>
                <w:szCs w:val="19"/>
              </w:rPr>
              <w:t xml:space="preserve">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Cash-To-Cash (CCC)</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DIO + DSO – DPO</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 from inventory + receivables + payables + COGS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Finished Goods</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Finished goods / COGS × 365</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InventoryFinishedGoods / COGS · ifrs: FinishedGoods / CostOfSales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Inventory</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 inventory / COGS × 365</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InventoryNet / CostOfGoodsAndServicesSold · ifrs: Inventories / CostOfSales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Payables Outstanding</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Payables / COGS × 365</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AccountsPayableCurrent / COGS · ifrs: TradeAndOtherPayablesCurrent / CostOfSales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Raw Materials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 materials / COGS × 365</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InventoryRawMaterials / COGS · ifrs: RawMaterialsAndConsumables / CostOfSales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Sales Outstanding</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Receivables / Revenue × 365</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AccountsReceivableNetCurrent / Revenues · ifrs: TradeAndOtherReceivablesCurrent / Revenue</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Of Work In Progress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WIP / COGS × 365</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InventoryWorkInProcess / COGS · ifrs: WorkInProgress / CostOfSales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DPO/DSO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DPO / DSO</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 from above — ratio of two cycle metrics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Finished Goods Inventory</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FG balance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InventoryFinishedGoods · ifrs: FinishedGoods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 inventory</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InventoryNet · ifrs: Inventories · jpcrp: Inventories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 Turns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 / avg inventory</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CostOfGoodsAndServicesSold / avg(InventoryNet) — averaged over 2 periods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Receivables Turns</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avg receivables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 avg(AccountsReceivableNetCurrent)</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Raw Materials Inventory</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RM balance</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InventoryRawMaterials · ifrs: RawMaterialsAndConsumables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Work In Progress Inventory</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WIP balance</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InventoryWorkInProcess · ifrs: WorkInProgress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COMPLEXITY METRICS  (10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Raw Inputs</w:t>
            </w:r>
          </w:p>
        </w:tc>
        <w:tc>
          <w:tcPr>
            <w:tcW w:type="dxa" w:w="256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Primary XBRL Tags</w:t>
            </w:r>
          </w:p>
        </w:tc>
        <w:tc>
          <w:tcPr>
            <w:tcW w:type="dxa" w:w="22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Flag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 Z</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factors: WC/TA, RE/TA, EBIT/TA, MktCap/TL, Rev/TA</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WorkingCapital + RetainedEarnings + OperatingIncomeLoss + mktcap + Revenues / Assets — IFRS asset base may be revalued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ASSET_REVAL_FLAG</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Capital Turnover</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(equity + debt)</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 (StockholdersEquity + LongTermDebt + ShortTermBorrowings) · ifrs: Equity + LongTermBorrowings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Current Ratio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Current assets / current liab</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AssetsCurrent / LiabilitiesCurrent · ifrs: CurrentAssets / CurrentLiabilities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 — universal</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Quick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ST inv + AR) / current liab</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ShortTermInvestments + AccountsReceivableNetCurrent / LiabilitiesCurrent</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 On Assets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avg assets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NetIncomeLoss / avg(Assets) · ifrs: ProfitLoss / avg(Assets)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ASSET_REVAL_FLAG</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 On Equity</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avg equity</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NetIncomeLoss / avg(StockholdersEquity) · ifrs: ProfitLoss / avg(Equity)</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 On Invested Capital</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NOPAT / (equity + debt – cash)</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OperatingIncomeLoss × (1–tax) / invested capital — IFRS 16 adds lease liabilities to invested capital</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IFRS16_LEASE_ADJ</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Return On Net Assets</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(PP&amp;E net + net WC)</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NetIncomeLoss / (PropertyPlantAndEquipmentNet + WorkingCapital)</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ASSET_REVAL_FLAG</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Employee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employees</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Revenues / EntityNumberOfEmployees · jpcrp: NetSales / NumberOfEmployees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SPARSE_EMPLOYEES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Working Capital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Current assets / current liab</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AssetsCurrent / LiabilitiesCurrent — same as Current Ratio</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6 — Data Quality Flags</w:t>
      </w:r>
    </w:p>
    <w:p>
      <w:pPr>
        <w:spacing w:after="100" w:before="60"/>
      </w:pPr>
      <w:r>
        <w:rPr>
          <w:rFonts w:ascii="Arial" w:cs="Arial" w:eastAsia="Arial" w:hAnsi="Arial"/>
          <w:color w:val="374151"/>
          <w:sz w:val="22"/>
          <w:szCs w:val="22"/>
        </w:rPr>
        <w:t xml:space="preserve">Every metric record carries flags that communicate what adjustments were made, what comparability limitations exist, and where data is missing. Flags are surfaced on the dashboard so users understand exactly what they are looking at — no silent assumptions.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Flag Code</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Trigger Condition</w:t>
            </w:r>
          </w:p>
        </w:tc>
        <w:tc>
          <w:tcPr>
            <w:tcW w:type="dxa" w:w="2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Metrics Affected</w:t>
            </w:r>
          </w:p>
        </w:tc>
        <w:tc>
          <w:tcPr>
            <w:tcW w:type="dxa" w:w="2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Dashboard Display</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LIFO_FLAG</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 uses LIFO inventory method (US-GAAP only — rare in semis)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COGS, Gross Profit, all inventory and cycle metrics</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LIFO method — peer comparison adjusted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IFRS16_LEASE_ADJ</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 filer — EBITDA adjusted to equivalent operating lease basis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Operating Margin, ROIC</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ℹ IFRS 16 lease adjustment applied</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IFRS_RD_CAP</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Development costs capitalized on balance sheet (IAS 38)</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Margin, R&amp;D Ratio, EBITDA</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R&amp;D understated — development costs capitalized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ASSET_REVAL_FLAG</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PP&amp;E revalued to fair value (IFRS IAS 16)</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ROA, RONE, Capital Turnover, Altman Z</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ℹ Assets at fair value — ratios differ from GAAP peers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JGAAP_EXTRAORDINARY</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Extraordinary items in income statement (J-GAAP)</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Net Profit Margin</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ℹ Extraordinary items excluded for comparability</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JGAAP_SGA_SPLIT</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reported as separate Selling + G&amp;A lines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SG&amp;A Margin, SG&amp;A Ratio, SG&amp;A/COGS</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ℹ SG&amp;A summed from separate line items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SPARSE_EMPLOYEES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EntityNumberOfEmployees not tagged in filing</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Employees, Employee Growth, Revenue Per Employee</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Employee data unavailable or estimated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SPARSE_INVENTORY_DETAIL</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Inventory sub-components not broken out separately</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FG, Days RM, Days WIP, FG/RM/WIP balances</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Inventory detail unavailable — using total inventory</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ESTIMATE_FLAG</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Value not from filing — estimated or modeled</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Fgross Profit, Market Cap (price component)</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Estimated — not from regulatory filing</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INCOMPLETE_PERIOD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Fewer than 4 quarters for TTM calculation</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TTM metrics</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TTM from &lt; 4 quarters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RESTATEMENT</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Amended filing supersedes prior period values</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metrics for restated periods</w:t>
            </w:r>
          </w:p>
        </w:tc>
        <w:tc>
          <w:tcPr>
            <w:tcW w:type="dxa" w:w="2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ℹ Restated filing — values updated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LOW_COMPLETENESS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Completeness score below 70%</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Dashboard-level flag</w:t>
            </w:r>
          </w:p>
        </w:tc>
        <w:tc>
          <w:tcPr>
            <w:tcW w:type="dxa" w:w="2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Limited data — analysis may be incomplete</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Completeness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Score</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Meaning</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Typical Company</w:t>
            </w:r>
          </w:p>
        </w:tc>
        <w:tc>
          <w:tcPr>
            <w:tcW w:type="dxa" w:w="33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Cause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90–100</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Excellent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Large US-listed EDGAR filer</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Clean XBRL history, all tags present</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75–89</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Good — minor gaps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Most S&amp;P 500 companies</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Missing employee data or inventory detail</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60–74</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Moderate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Mid-cap or J-GAAP filer</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Sparse XBRL, some missing segment tags</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40–59</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Limited</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Non-EDGAR filer, partial XBRL</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DART or TWSE company with incomplete tagging</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Below 40</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Poor — exclude from analysis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Micro-cap, pre-revenue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Legacy filing, not enough XBRL data</w:t>
            </w:r>
          </w:p>
        </w:tc>
      </w:tr>
    </w:tbl>
    <w:p>
      <w:pPr>
        <w:spacing w:after="120" w:before="0"/>
      </w:pPr>
      <w:r>
        <w:t xml:space="preserve"/>
      </w:r>
    </w:p>
    <w:p>
      <w:pPr>
        <w:pStyle w:val="Heading1"/>
        <w:pBdr>
          <w:bottom w:val="single" w:color="2563EB" w:sz="8" w:space="4"/>
        </w:pBdr>
        <w:spacing w:after="120" w:before="360"/>
      </w:pPr>
      <w:r>
        <w:rPr>
          <w:rFonts w:ascii="Arial" w:cs="Arial" w:eastAsia="Arial" w:hAnsi="Arial"/>
          <w:b/>
          <w:bCs/>
          <w:color w:val="0D1B2A"/>
          <w:sz w:val="36"/>
          <w:szCs w:val="36"/>
        </w:rPr>
        <w:t xml:space="preserve">Section 7 — Currency Normalization</w:t>
      </w:r>
    </w:p>
    <w:p>
      <w:pPr>
        <w:spacing w:after="100" w:before="60"/>
      </w:pPr>
      <w:r>
        <w:rPr>
          <w:rFonts w:ascii="Arial" w:cs="Arial" w:eastAsia="Arial" w:hAnsi="Arial"/>
          <w:color w:val="374151"/>
          <w:sz w:val="22"/>
          <w:szCs w:val="22"/>
        </w:rPr>
        <w:t xml:space="preserve">All monetary metrics stored and displayed in USD. Conversion follows standard financial reporting practice: period-average rates for income statement items (P&amp;L), period-end rates for balance sheet items. Both rate types stored in fx_rates for full audit trail.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Currency</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Used By</w:t>
            </w:r>
          </w:p>
        </w:tc>
        <w:tc>
          <w:tcPr>
            <w:tcW w:type="dxa" w:w="2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FX Data Source</w:t>
            </w:r>
          </w:p>
        </w:tc>
        <w:tc>
          <w:tcPr>
            <w:tcW w:type="dxa" w:w="3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USD</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companies, foreign ADRs in USD</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conversion</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Base currency</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EUR</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Europe (ESMA)</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Statistical Data Warehouse — free REST API</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ecb.europa.eu/stats/eurofxref</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JPY</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Japan (EDINET)</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Bank of Japan + ECB cross rates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rates available</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KRW</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Korea (DART)</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ECB + Bank of Korea</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rates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TWD</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Taiwan (TWSE)</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Federal Reserve H.10 release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Weekly publication, interpolated to daily</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P&amp;L items (Revenue, COGS, R&amp;D, SG&amp;A)</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Average of daily rates across reporting quarter</w:t>
            </w:r>
          </w:p>
        </w:tc>
        <w:tc>
          <w:tcPr>
            <w:tcW w:type="dxa" w:w="2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Period-average rate</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More accurate for income recognition timing</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2563EB"/>
                <w:sz w:val="21"/>
                <w:szCs w:val="21"/>
              </w:rPr>
              <w:t xml:space="preserve">Balance sheet items (Cash, Inventory, Assets)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 on final day of reporting period</w:t>
            </w:r>
          </w:p>
        </w:tc>
        <w:tc>
          <w:tcPr>
            <w:tcW w:type="dxa" w:w="2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Period-end rate</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Standard practice for asset/liability translation</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Scope Summary — Confirmed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c>
          <w:tcPr>
            <w:tcW w:type="dxa" w:w="29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 companies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~285 (275 semiconductor + 11 benchmarks – 1 overlap)</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Nvidia counted once</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Filing systems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EDGAR · ESMA · EDINET · DART · TWSE</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free public APIs</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Accounting standards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US-GAAP · IFRS · J-GAAP · K-IFRS/TW-GAAP</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layer bridges all four</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Canonical metrics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 across 4 categories (Growth/Profitability/Cycle/Complexity)</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Full tag mapping defined for all</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tag mappings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~825 entries in tag_mappings table</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 metrics × 5 taxonomies × ~3 synonyms avg</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Currencies normalized</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USD · EUR · JPY · KRW · TWD</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Period-accurate FX from free public sources</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 quality flags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 defined flag types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Surfaced per metric on dashboard</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Normalization actions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types: direct · synonym · adjustment · flagged</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Applied per metric per filing standard</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Database tables</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 core tables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companies · raw_facts · metrics · fx_rates · tag_mappings · flags · filing_log · completeness</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Phase 1–2</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~230 companies</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domestic + foreign ADRs — zero new connectors beyond EDGAR</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EDINET Phase 3</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~80 companies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Japan — one new connector, highest non-EDGAR value</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ESMA Phase 3</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 companies</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Europe — one new connector, IFRS-based (lowest normalization burden)</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DART Phase 4</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~40 companies</w:t>
            </w:r>
          </w:p>
        </w:tc>
        <w:tc>
          <w:tcPr>
            <w:tcW w:type="dxa" w:w="2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Korea — K-IFRS close to IFRS — moderate effort</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TWSE Phase 4</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~35 companies (excl. ADRs)</w:t>
            </w:r>
          </w:p>
        </w:tc>
        <w:tc>
          <w:tcPr>
            <w:tcW w:type="dxa" w:w="2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Taiwan — highest complexity — lowest priority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This document is the complete data engineering specification for FinMetrics. Every pipeline decision, normalization choice, accounting adjustment, and data quality flag is defined here. The tag_mappings table and the normalization layer described in Sections 3–5 are the intellectual property of the project — this is what makes global semiconductor comparison possible on free public data. No other free tool does this with this level of documented methodology.</w:t>
            </w:r>
          </w:p>
        </w:tc>
      </w:tr>
    </w:tbl>
    <w:p>
      <w:pPr>
        <w:spacing w:after="200" w:before="0"/>
      </w:pPr>
      <w:r>
        <w:t xml:space="preserve"/>
      </w:r>
    </w:p>
    <w:p>
      <w:pPr>
        <w:spacing w:after="0" w:before="80"/>
        <w:jc w:val="center"/>
      </w:pPr>
      <w:r>
        <w:rPr>
          <w:rFonts w:ascii="Arial" w:cs="Arial" w:eastAsia="Arial" w:hAnsi="Arial"/>
          <w:i/>
          <w:iCs/>
          <w:color w:val="9CA3AF"/>
          <w:sz w:val="18"/>
          <w:szCs w:val="18"/>
        </w:rPr>
        <w:t xml:space="preserve">FinMetrics  |  Global Scope &amp; Data Framework  |  Built entirely on free public regulatory filings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0"/>
    </w:pPr>
    <w:r>
      <w:rPr>
        <w:rFonts w:ascii="Arial" w:cs="Arial" w:eastAsia="Arial" w:hAnsi="Arial"/>
        <w:color w:val="9CA3AF"/>
        <w:sz w:val="16"/>
        <w:szCs w:val="16"/>
      </w:rPr>
      <w:t xml:space="preserve">Confidential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pPr>
    <w:r>
      <w:rPr>
        <w:rFonts w:ascii="Arial" w:cs="Arial" w:eastAsia="Arial" w:hAnsi="Arial"/>
        <w:b/>
        <w:bCs/>
        <w:color w:val="2563EB"/>
        <w:sz w:val="18"/>
        <w:szCs w:val="18"/>
      </w:rPr>
      <w:t xml:space="preserve">FINMETRICS  </w:t>
    </w:r>
    <w:r>
      <w:rPr>
        <w:rFonts w:ascii="Arial" w:cs="Arial" w:eastAsia="Arial" w:hAnsi="Arial"/>
        <w:color w:val="9CA3AF"/>
        <w:sz w:val="18"/>
        <w:szCs w:val="18"/>
      </w:rPr>
      <w:t xml:space="preserve">Global Scope &amp; Data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2026-06-02T12:18:26.456Z</dcterms:created>
  <dcterms:modified xsi:type="dcterms:W3CDTF">2026-06-02T12:18:26.470Z</dcterms:modified>
</cp:coreProperties>
</file>

<file path=docProps/custom.xml><?xml version="1.0" encoding="utf-8"?>
<Properties xmlns="http://schemas.openxmlformats.org/officeDocument/2006/custom-properties" xmlns:vt="http://schemas.openxmlformats.org/officeDocument/2006/docPropsVTypes"/>
</file>