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r>
        <w:t xml:space="preserve"/>
      </w:r>
    </w:p>
    <w:p>
      <w:pPr>
        <w:spacing w:after="60" w:before="0"/>
        <w:jc w:val="center"/>
      </w:pPr>
      <w:r>
        <w:rPr>
          <w:rFonts w:ascii="Arial" w:cs="Arial" w:eastAsia="Arial" w:hAnsi="Arial"/>
          <w:b/>
          <w:bCs/>
          <w:color w:val="2563EB"/>
          <w:sz w:val="72"/>
          <w:szCs w:val="72"/>
        </w:rPr>
        <w:t xml:space="preserve">FINMETRICS</w:t>
      </w:r>
    </w:p>
    <w:p>
      <w:pPr>
        <w:spacing w:after="120" w:before="0"/>
        <w:jc w:val="center"/>
      </w:pPr>
      <w:r>
        <w:rPr>
          <w:rFonts w:ascii="Arial" w:cs="Arial" w:eastAsia="Arial" w:hAnsi="Arial"/>
          <w:color w:val="0D1B2A"/>
          <w:sz w:val="32"/>
          <w:szCs w:val="32"/>
        </w:rPr>
        <w:t xml:space="preserve">Expanded Metric Framework &amp; Pipeline Architecture</w:t>
      </w:r>
    </w:p>
    <w:p>
      <w:pPr>
        <w:spacing w:after="200" w:before="0"/>
        <w:jc w:val="center"/>
      </w:pPr>
      <w:r>
        <w:rPr>
          <w:rFonts w:ascii="Arial" w:cs="Arial" w:eastAsia="Arial" w:hAnsi="Arial"/>
          <w:i/>
          <w:iCs/>
          <w:color w:val="9CA3AF"/>
          <w:sz w:val="22"/>
          <w:szCs w:val="22"/>
        </w:rPr>
        <w:t xml:space="preserve">55 → 75 Public Metrics  |  New Data Sources  |  Enhanced Pipeline  |  12 Parked Private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E5E7EB" w:sz="4"/>
              <w:left w:val="single" w:color="E5E7EB" w:sz="4"/>
              <w:bottom w:val="single" w:color="E5E7EB" w:sz="4"/>
              <w:right w:val="single" w:color="E5E7EB" w:sz="4"/>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ORIGINAL</w:t>
            </w:r>
          </w:p>
        </w:tc>
        <w:tc>
          <w:tcPr>
            <w:tcW w:type="dxa" w:w="1560"/>
            <w:tcBorders>
              <w:top w:val="single" w:color="E5E7EB" w:sz="4"/>
              <w:left w:val="single" w:color="E5E7EB" w:sz="4"/>
              <w:bottom w:val="single" w:color="E5E7EB" w:sz="4"/>
              <w:right w:val="single" w:color="E5E7EB" w:sz="4"/>
            </w:tcBorders>
            <w:shd w:fill="C2410C" w:val="clear"/>
            <w:tcMar>
              <w:top w:type="dxa" w:w="100"/>
              <w:left w:type="dxa" w:w="140"/>
              <w:bottom w:type="dxa" w:w="100"/>
              <w:right w:type="dxa" w:w="140"/>
            </w:tcMar>
          </w:tcPr>
          <w:p>
            <w:r>
              <w:rPr>
                <w:rFonts w:ascii="Arial" w:cs="Arial" w:eastAsia="Arial" w:hAnsi="Arial"/>
                <w:b/>
                <w:bCs/>
                <w:color w:val="FFFFFF"/>
                <w:sz w:val="19"/>
                <w:szCs w:val="19"/>
              </w:rPr>
              <w:t xml:space="preserve">VALUATION</w:t>
            </w:r>
          </w:p>
        </w:tc>
        <w:tc>
          <w:tcPr>
            <w:tcW w:type="dxa" w:w="1560"/>
            <w:tcBorders>
              <w:top w:val="single" w:color="E5E7EB" w:sz="4"/>
              <w:left w:val="single" w:color="E5E7EB" w:sz="4"/>
              <w:bottom w:val="single" w:color="E5E7EB" w:sz="4"/>
              <w:right w:val="single" w:color="E5E7EB" w:sz="4"/>
            </w:tcBorders>
            <w:shd w:fill="166534" w:val="clear"/>
            <w:tcMar>
              <w:top w:type="dxa" w:w="100"/>
              <w:left w:type="dxa" w:w="140"/>
              <w:bottom w:type="dxa" w:w="100"/>
              <w:right w:type="dxa" w:w="140"/>
            </w:tcMar>
          </w:tcPr>
          <w:p>
            <w:r>
              <w:rPr>
                <w:rFonts w:ascii="Arial" w:cs="Arial" w:eastAsia="Arial" w:hAnsi="Arial"/>
                <w:b/>
                <w:bCs/>
                <w:color w:val="FFFFFF"/>
                <w:sz w:val="19"/>
                <w:szCs w:val="19"/>
              </w:rPr>
              <w:t xml:space="preserve">GROWTH Q</w:t>
            </w:r>
          </w:p>
        </w:tc>
        <w:tc>
          <w:tcPr>
            <w:tcW w:type="dxa" w:w="1560"/>
            <w:tcBorders>
              <w:top w:val="single" w:color="E5E7EB" w:sz="4"/>
              <w:left w:val="single" w:color="E5E7EB" w:sz="4"/>
              <w:bottom w:val="single" w:color="E5E7EB" w:sz="4"/>
              <w:right w:val="single" w:color="E5E7EB" w:sz="4"/>
            </w:tcBorders>
            <w:shd w:fill="0F766E" w:val="clear"/>
            <w:tcMar>
              <w:top w:type="dxa" w:w="100"/>
              <w:left w:type="dxa" w:w="140"/>
              <w:bottom w:type="dxa" w:w="100"/>
              <w:right w:type="dxa" w:w="140"/>
            </w:tcMar>
          </w:tcPr>
          <w:p>
            <w:r>
              <w:rPr>
                <w:rFonts w:ascii="Arial" w:cs="Arial" w:eastAsia="Arial" w:hAnsi="Arial"/>
                <w:b/>
                <w:bCs/>
                <w:color w:val="FFFFFF"/>
                <w:sz w:val="19"/>
                <w:szCs w:val="19"/>
              </w:rPr>
              <w:t xml:space="preserve">CAP EFF</w:t>
            </w:r>
          </w:p>
        </w:tc>
        <w:tc>
          <w:tcPr>
            <w:tcW w:type="dxa" w:w="1560"/>
            <w:tcBorders>
              <w:top w:val="single" w:color="E5E7EB" w:sz="4"/>
              <w:left w:val="single" w:color="E5E7EB" w:sz="4"/>
              <w:bottom w:val="single" w:color="E5E7EB" w:sz="4"/>
              <w:right w:val="single" w:color="E5E7EB" w:sz="4"/>
            </w:tcBorders>
            <w:shd w:fill="991B1B" w:val="clear"/>
            <w:tcMar>
              <w:top w:type="dxa" w:w="100"/>
              <w:left w:type="dxa" w:w="140"/>
              <w:bottom w:type="dxa" w:w="100"/>
              <w:right w:type="dxa" w:w="140"/>
            </w:tcMar>
          </w:tcPr>
          <w:p>
            <w:r>
              <w:rPr>
                <w:rFonts w:ascii="Arial" w:cs="Arial" w:eastAsia="Arial" w:hAnsi="Arial"/>
                <w:b/>
                <w:bCs/>
                <w:color w:val="FFFFFF"/>
                <w:sz w:val="19"/>
                <w:szCs w:val="19"/>
              </w:rPr>
              <w:t xml:space="preserve">SEMI</w:t>
            </w:r>
          </w:p>
        </w:tc>
        <w:tc>
          <w:tcPr>
            <w:tcW w:type="dxa" w:w="1560"/>
            <w:tcBorders>
              <w:top w:val="single" w:color="E5E7EB" w:sz="4"/>
              <w:left w:val="single" w:color="E5E7EB" w:sz="4"/>
              <w:bottom w:val="single" w:color="E5E7EB" w:sz="4"/>
              <w:right w:val="single" w:color="E5E7EB" w:sz="4"/>
            </w:tcBorders>
            <w:shd w:fill="5B21B6" w:val="clear"/>
            <w:tcMar>
              <w:top w:type="dxa" w:w="100"/>
              <w:left w:type="dxa" w:w="140"/>
              <w:bottom w:type="dxa" w:w="100"/>
              <w:right w:type="dxa" w:w="140"/>
            </w:tcMar>
          </w:tcPr>
          <w:p>
            <w:r>
              <w:rPr>
                <w:rFonts w:ascii="Arial" w:cs="Arial" w:eastAsia="Arial" w:hAnsi="Arial"/>
                <w:b/>
                <w:bCs/>
                <w:color w:val="FFFFFF"/>
                <w:sz w:val="19"/>
                <w:szCs w:val="19"/>
              </w:rPr>
              <w:t xml:space="preserve">CF QUALITY</w:t>
            </w:r>
          </w:p>
        </w:tc>
      </w:tr>
      <w:tr>
        <w:tc>
          <w:tcPr>
            <w:tcW w:type="dxa" w:w="1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55 metrics</w:t>
            </w:r>
          </w:p>
        </w:tc>
        <w:tc>
          <w:tcPr>
            <w:tcW w:type="dxa" w:w="1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5 added</w:t>
            </w:r>
          </w:p>
        </w:tc>
        <w:tc>
          <w:tcPr>
            <w:tcW w:type="dxa" w:w="1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3 added</w:t>
            </w:r>
          </w:p>
        </w:tc>
        <w:tc>
          <w:tcPr>
            <w:tcW w:type="dxa" w:w="1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5 added</w:t>
            </w:r>
          </w:p>
        </w:tc>
        <w:tc>
          <w:tcPr>
            <w:tcW w:type="dxa" w:w="1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4 added</w:t>
            </w:r>
          </w:p>
        </w:tc>
        <w:tc>
          <w:tcPr>
            <w:tcW w:type="dxa" w:w="1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3 added</w:t>
            </w:r>
          </w:p>
        </w:tc>
      </w:tr>
      <w:tr>
        <w:tc>
          <w:tcPr>
            <w:tcW w:type="dxa" w:w="15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4 categories</w:t>
            </w:r>
          </w:p>
        </w:tc>
        <w:tc>
          <w:tcPr>
            <w:tcW w:type="dxa" w:w="15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EV multiples</w:t>
            </w:r>
          </w:p>
        </w:tc>
        <w:tc>
          <w:tcPr>
            <w:tcW w:type="dxa" w:w="15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Rule of 40</w:t>
            </w:r>
          </w:p>
        </w:tc>
        <w:tc>
          <w:tcPr>
            <w:tcW w:type="dxa" w:w="15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CapEx/Rev</w:t>
            </w:r>
          </w:p>
        </w:tc>
        <w:tc>
          <w:tcPr>
            <w:tcW w:type="dxa" w:w="15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Book-to-Bill</w:t>
            </w:r>
          </w:p>
        </w:tc>
        <w:tc>
          <w:tcPr>
            <w:tcW w:type="dxa" w:w="15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FCF/EBITDA</w:t>
            </w:r>
          </w:p>
        </w:tc>
      </w:tr>
      <w:tr>
        <w:tc>
          <w:tcPr>
            <w:tcW w:type="dxa" w:w="1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EDGAR only</w:t>
            </w:r>
          </w:p>
        </w:tc>
        <w:tc>
          <w:tcPr>
            <w:tcW w:type="dxa" w:w="1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Price feed req</w:t>
            </w:r>
          </w:p>
        </w:tc>
        <w:tc>
          <w:tcPr>
            <w:tcW w:type="dxa" w:w="1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Gross P growth</w:t>
            </w:r>
          </w:p>
        </w:tc>
        <w:tc>
          <w:tcPr>
            <w:tcW w:type="dxa" w:w="1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Net Debt/EBITDA</w:t>
            </w:r>
          </w:p>
        </w:tc>
        <w:tc>
          <w:tcPr>
            <w:tcW w:type="dxa" w:w="1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Cust. conc.</w:t>
            </w:r>
          </w:p>
        </w:tc>
        <w:tc>
          <w:tcPr>
            <w:tcW w:type="dxa" w:w="1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Days cash</w:t>
            </w:r>
          </w:p>
        </w:tc>
      </w:tr>
      <w:tr>
        <w:tc>
          <w:tcPr>
            <w:tcW w:type="dxa" w:w="15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Phase 1</w:t>
            </w:r>
          </w:p>
        </w:tc>
        <w:tc>
          <w:tcPr>
            <w:tcW w:type="dxa" w:w="15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Phase 2</w:t>
            </w:r>
          </w:p>
        </w:tc>
        <w:tc>
          <w:tcPr>
            <w:tcW w:type="dxa" w:w="15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Phase 1</w:t>
            </w:r>
          </w:p>
        </w:tc>
        <w:tc>
          <w:tcPr>
            <w:tcW w:type="dxa" w:w="15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Phase 1</w:t>
            </w:r>
          </w:p>
        </w:tc>
        <w:tc>
          <w:tcPr>
            <w:tcW w:type="dxa" w:w="15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Phase 2-3</w:t>
            </w:r>
          </w:p>
        </w:tc>
        <w:tc>
          <w:tcPr>
            <w:tcW w:type="dxa" w:w="15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Phase 1</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4"/>
              <w:left w:val="single" w:color="E5E7EB" w:sz="4"/>
              <w:bottom w:val="single" w:color="E5E7EB" w:sz="4"/>
              <w:right w:val="single" w:color="E5E7EB" w:sz="4"/>
            </w:tcBorders>
            <w:shd w:fill="2563EB" w:val="clear"/>
            <w:tcMar>
              <w:top w:type="dxa" w:w="100"/>
              <w:left w:type="dxa" w:w="140"/>
              <w:bottom w:type="dxa" w:w="100"/>
              <w:right w:type="dxa" w:w="140"/>
            </w:tcMar>
          </w:tcPr>
          <w:p>
            <w:r>
              <w:rPr>
                <w:rFonts w:ascii="Arial" w:cs="Arial" w:eastAsia="Arial" w:hAnsi="Arial"/>
                <w:b/>
                <w:bCs/>
                <w:color w:val="FFFFFF"/>
                <w:sz w:val="19"/>
                <w:szCs w:val="19"/>
              </w:rPr>
              <w:t xml:space="preserve">75 PUBLIC METRICS — FINMETRICS</w:t>
            </w:r>
          </w:p>
        </w:tc>
        <w:tc>
          <w:tcPr>
            <w:tcW w:type="dxa" w:w="4680"/>
            <w:tcBorders>
              <w:top w:val="single" w:color="E5E7EB" w:sz="4"/>
              <w:left w:val="single" w:color="E5E7EB" w:sz="4"/>
              <w:bottom w:val="single" w:color="E5E7EB" w:sz="4"/>
              <w:right w:val="single" w:color="E5E7EB" w:sz="4"/>
            </w:tcBorders>
            <w:shd w:fill="424242" w:val="clear"/>
            <w:tcMar>
              <w:top w:type="dxa" w:w="100"/>
              <w:left w:type="dxa" w:w="140"/>
              <w:bottom w:type="dxa" w:w="100"/>
              <w:right w:type="dxa" w:w="140"/>
            </w:tcMar>
          </w:tcPr>
          <w:p>
            <w:r>
              <w:rPr>
                <w:rFonts w:ascii="Arial" w:cs="Arial" w:eastAsia="Arial" w:hAnsi="Arial"/>
                <w:b/>
                <w:bCs/>
                <w:color w:val="FFFFFF"/>
                <w:sz w:val="19"/>
                <w:szCs w:val="19"/>
              </w:rPr>
              <w:t xml:space="preserve">12 PARKED PRIVATE — BOROWY CONSULTING</w:t>
            </w:r>
          </w:p>
        </w:tc>
      </w:tr>
      <w:tr>
        <w:tc>
          <w:tcPr>
            <w:tcW w:type="dxa" w:w="46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Active — built into pipeline from Phase 1</w:t>
            </w:r>
          </w:p>
        </w:tc>
        <w:tc>
          <w:tcPr>
            <w:tcW w:type="dxa" w:w="46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Parked — Phase 3 activation, private clients only</w:t>
            </w:r>
          </w:p>
        </w:tc>
      </w:tr>
      <w:tr>
        <w:tc>
          <w:tcPr>
            <w:tcW w:type="dxa" w:w="468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All data from free public regulatory filings</w:t>
            </w:r>
          </w:p>
        </w:tc>
        <w:tc>
          <w:tcPr>
            <w:tcW w:type="dxa" w:w="468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Private company financials — separate pipeline</w:t>
            </w:r>
          </w:p>
        </w:tc>
      </w:tr>
      <w:tr>
        <w:tc>
          <w:tcPr>
            <w:tcW w:type="dxa" w:w="46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EDGAR + ESMA + EDINET + DART + TWSE</w:t>
            </w:r>
          </w:p>
        </w:tc>
        <w:tc>
          <w:tcPr>
            <w:tcW w:type="dxa" w:w="46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QuickBooks + accountant statements + Excel</w:t>
            </w:r>
          </w:p>
        </w:tc>
      </w:tr>
      <w:tr>
        <w:tc>
          <w:tcPr>
            <w:tcW w:type="dxa" w:w="468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Semiconductor sector + cross-sector benchmarks</w:t>
            </w:r>
          </w:p>
        </w:tc>
        <w:tc>
          <w:tcPr>
            <w:tcW w:type="dxa" w:w="468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Any private business — any industry</w:t>
            </w:r>
          </w:p>
        </w:tc>
      </w:tr>
    </w:tbl>
    <w:p>
      <w:pPr>
        <w:spacing w:after="400" w:before="0"/>
      </w:pPr>
      <w:r>
        <w:t xml:space="preserve"/>
      </w:r>
    </w:p>
    <w:p>
      <w:r>
        <w:br w:type="page"/>
      </w:r>
    </w:p>
    <w:p>
      <w:pPr>
        <w:pStyle w:val="Heading1"/>
        <w:pBdr>
          <w:bottom w:val="single" w:color="2563EB" w:sz="8" w:space="4"/>
        </w:pBdr>
        <w:spacing w:after="120" w:before="360"/>
      </w:pPr>
      <w:r>
        <w:rPr>
          <w:rFonts w:ascii="Arial" w:cs="Arial" w:eastAsia="Arial" w:hAnsi="Arial"/>
          <w:b/>
          <w:bCs/>
          <w:color w:val="0D1B2A"/>
          <w:sz w:val="36"/>
          <w:szCs w:val="36"/>
        </w:rPr>
        <w:t xml:space="preserve">Section 1 — What Changed and Why</w:t>
      </w:r>
    </w:p>
    <w:p>
      <w:pPr>
        <w:spacing w:after="100" w:before="60"/>
      </w:pPr>
      <w:r>
        <w:rPr>
          <w:rFonts w:ascii="Arial" w:cs="Arial" w:eastAsia="Arial" w:hAnsi="Arial"/>
          <w:color w:val="374151"/>
          <w:sz w:val="22"/>
          <w:szCs w:val="22"/>
        </w:rPr>
        <w:t xml:space="preserve">The original 55-metric framework was drawn from the Supply Chain Metrics That Matter framework — a rigorous foundation with excellent operational depth. The semiconductor sector thesis demands more. Choosing semiconductors as the analytical focus is a choice to engage with one of the most analytically complex sectors in the global economy. Export controls, cycle volatility, customer concentration, capital intensity, and R&amp;D investment decisions are not peripheral concerns — they are the core questions the sector asks every quarter.</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6"/>
              <w:bottom w:val="single" w:color="2563EB" w:sz="4"/>
              <w:right w:val="none" w:color="FFFFFF" w:sz="0"/>
            </w:tcBorders>
            <w:shd w:fill="F0F7FF" w:val="clear"/>
            <w:tcMar>
              <w:top w:type="dxa" w:w="160"/>
              <w:left w:type="dxa" w:w="240"/>
              <w:bottom w:type="dxa" w:w="160"/>
              <w:right w:type="dxa" w:w="240"/>
            </w:tcMar>
          </w:tcPr>
          <w:p>
            <w:r>
              <w:rPr>
                <w:rFonts w:ascii="Arial" w:cs="Arial" w:eastAsia="Arial" w:hAnsi="Arial"/>
                <w:i/>
                <w:iCs/>
                <w:color w:val="0D1B2A"/>
                <w:sz w:val="22"/>
                <w:szCs w:val="22"/>
              </w:rPr>
              <w:t xml:space="preserve">Building the pipeline is harder because you have the right scope, not because you have too much scope. Every additional data source, every additional metric, every additional complexity problem solved is a demonstration of depth that a simpler system cannot provide. The complexity is the credential.</w:t>
            </w:r>
          </w:p>
        </w:tc>
      </w:tr>
    </w:tbl>
    <w:p>
      <w:pPr>
        <w:spacing w:after="120" w:before="0"/>
      </w:pPr>
      <w:r>
        <w:t xml:space="preserve"/>
      </w:r>
    </w:p>
    <w:p>
      <w:pPr>
        <w:pStyle w:val="Heading2"/>
        <w:spacing w:after="100" w:before="280"/>
      </w:pPr>
      <w:r>
        <w:rPr>
          <w:rFonts w:ascii="Arial" w:cs="Arial" w:eastAsia="Arial" w:hAnsi="Arial"/>
          <w:b/>
          <w:bCs/>
          <w:color w:val="1B3A5C"/>
          <w:sz w:val="28"/>
          <w:szCs w:val="28"/>
        </w:rPr>
        <w:t xml:space="preserve">The Expansion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80"/>
        <w:gridCol w:w="3880"/>
      </w:tblGrid>
      <w:tr>
        <w:tc>
          <w:tcPr>
            <w:tcW w:type="dxa" w:w="2000"/>
            <w:tcBorders>
              <w:top w:val="single" w:color="E5E7EB" w:sz="4"/>
              <w:left w:val="single" w:color="E5E7EB" w:sz="4"/>
              <w:bottom w:val="single" w:color="E5E7EB" w:sz="4"/>
              <w:right w:val="single" w:color="E5E7EB" w:sz="4"/>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Category Added</w:t>
            </w:r>
          </w:p>
        </w:tc>
        <w:tc>
          <w:tcPr>
            <w:tcW w:type="dxa" w:w="3480"/>
            <w:tcBorders>
              <w:top w:val="single" w:color="E5E7EB" w:sz="4"/>
              <w:left w:val="single" w:color="E5E7EB" w:sz="4"/>
              <w:bottom w:val="single" w:color="E5E7EB" w:sz="4"/>
              <w:right w:val="single" w:color="E5E7EB" w:sz="4"/>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Why It Was Missing</w:t>
            </w:r>
          </w:p>
        </w:tc>
        <w:tc>
          <w:tcPr>
            <w:tcW w:type="dxa" w:w="3880"/>
            <w:tcBorders>
              <w:top w:val="single" w:color="E5E7EB" w:sz="4"/>
              <w:left w:val="single" w:color="E5E7EB" w:sz="4"/>
              <w:bottom w:val="single" w:color="E5E7EB" w:sz="4"/>
              <w:right w:val="single" w:color="E5E7EB" w:sz="4"/>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Why It Belongs</w:t>
            </w:r>
          </w:p>
        </w:tc>
      </w:tr>
      <w:tr>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Valuation (5)</w:t>
            </w:r>
          </w:p>
        </w:tc>
        <w:tc>
          <w:tcPr>
            <w:tcW w:type="dxa" w:w="34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Original framework was operational — no market pricing</w:t>
            </w:r>
          </w:p>
        </w:tc>
        <w:tc>
          <w:tcPr>
            <w:tcW w:type="dxa" w:w="38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An analyst audience's first question is always valuation. EV/EBITDA is the primary semiconductor M&amp;A and coverage metric. Absent valuation, the dashboard cannot answer 'is this cheap or expensive'</w:t>
            </w:r>
          </w:p>
        </w:tc>
      </w:tr>
      <w:tr>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Growth Quality (3)</w:t>
            </w:r>
          </w:p>
        </w:tc>
        <w:tc>
          <w:tcPr>
            <w:tcW w:type="dxa" w:w="348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Revenue growth was present; quality of that growth was not</w:t>
            </w:r>
          </w:p>
        </w:tc>
        <w:tc>
          <w:tcPr>
            <w:tcW w:type="dxa" w:w="388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Book-to-bill is the single most-watched leading indicator in semiconductors. Rule of 40 applies to EDA/IP companies. Gross profit growth separates real improvement from inflationary revenue.</w:t>
            </w:r>
          </w:p>
        </w:tc>
      </w:tr>
      <w:tr>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Capital Efficiency (5)</w:t>
            </w:r>
          </w:p>
        </w:tc>
        <w:tc>
          <w:tcPr>
            <w:tcW w:type="dxa" w:w="34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ROIC present but CapEx structure absent</w:t>
            </w:r>
          </w:p>
        </w:tc>
        <w:tc>
          <w:tcPr>
            <w:tcW w:type="dxa" w:w="38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TSMC spends $30B+/year on CapEx. Understanding CapEx intensity, CapEx/depreciation, and net leverage is foundational for foundry and IDM analysis. Without it the capital structure is invisible.</w:t>
            </w:r>
          </w:p>
        </w:tc>
      </w:tr>
      <w:tr>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Semiconductor-Specific (4)</w:t>
            </w:r>
          </w:p>
        </w:tc>
        <w:tc>
          <w:tcPr>
            <w:tcW w:type="dxa" w:w="348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General metrics treated semis like any manufacturer</w:t>
            </w:r>
          </w:p>
        </w:tc>
        <w:tc>
          <w:tcPr>
            <w:tcW w:type="dxa" w:w="388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Customer concentration, China revenue exposure, and book-to-bill are sector-specific analytical requirements. Apple concentration at TSMC, China exposure at KLAC and AMAT — these are not edge cases, they are central to coverage.</w:t>
            </w:r>
          </w:p>
        </w:tc>
      </w:tr>
      <w:tr>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Cash Flow Quality (3)</w:t>
            </w:r>
          </w:p>
        </w:tc>
        <w:tc>
          <w:tcPr>
            <w:tcW w:type="dxa" w:w="34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FCF ratio present; FCF quality measures absent</w:t>
            </w:r>
          </w:p>
        </w:tc>
        <w:tc>
          <w:tcPr>
            <w:tcW w:type="dxa" w:w="38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FCF conversion and days cash on hand are critical for distress analysis and cycle resilience assessment. Semiconductor companies with thin cash cushions are exposed in down cycles.</w:t>
            </w:r>
          </w:p>
        </w:tc>
      </w:tr>
    </w:tbl>
    <w:p>
      <w:pPr>
        <w:spacing w:after="120" w:before="0"/>
      </w:pPr>
      <w:r>
        <w:t xml:space="preserve"/>
      </w:r>
    </w:p>
    <w:p>
      <w:r>
        <w:br w:type="page"/>
      </w:r>
    </w:p>
    <w:p>
      <w:pPr>
        <w:pStyle w:val="Heading1"/>
        <w:pBdr>
          <w:bottom w:val="single" w:color="2563EB" w:sz="8" w:space="4"/>
        </w:pBdr>
        <w:spacing w:after="120" w:before="360"/>
      </w:pPr>
      <w:r>
        <w:rPr>
          <w:rFonts w:ascii="Arial" w:cs="Arial" w:eastAsia="Arial" w:hAnsi="Arial"/>
          <w:b/>
          <w:bCs/>
          <w:color w:val="0D1B2A"/>
          <w:sz w:val="36"/>
          <w:szCs w:val="36"/>
        </w:rPr>
        <w:t xml:space="preserve">Section 2 — Data Source Expansion</w:t>
      </w:r>
    </w:p>
    <w:p>
      <w:pPr>
        <w:spacing w:after="100" w:before="60"/>
      </w:pPr>
      <w:r>
        <w:rPr>
          <w:rFonts w:ascii="Arial" w:cs="Arial" w:eastAsia="Arial" w:hAnsi="Arial"/>
          <w:color w:val="374151"/>
          <w:sz w:val="22"/>
          <w:szCs w:val="22"/>
        </w:rPr>
        <w:t xml:space="preserve">The 55-metric framework was fully serviced by EDGAR XBRL data — one source, one API, one data format. The expanded 75-metric framework requires three additional data source types. Each adds pipeline complexity. Each is justified by the analytical value it enables.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400"/>
        <w:gridCol w:w="2160"/>
      </w:tblGrid>
      <w:tr>
        <w:tc>
          <w:tcPr>
            <w:tcW w:type="dxa" w:w="2000"/>
            <w:tcBorders>
              <w:top w:val="single" w:color="E5E7EB" w:sz="4"/>
              <w:left w:val="single" w:color="E5E7EB" w:sz="4"/>
              <w:bottom w:val="single" w:color="E5E7EB" w:sz="4"/>
              <w:right w:val="single" w:color="E5E7EB" w:sz="4"/>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Data Source</w:t>
            </w:r>
          </w:p>
        </w:tc>
        <w:tc>
          <w:tcPr>
            <w:tcW w:type="dxa" w:w="2800"/>
            <w:tcBorders>
              <w:top w:val="single" w:color="E5E7EB" w:sz="4"/>
              <w:left w:val="single" w:color="E5E7EB" w:sz="4"/>
              <w:bottom w:val="single" w:color="E5E7EB" w:sz="4"/>
              <w:right w:val="single" w:color="E5E7EB" w:sz="4"/>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Metrics Enabled</w:t>
            </w:r>
          </w:p>
        </w:tc>
        <w:tc>
          <w:tcPr>
            <w:tcW w:type="dxa" w:w="2400"/>
            <w:tcBorders>
              <w:top w:val="single" w:color="E5E7EB" w:sz="4"/>
              <w:left w:val="single" w:color="E5E7EB" w:sz="4"/>
              <w:bottom w:val="single" w:color="E5E7EB" w:sz="4"/>
              <w:right w:val="single" w:color="E5E7EB" w:sz="4"/>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Format</w:t>
            </w:r>
          </w:p>
        </w:tc>
        <w:tc>
          <w:tcPr>
            <w:tcW w:type="dxa" w:w="2160"/>
            <w:tcBorders>
              <w:top w:val="single" w:color="E5E7EB" w:sz="4"/>
              <w:left w:val="single" w:color="E5E7EB" w:sz="4"/>
              <w:bottom w:val="single" w:color="E5E7EB" w:sz="4"/>
              <w:right w:val="single" w:color="E5E7EB" w:sz="4"/>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Pipeline Phase</w:t>
            </w:r>
          </w:p>
        </w:tc>
      </w:tr>
      <w:tr>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EDGAR XBRL (existing)</w:t>
            </w:r>
          </w:p>
        </w:tc>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All original 55 + CapEx intensity + net debt/EBITDA + asset turnover + FCF conversion + cash earnings + days cash on hand</w:t>
            </w:r>
          </w:p>
        </w:tc>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XBRL companyfacts JSON</w:t>
            </w:r>
          </w:p>
        </w:tc>
        <w:tc>
          <w:tcPr>
            <w:tcW w:type="dxa" w:w="2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Phase 1 — already planned</w:t>
            </w:r>
          </w:p>
        </w:tc>
      </w:tr>
      <w:tr>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Live price feed (new)</w:t>
            </w:r>
          </w:p>
        </w:tc>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EV/EBITDA, EV/Revenue, EV/Gross Profit, P/E, P/FCF — all valuation multiples</w:t>
            </w:r>
          </w:p>
        </w:tc>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REST API — Yahoo Finance free / Alpha Vantage free tier</w:t>
            </w:r>
          </w:p>
        </w:tc>
        <w:tc>
          <w:tcPr>
            <w:tcW w:type="dxa" w:w="2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Phase 2 — add after core pipeline</w:t>
            </w:r>
          </w:p>
        </w:tc>
      </w:tr>
      <w:tr>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EDGAR 10-K text extraction (new)</w:t>
            </w:r>
          </w:p>
        </w:tc>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Customer concentration Top 3 and Top 10, Geographic revenue concentration — risk factor and segment footnotes</w:t>
            </w:r>
          </w:p>
        </w:tc>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SEC full-text search API + HTML parsing</w:t>
            </w:r>
          </w:p>
        </w:tc>
        <w:tc>
          <w:tcPr>
            <w:tcW w:type="dxa" w:w="2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Phase 2-3 — requires NLP/text parsing layer</w:t>
            </w:r>
          </w:p>
        </w:tc>
      </w:tr>
      <w:tr>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Industry data sources (new)</w:t>
            </w:r>
          </w:p>
        </w:tc>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Book-to-bill ratio — SEMI industry association publishes monthly sector data; company-level requires earnings call parsing</w:t>
            </w:r>
          </w:p>
        </w:tc>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SEMI.org public data + optional: earnings call transcripts</w:t>
            </w:r>
          </w:p>
        </w:tc>
        <w:tc>
          <w:tcPr>
            <w:tcW w:type="dxa" w:w="2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Phase 3 — supplement; flag where unavailable</w:t>
            </w:r>
          </w:p>
        </w:tc>
      </w:tr>
      <w:tr>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FinMetrics peer set (internal)</w:t>
            </w:r>
          </w:p>
        </w:tc>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R&amp;D Intensity vs Sector Benchmark — comparison against own calculated peer medians</w:t>
            </w:r>
          </w:p>
        </w:tc>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Internal metrics table query</w:t>
            </w:r>
          </w:p>
        </w:tc>
        <w:tc>
          <w:tcPr>
            <w:tcW w:type="dxa" w:w="2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Phase 2 — available once peer set populated</w:t>
            </w:r>
          </w:p>
        </w:tc>
      </w:tr>
    </w:tbl>
    <w:p>
      <w:pPr>
        <w:spacing w:after="120" w:before="0"/>
      </w:pPr>
      <w:r>
        <w:t xml:space="preserve"/>
      </w:r>
    </w:p>
    <w:p>
      <w:pPr>
        <w:pStyle w:val="Heading2"/>
        <w:spacing w:after="100" w:before="280"/>
      </w:pPr>
      <w:r>
        <w:rPr>
          <w:rFonts w:ascii="Arial" w:cs="Arial" w:eastAsia="Arial" w:hAnsi="Arial"/>
          <w:b/>
          <w:bCs/>
          <w:color w:val="1B3A5C"/>
          <w:sz w:val="28"/>
          <w:szCs w:val="28"/>
        </w:rPr>
        <w:t xml:space="preserve">New Source 1 — Live Price Feed</w:t>
      </w:r>
    </w:p>
    <w:p>
      <w:pPr>
        <w:spacing w:after="100" w:before="60"/>
      </w:pPr>
      <w:r>
        <w:rPr>
          <w:rFonts w:ascii="Arial" w:cs="Arial" w:eastAsia="Arial" w:hAnsi="Arial"/>
          <w:color w:val="374151"/>
          <w:sz w:val="22"/>
          <w:szCs w:val="22"/>
        </w:rPr>
        <w:t xml:space="preserve">Five of the 20 new metrics require market price data: EV/EBITDA, EV/Revenue, EV/Gross Profit, Price/Earnings, Price/FCF. Market cap = share price × shares outstanding. Enterprise value = market cap + total debt − cash. Shares outstanding is in EDGAR. Debt and cash are in EDGAR. Only the price itself requires an external source.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E5E7EB" w:sz="4"/>
              <w:left w:val="single" w:color="E5E7EB" w:sz="4"/>
              <w:bottom w:val="single" w:color="E5E7EB" w:sz="4"/>
              <w:right w:val="single" w:color="E5E7EB" w:sz="4"/>
            </w:tcBorders>
            <w:shd w:fill="2563EB" w:val="clear"/>
            <w:tcMar>
              <w:top w:type="dxa" w:w="100"/>
              <w:left w:type="dxa" w:w="140"/>
              <w:bottom w:type="dxa" w:w="100"/>
              <w:right w:type="dxa" w:w="140"/>
            </w:tcMar>
          </w:tcPr>
          <w:p>
            <w:r>
              <w:rPr>
                <w:rFonts w:ascii="Arial" w:cs="Arial" w:eastAsia="Arial" w:hAnsi="Arial"/>
                <w:b/>
                <w:bCs/>
                <w:color w:val="FFFFFF"/>
                <w:sz w:val="19"/>
                <w:szCs w:val="19"/>
              </w:rPr>
              <w:t xml:space="preserve">Option</w:t>
            </w:r>
          </w:p>
        </w:tc>
        <w:tc>
          <w:tcPr>
            <w:tcW w:type="dxa" w:w="3560"/>
            <w:tcBorders>
              <w:top w:val="single" w:color="E5E7EB" w:sz="4"/>
              <w:left w:val="single" w:color="E5E7EB" w:sz="4"/>
              <w:bottom w:val="single" w:color="E5E7EB" w:sz="4"/>
              <w:right w:val="single" w:color="E5E7EB" w:sz="4"/>
            </w:tcBorders>
            <w:shd w:fill="2563EB" w:val="clear"/>
            <w:tcMar>
              <w:top w:type="dxa" w:w="100"/>
              <w:left w:type="dxa" w:w="140"/>
              <w:bottom w:type="dxa" w:w="100"/>
              <w:right w:type="dxa" w:w="140"/>
            </w:tcMar>
          </w:tcPr>
          <w:p>
            <w:r>
              <w:rPr>
                <w:rFonts w:ascii="Arial" w:cs="Arial" w:eastAsia="Arial" w:hAnsi="Arial"/>
                <w:b/>
                <w:bCs/>
                <w:color w:val="FFFFFF"/>
                <w:sz w:val="19"/>
                <w:szCs w:val="19"/>
              </w:rPr>
              <w:t xml:space="preserve">Coverage &amp; Quality</w:t>
            </w:r>
          </w:p>
        </w:tc>
        <w:tc>
          <w:tcPr>
            <w:tcW w:type="dxa" w:w="3600"/>
            <w:tcBorders>
              <w:top w:val="single" w:color="E5E7EB" w:sz="4"/>
              <w:left w:val="single" w:color="E5E7EB" w:sz="4"/>
              <w:bottom w:val="single" w:color="E5E7EB" w:sz="4"/>
              <w:right w:val="single" w:color="E5E7EB" w:sz="4"/>
            </w:tcBorders>
            <w:shd w:fill="2563EB" w:val="clear"/>
            <w:tcMar>
              <w:top w:type="dxa" w:w="100"/>
              <w:left w:type="dxa" w:w="140"/>
              <w:bottom w:type="dxa" w:w="100"/>
              <w:right w:type="dxa" w:w="140"/>
            </w:tcMar>
          </w:tcPr>
          <w:p>
            <w:r>
              <w:rPr>
                <w:rFonts w:ascii="Arial" w:cs="Arial" w:eastAsia="Arial" w:hAnsi="Arial"/>
                <w:b/>
                <w:bCs/>
                <w:color w:val="FFFFFF"/>
                <w:sz w:val="19"/>
                <w:szCs w:val="19"/>
              </w:rPr>
              <w:t xml:space="preserve">Practical Notes</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Yahoo Finance (unofficial API)</w:t>
            </w:r>
          </w:p>
        </w:tc>
        <w:tc>
          <w:tcPr>
            <w:tcW w:type="dxa" w:w="3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All major global tickers — US, ADRs, and most international. Real-time and historical. No official API but widely used via yfinance Python library.</w:t>
            </w:r>
          </w:p>
        </w:tc>
        <w:tc>
          <w:tcPr>
            <w:tcW w:type="dxa" w:w="3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Free. No API key. Rate limits apply but generous. Not officially supported — monitor for breakage. Best choice for Phase 2 given zero cost and broad coverage.</w:t>
            </w:r>
          </w:p>
        </w:tc>
      </w:tr>
      <w:tr>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Alpha Vantage free tier</w:t>
            </w:r>
          </w:p>
        </w:tc>
        <w:tc>
          <w:tcPr>
            <w:tcW w:type="dxa" w:w="35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US and major international tickers. 25 API calls/day free tier; 500/day at $50/month. Clean official API.</w:t>
            </w:r>
          </w:p>
        </w:tc>
        <w:tc>
          <w:tcPr>
            <w:tcW w:type="dxa" w:w="3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Requires API key (free registration). Rate limit may constrain bulk refresh. Good for Phase 2 if Yahoo proves unreliable.</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Polygon.io free tier</w:t>
            </w:r>
          </w:p>
        </w:tc>
        <w:tc>
          <w:tcPr>
            <w:tcW w:type="dxa" w:w="3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US equities, real-time and historical. Strong data quality. Free tier limited to end-of-day prices.</w:t>
            </w:r>
          </w:p>
        </w:tc>
        <w:tc>
          <w:tcPr>
            <w:tcW w:type="dxa" w:w="3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Best for long-term reliability. Free tier covers Phase 1-2 needs. Upgrade path clear if scale requires.</w:t>
            </w:r>
          </w:p>
        </w:tc>
      </w:tr>
      <w:tr>
        <w:tc>
          <w:tcPr>
            <w:tcW w:type="dxa" w:w="2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SEC EDGAR submissions</w:t>
            </w:r>
          </w:p>
        </w:tc>
        <w:tc>
          <w:tcPr>
            <w:tcW w:type="dxa" w:w="35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Shares outstanding always available. No price.</w:t>
            </w:r>
          </w:p>
        </w:tc>
        <w:tc>
          <w:tcPr>
            <w:tcW w:type="dxa" w:w="3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Combine with any price source: market_cap = price × shares_outstanding from EDGAR.</w:t>
            </w:r>
          </w:p>
        </w:tc>
      </w:tr>
    </w:tbl>
    <w:p>
      <w:pPr>
        <w:spacing w:after="80" w:before="0"/>
      </w:pPr>
      <w:r>
        <w:t xml:space="preserve"/>
      </w:r>
    </w:p>
    <w:p>
      <w:pPr>
        <w:spacing w:after="100" w:before="60"/>
      </w:pPr>
      <w:r>
        <w:rPr>
          <w:rFonts w:ascii="Arial" w:cs="Arial" w:eastAsia="Arial" w:hAnsi="Arial"/>
          <w:color w:val="374151"/>
          <w:sz w:val="22"/>
          <w:szCs w:val="22"/>
        </w:rPr>
        <w:t xml:space="preserve">Pipeline implementation: price_connector.py fetches daily close price for each company ticker, stores in a prices table (ticker, date, close_price, market_cap). Valuation metrics calculated as derived metrics joining prices to metrics table. Price refresh runs daily — separate scheduler from earnings refresh.</w:t>
      </w:r>
    </w:p>
    <w:p>
      <w:pPr>
        <w:spacing w:after="120" w:before="0"/>
      </w:pPr>
      <w:r>
        <w:t xml:space="preserve"/>
      </w:r>
    </w:p>
    <w:p>
      <w:pPr>
        <w:pStyle w:val="Heading2"/>
        <w:spacing w:after="100" w:before="280"/>
      </w:pPr>
      <w:r>
        <w:rPr>
          <w:rFonts w:ascii="Arial" w:cs="Arial" w:eastAsia="Arial" w:hAnsi="Arial"/>
          <w:b/>
          <w:bCs/>
          <w:color w:val="1B3A5C"/>
          <w:sz w:val="28"/>
          <w:szCs w:val="28"/>
        </w:rPr>
        <w:t xml:space="preserve">New Source 2 — EDGAR 10-K Text Extraction</w:t>
      </w:r>
    </w:p>
    <w:p>
      <w:pPr>
        <w:spacing w:after="100" w:before="60"/>
      </w:pPr>
      <w:r>
        <w:rPr>
          <w:rFonts w:ascii="Arial" w:cs="Arial" w:eastAsia="Arial" w:hAnsi="Arial"/>
          <w:color w:val="374151"/>
          <w:sz w:val="22"/>
          <w:szCs w:val="22"/>
        </w:rPr>
        <w:t xml:space="preserve">Customer concentration and geographic revenue data are disclosed in 10-K filings but are not XBRL-tagged in a standardized way. They appear in two locations: the Risk Factors section (concentration of credit risk language) and the Geographic Segment footnotes in the financial statements. Extracting them requires a different pipeline approach than XBRL parsing.</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5E7EB" w:sz="4"/>
              <w:left w:val="single" w:color="E5E7EB" w:sz="4"/>
              <w:bottom w:val="single" w:color="E5E7EB" w:sz="4"/>
              <w:right w:val="single" w:color="E5E7EB" w:sz="4"/>
            </w:tcBorders>
            <w:shd w:fill="0F766E" w:val="clear"/>
            <w:tcMar>
              <w:top w:type="dxa" w:w="100"/>
              <w:left w:type="dxa" w:w="140"/>
              <w:bottom w:type="dxa" w:w="100"/>
              <w:right w:type="dxa" w:w="140"/>
            </w:tcMar>
          </w:tcPr>
          <w:p>
            <w:r>
              <w:rPr>
                <w:rFonts w:ascii="Arial" w:cs="Arial" w:eastAsia="Arial" w:hAnsi="Arial"/>
                <w:b/>
                <w:bCs/>
                <w:color w:val="FFFFFF"/>
                <w:sz w:val="19"/>
                <w:szCs w:val="19"/>
              </w:rPr>
              <w:t xml:space="preserve">Data Point</w:t>
            </w:r>
          </w:p>
        </w:tc>
        <w:tc>
          <w:tcPr>
            <w:tcW w:type="dxa" w:w="3480"/>
            <w:tcBorders>
              <w:top w:val="single" w:color="E5E7EB" w:sz="4"/>
              <w:left w:val="single" w:color="E5E7EB" w:sz="4"/>
              <w:bottom w:val="single" w:color="E5E7EB" w:sz="4"/>
              <w:right w:val="single" w:color="E5E7EB" w:sz="4"/>
            </w:tcBorders>
            <w:shd w:fill="0F766E" w:val="clear"/>
            <w:tcMar>
              <w:top w:type="dxa" w:w="100"/>
              <w:left w:type="dxa" w:w="140"/>
              <w:bottom w:type="dxa" w:w="100"/>
              <w:right w:type="dxa" w:w="140"/>
            </w:tcMar>
          </w:tcPr>
          <w:p>
            <w:r>
              <w:rPr>
                <w:rFonts w:ascii="Arial" w:cs="Arial" w:eastAsia="Arial" w:hAnsi="Arial"/>
                <w:b/>
                <w:bCs/>
                <w:color w:val="FFFFFF"/>
                <w:sz w:val="19"/>
                <w:szCs w:val="19"/>
              </w:rPr>
              <w:t xml:space="preserve">Where in 10-K</w:t>
            </w:r>
          </w:p>
        </w:tc>
        <w:tc>
          <w:tcPr>
            <w:tcW w:type="dxa" w:w="3480"/>
            <w:tcBorders>
              <w:top w:val="single" w:color="E5E7EB" w:sz="4"/>
              <w:left w:val="single" w:color="E5E7EB" w:sz="4"/>
              <w:bottom w:val="single" w:color="E5E7EB" w:sz="4"/>
              <w:right w:val="single" w:color="E5E7EB" w:sz="4"/>
            </w:tcBorders>
            <w:shd w:fill="0F766E" w:val="clear"/>
            <w:tcMar>
              <w:top w:type="dxa" w:w="100"/>
              <w:left w:type="dxa" w:w="140"/>
              <w:bottom w:type="dxa" w:w="100"/>
              <w:right w:type="dxa" w:w="140"/>
            </w:tcMar>
          </w:tcPr>
          <w:p>
            <w:r>
              <w:rPr>
                <w:rFonts w:ascii="Arial" w:cs="Arial" w:eastAsia="Arial" w:hAnsi="Arial"/>
                <w:b/>
                <w:bCs/>
                <w:color w:val="FFFFFF"/>
                <w:sz w:val="19"/>
                <w:szCs w:val="19"/>
              </w:rPr>
              <w:t xml:space="preserve">Extraction Approach</w:t>
            </w:r>
          </w:p>
        </w:tc>
      </w:tr>
      <w:tr>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Customer concentration — Top 3 revenue %</w:t>
            </w:r>
          </w:p>
        </w:tc>
        <w:tc>
          <w:tcPr>
            <w:tcW w:type="dxa" w:w="34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Risk Factors section — 'concentration of credit risk' or 'significant customers'. Also in revenue disaggregation footnotes (ASC 606 requires disclosure if &gt;10% of revenue).</w:t>
            </w:r>
          </w:p>
        </w:tc>
        <w:tc>
          <w:tcPr>
            <w:tcW w:type="dxa" w:w="34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SEC full-text search API (efts.sec.gov) to locate relevant passages. Pattern matching on percentage + customer language. Flag confidence level: high/medium/low.</w:t>
            </w:r>
          </w:p>
        </w:tc>
      </w:tr>
      <w:tr>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Customer concentration — Top 10 revenue %</w:t>
            </w:r>
          </w:p>
        </w:tc>
        <w:tc>
          <w:tcPr>
            <w:tcW w:type="dxa" w:w="348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Revenue disaggregation footnote or segment note. Less consistently disclosed than Top 3.</w:t>
            </w:r>
          </w:p>
        </w:tc>
        <w:tc>
          <w:tcPr>
            <w:tcW w:type="dxa" w:w="348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Same approach. Many companies only disclose customers &gt;10% individually — Top 10 may require estimation. Flag as estimated where direct disclosure unavailable.</w:t>
            </w:r>
          </w:p>
        </w:tc>
      </w:tr>
      <w:tr>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Geographic revenue — China %</w:t>
            </w:r>
          </w:p>
        </w:tc>
        <w:tc>
          <w:tcPr>
            <w:tcW w:type="dxa" w:w="34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Geographic segment table in financial statement footnotes. Required ASC 280 disclosure for material segments.</w:t>
            </w:r>
          </w:p>
        </w:tc>
        <w:tc>
          <w:tcPr>
            <w:tcW w:type="dxa" w:w="34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EDGAR full-text extraction of segment tables. China disclosed as: 'China', 'Greater China', 'Asia Pacific excl Japan', 'PRC'. Normalize naming conventions. </w:t>
            </w:r>
          </w:p>
        </w:tc>
      </w:tr>
      <w:tr>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Geographic revenue — Other regions</w:t>
            </w:r>
          </w:p>
        </w:tc>
        <w:tc>
          <w:tcPr>
            <w:tcW w:type="dxa" w:w="348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Same geographic segment tables. Americas, Europe, Japan, Rest of Asia disclosed by most semiconductor companies.</w:t>
            </w:r>
          </w:p>
        </w:tc>
        <w:tc>
          <w:tcPr>
            <w:tcW w:type="dxa" w:w="348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Same extraction. Build geographic revenue profile: US, China, Europe, Japan, Rest of Asia — as % of total.</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4"/>
              <w:left w:val="single" w:color="0F766E" w:sz="16"/>
              <w:bottom w:val="single" w:color="0F766E" w:sz="4"/>
              <w:right w:val="none" w:color="FFFFFF" w:sz="0"/>
            </w:tcBorders>
            <w:shd w:fill="F0F7FF" w:val="clear"/>
            <w:tcMar>
              <w:top w:type="dxa" w:w="160"/>
              <w:left w:type="dxa" w:w="240"/>
              <w:bottom w:type="dxa" w:w="160"/>
              <w:right w:type="dxa" w:w="240"/>
            </w:tcMar>
          </w:tcPr>
          <w:p>
            <w:r>
              <w:rPr>
                <w:rFonts w:ascii="Arial" w:cs="Arial" w:eastAsia="Arial" w:hAnsi="Arial"/>
                <w:i/>
                <w:iCs/>
                <w:color w:val="0D1B2A"/>
                <w:sz w:val="22"/>
                <w:szCs w:val="22"/>
              </w:rPr>
              <w:t xml:space="preserve">The text extraction requirement is real additional complexity. It is also exactly the kind of problem that differentiates FinMetrics from a system that only pulls XBRL data. Every Bloomberg analyst gets customer concentration from a pre-cleaned field. You will build the extraction. That means you understand the source, the disclosure variation, the confidence levels — and can explain all of it.</w:t>
            </w:r>
          </w:p>
        </w:tc>
      </w:tr>
    </w:tbl>
    <w:p>
      <w:pPr>
        <w:spacing w:after="120" w:before="0"/>
      </w:pPr>
      <w:r>
        <w:t xml:space="preserve"/>
      </w:r>
    </w:p>
    <w:p>
      <w:pPr>
        <w:pStyle w:val="Heading2"/>
        <w:spacing w:after="100" w:before="280"/>
      </w:pPr>
      <w:r>
        <w:rPr>
          <w:rFonts w:ascii="Arial" w:cs="Arial" w:eastAsia="Arial" w:hAnsi="Arial"/>
          <w:b/>
          <w:bCs/>
          <w:color w:val="1B3A5C"/>
          <w:sz w:val="28"/>
          <w:szCs w:val="28"/>
        </w:rPr>
        <w:t xml:space="preserve">New Source 3 — Book-to-Bill</w:t>
      </w:r>
    </w:p>
    <w:p>
      <w:pPr>
        <w:spacing w:after="100" w:before="60"/>
      </w:pPr>
      <w:r>
        <w:rPr>
          <w:rFonts w:ascii="Arial" w:cs="Arial" w:eastAsia="Arial" w:hAnsi="Arial"/>
          <w:color w:val="374151"/>
          <w:sz w:val="22"/>
          <w:szCs w:val="22"/>
        </w:rPr>
        <w:t xml:space="preserve">Book-to-bill ratio is the most important semiconductor-specific leading indicator. Orders received divided by products shipped. Above 1.0 = demand exceeding supply. Below 1.0 = inventory correction underway. This metric is watched more closely than any financial statement metric during inflection points.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5E7EB" w:sz="4"/>
              <w:left w:val="single" w:color="E5E7EB" w:sz="4"/>
              <w:bottom w:val="single" w:color="E5E7EB" w:sz="4"/>
              <w:right w:val="single" w:color="E5E7EB" w:sz="4"/>
            </w:tcBorders>
            <w:shd w:fill="C2410C" w:val="clear"/>
            <w:tcMar>
              <w:top w:type="dxa" w:w="100"/>
              <w:left w:type="dxa" w:w="140"/>
              <w:bottom w:type="dxa" w:w="100"/>
              <w:right w:type="dxa" w:w="140"/>
            </w:tcMar>
          </w:tcPr>
          <w:p>
            <w:r>
              <w:rPr>
                <w:rFonts w:ascii="Arial" w:cs="Arial" w:eastAsia="Arial" w:hAnsi="Arial"/>
                <w:b/>
                <w:bCs/>
                <w:color w:val="FFFFFF"/>
                <w:sz w:val="19"/>
                <w:szCs w:val="19"/>
              </w:rPr>
              <w:t xml:space="preserve">Data Level</w:t>
            </w:r>
          </w:p>
        </w:tc>
        <w:tc>
          <w:tcPr>
            <w:tcW w:type="dxa" w:w="3480"/>
            <w:tcBorders>
              <w:top w:val="single" w:color="E5E7EB" w:sz="4"/>
              <w:left w:val="single" w:color="E5E7EB" w:sz="4"/>
              <w:bottom w:val="single" w:color="E5E7EB" w:sz="4"/>
              <w:right w:val="single" w:color="E5E7EB" w:sz="4"/>
            </w:tcBorders>
            <w:shd w:fill="C2410C" w:val="clear"/>
            <w:tcMar>
              <w:top w:type="dxa" w:w="100"/>
              <w:left w:type="dxa" w:w="140"/>
              <w:bottom w:type="dxa" w:w="100"/>
              <w:right w:type="dxa" w:w="140"/>
            </w:tcMar>
          </w:tcPr>
          <w:p>
            <w:r>
              <w:rPr>
                <w:rFonts w:ascii="Arial" w:cs="Arial" w:eastAsia="Arial" w:hAnsi="Arial"/>
                <w:b/>
                <w:bCs/>
                <w:color w:val="FFFFFF"/>
                <w:sz w:val="19"/>
                <w:szCs w:val="19"/>
              </w:rPr>
              <w:t xml:space="preserve">Source</w:t>
            </w:r>
          </w:p>
        </w:tc>
        <w:tc>
          <w:tcPr>
            <w:tcW w:type="dxa" w:w="3480"/>
            <w:tcBorders>
              <w:top w:val="single" w:color="E5E7EB" w:sz="4"/>
              <w:left w:val="single" w:color="E5E7EB" w:sz="4"/>
              <w:bottom w:val="single" w:color="E5E7EB" w:sz="4"/>
              <w:right w:val="single" w:color="E5E7EB" w:sz="4"/>
            </w:tcBorders>
            <w:shd w:fill="C2410C" w:val="clear"/>
            <w:tcMar>
              <w:top w:type="dxa" w:w="100"/>
              <w:left w:type="dxa" w:w="140"/>
              <w:bottom w:type="dxa" w:w="100"/>
              <w:right w:type="dxa" w:w="140"/>
            </w:tcMar>
          </w:tcPr>
          <w:p>
            <w:r>
              <w:rPr>
                <w:rFonts w:ascii="Arial" w:cs="Arial" w:eastAsia="Arial" w:hAnsi="Arial"/>
                <w:b/>
                <w:bCs/>
                <w:color w:val="FFFFFF"/>
                <w:sz w:val="19"/>
                <w:szCs w:val="19"/>
              </w:rPr>
              <w:t xml:space="preserve">Pipeline Approach</w:t>
            </w:r>
          </w:p>
        </w:tc>
      </w:tr>
      <w:tr>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Sector-level (North America)</w:t>
            </w:r>
          </w:p>
        </w:tc>
        <w:tc>
          <w:tcPr>
            <w:tcW w:type="dxa" w:w="34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SEMI (semiconductor industry association) publishes monthly North American book-to-bill. Free download at semi.org/en/products-services/market-data</w:t>
            </w:r>
          </w:p>
        </w:tc>
        <w:tc>
          <w:tcPr>
            <w:tcW w:type="dxa" w:w="34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Scheduled monthly fetch. Store as sector_book_to_bill table. Display as sector context on semiconductor dashboard.</w:t>
            </w:r>
          </w:p>
        </w:tc>
      </w:tr>
      <w:tr>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Company-level (selective)</w:t>
            </w:r>
          </w:p>
        </w:tc>
        <w:tc>
          <w:tcPr>
            <w:tcW w:type="dxa" w:w="348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Companies that disclose: Applied Materials, Lam Research, KLA disclose backlog and orders. Some fabless companies disclose design win pipeline.</w:t>
            </w:r>
          </w:p>
        </w:tc>
        <w:tc>
          <w:tcPr>
            <w:tcW w:type="dxa" w:w="348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Parse 10-K/10-Q for backlog, orders received, book-to-bill language. Not standardized — company-specific parsing rules needed.</w:t>
            </w:r>
          </w:p>
        </w:tc>
      </w:tr>
      <w:tr>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Derived estimate</w:t>
            </w:r>
          </w:p>
        </w:tc>
        <w:tc>
          <w:tcPr>
            <w:tcW w:type="dxa" w:w="34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For companies not explicitly disclosing: revenue YoY change direction as a proxy proxy</w:t>
            </w:r>
          </w:p>
        </w:tc>
        <w:tc>
          <w:tcPr>
            <w:tcW w:type="dxa" w:w="34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Flag as estimated. Use sector-level data as primary until company-level available.</w:t>
            </w:r>
          </w:p>
        </w:tc>
      </w:tr>
    </w:tbl>
    <w:p>
      <w:pPr>
        <w:spacing w:after="80" w:before="0"/>
      </w:pPr>
      <w:r>
        <w:t xml:space="preserve"/>
      </w:r>
    </w:p>
    <w:p>
      <w:pPr>
        <w:spacing w:after="100" w:before="60"/>
      </w:pPr>
      <w:r>
        <w:rPr>
          <w:rFonts w:ascii="Arial" w:cs="Arial" w:eastAsia="Arial" w:hAnsi="Arial"/>
          <w:color w:val="374151"/>
          <w:sz w:val="22"/>
          <w:szCs w:val="22"/>
        </w:rPr>
        <w:t xml:space="preserve">Phase implementation: Sector-level book-to-bill in Phase 2 — free, structured, immediately valuable as context. Company-level in Phase 3 — requires per-company parsing rules. Store in book_to_bill table with source type flag: SEMI_sector | company_disclosed | estimated.</w:t>
      </w:r>
    </w:p>
    <w:p>
      <w:pPr>
        <w:spacing w:after="120" w:before="0"/>
      </w:pPr>
      <w:r>
        <w:t xml:space="preserve"/>
      </w:r>
    </w:p>
    <w:p>
      <w:r>
        <w:br w:type="page"/>
      </w:r>
    </w:p>
    <w:p>
      <w:pPr>
        <w:pStyle w:val="Heading1"/>
        <w:pBdr>
          <w:bottom w:val="single" w:color="2563EB" w:sz="8" w:space="4"/>
        </w:pBdr>
        <w:spacing w:after="120" w:before="360"/>
      </w:pPr>
      <w:r>
        <w:rPr>
          <w:rFonts w:ascii="Arial" w:cs="Arial" w:eastAsia="Arial" w:hAnsi="Arial"/>
          <w:b/>
          <w:bCs/>
          <w:color w:val="0D1B2A"/>
          <w:sz w:val="36"/>
          <w:szCs w:val="36"/>
        </w:rPr>
        <w:t xml:space="preserve">Section 3 — Expanded Pipeline Architecture</w:t>
      </w:r>
    </w:p>
    <w:p>
      <w:pPr>
        <w:spacing w:after="100" w:before="60"/>
      </w:pPr>
      <w:r>
        <w:rPr>
          <w:rFonts w:ascii="Arial" w:cs="Arial" w:eastAsia="Arial" w:hAnsi="Arial"/>
          <w:color w:val="374151"/>
          <w:sz w:val="22"/>
          <w:szCs w:val="22"/>
        </w:rPr>
        <w:t xml:space="preserve">The original pipeline architecture (EDGAR connector → normalizers → metric engine → database) expands to accommodate three new data flows without changing the core architecture. New connectors are added at the source layer. New tables are added at the database layer. The metric engine gains new calculation modules. The API gains new endpoints.</w:t>
      </w:r>
    </w:p>
    <w:p>
      <w:pPr>
        <w:spacing w:after="120" w:before="0"/>
      </w:pPr>
      <w:r>
        <w:t xml:space="preserve"/>
      </w:r>
    </w:p>
    <w:p>
      <w:pPr>
        <w:pStyle w:val="Heading2"/>
        <w:spacing w:after="100" w:before="280"/>
      </w:pPr>
      <w:r>
        <w:rPr>
          <w:rFonts w:ascii="Arial" w:cs="Arial" w:eastAsia="Arial" w:hAnsi="Arial"/>
          <w:b/>
          <w:bCs/>
          <w:color w:val="1B3A5C"/>
          <w:sz w:val="28"/>
          <w:szCs w:val="28"/>
        </w:rPr>
        <w:t xml:space="preserve">Updated Architecture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4"/>
              <w:left w:val="single" w:color="E5E7EB" w:sz="4"/>
              <w:bottom w:val="single" w:color="E5E7EB" w:sz="4"/>
              <w:right w:val="single" w:color="E5E7EB" w:sz="4"/>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Original (55 metrics)</w:t>
            </w:r>
          </w:p>
        </w:tc>
        <w:tc>
          <w:tcPr>
            <w:tcW w:type="dxa" w:w="4680"/>
            <w:tcBorders>
              <w:top w:val="single" w:color="E5E7EB" w:sz="4"/>
              <w:left w:val="single" w:color="E5E7EB" w:sz="4"/>
              <w:bottom w:val="single" w:color="E5E7EB" w:sz="4"/>
              <w:right w:val="single" w:color="E5E7EB" w:sz="4"/>
            </w:tcBorders>
            <w:shd w:fill="2563EB" w:val="clear"/>
            <w:tcMar>
              <w:top w:type="dxa" w:w="100"/>
              <w:left w:type="dxa" w:w="140"/>
              <w:bottom w:type="dxa" w:w="100"/>
              <w:right w:type="dxa" w:w="140"/>
            </w:tcMar>
          </w:tcPr>
          <w:p>
            <w:r>
              <w:rPr>
                <w:rFonts w:ascii="Arial" w:cs="Arial" w:eastAsia="Arial" w:hAnsi="Arial"/>
                <w:b/>
                <w:bCs/>
                <w:color w:val="FFFFFF"/>
                <w:sz w:val="19"/>
                <w:szCs w:val="19"/>
              </w:rPr>
              <w:t xml:space="preserve">Expanded (75 metrics)</w:t>
            </w:r>
          </w:p>
        </w:tc>
      </w:tr>
      <w:tr>
        <w:tc>
          <w:tcPr>
            <w:tcW w:type="dxa" w:w="46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EDGAR XBRL → tag resolver → FX converter → metric engine</w:t>
            </w:r>
          </w:p>
        </w:tc>
        <w:tc>
          <w:tcPr>
            <w:tcW w:type="dxa" w:w="46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 price_connector.py (daily price feed)</w:t>
            </w:r>
          </w:p>
        </w:tc>
      </w:tr>
      <w:tr>
        <w:tc>
          <w:tcPr>
            <w:tcW w:type="dxa" w:w="468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Metric engine → PostgreSQL</w:t>
            </w:r>
          </w:p>
        </w:tc>
        <w:tc>
          <w:tcPr>
            <w:tcW w:type="dxa" w:w="468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 text_extractor.py (customer conc., geo revenue)</w:t>
            </w:r>
          </w:p>
        </w:tc>
      </w:tr>
      <w:tr>
        <w:tc>
          <w:tcPr>
            <w:tcW w:type="dxa" w:w="46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PostgreSQL → FastAPI → React</w:t>
            </w:r>
          </w:p>
        </w:tc>
        <w:tc>
          <w:tcPr>
            <w:tcW w:type="dxa" w:w="46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 semi_connector.py (SEMI book-to-bill monthly)</w:t>
            </w:r>
          </w:p>
        </w:tc>
      </w:tr>
      <w:tr>
        <w:tc>
          <w:tcPr>
            <w:tcW w:type="dxa" w:w="468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PostgreSQL → Power BI DirectQuery</w:t>
            </w:r>
          </w:p>
        </w:tc>
        <w:tc>
          <w:tcPr>
            <w:tcW w:type="dxa" w:w="468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 prices table + text_facts table + book_to_bill table</w:t>
            </w:r>
          </w:p>
        </w:tc>
      </w:tr>
      <w:tr>
        <w:tc>
          <w:tcPr>
            <w:tcW w:type="dxa" w:w="46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55 metrics in metrics table</w:t>
            </w:r>
          </w:p>
        </w:tc>
        <w:tc>
          <w:tcPr>
            <w:tcW w:type="dxa" w:w="46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75 metrics in metrics table — 20 new columns</w:t>
            </w:r>
          </w:p>
        </w:tc>
      </w:tr>
    </w:tbl>
    <w:p>
      <w:pPr>
        <w:spacing w:after="120" w:before="0"/>
      </w:pPr>
      <w:r>
        <w:t xml:space="preserve"/>
      </w:r>
    </w:p>
    <w:p>
      <w:pPr>
        <w:pStyle w:val="Heading2"/>
        <w:spacing w:after="100" w:before="280"/>
      </w:pPr>
      <w:r>
        <w:rPr>
          <w:rFonts w:ascii="Arial" w:cs="Arial" w:eastAsia="Arial" w:hAnsi="Arial"/>
          <w:b/>
          <w:bCs/>
          <w:color w:val="1B3A5C"/>
          <w:sz w:val="28"/>
          <w:szCs w:val="28"/>
        </w:rPr>
        <w:t xml:space="preserve">New Pipeline Components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2410C" w:val="clear"/>
            <w:tcMar>
              <w:top w:type="dxa" w:w="140"/>
              <w:left w:type="dxa" w:w="200"/>
              <w:bottom w:type="dxa" w:w="140"/>
              <w:right w:type="dxa" w:w="200"/>
            </w:tcMar>
          </w:tcPr>
          <w:p>
            <w:r>
              <w:rPr>
                <w:rFonts w:ascii="Arial" w:cs="Arial" w:eastAsia="Arial" w:hAnsi="Arial"/>
                <w:b/>
                <w:bCs/>
                <w:color w:val="FFFFFF"/>
                <w:sz w:val="26"/>
                <w:szCs w:val="26"/>
              </w:rPr>
              <w:t xml:space="preserve">NEW COMPONENT — price_connector.py</w:t>
            </w:r>
          </w:p>
        </w:tc>
      </w:tr>
    </w:tbl>
    <w:p>
      <w:pPr>
        <w:spacing w:after="80" w:before="0"/>
      </w:pPr>
      <w:r>
        <w:t xml:space="preserve"/>
      </w:r>
    </w:p>
    <w:p>
      <w:pPr>
        <w:spacing w:after="100" w:before="60"/>
      </w:pPr>
      <w:r>
        <w:rPr>
          <w:rFonts w:ascii="Arial" w:cs="Arial" w:eastAsia="Arial" w:hAnsi="Arial"/>
          <w:color w:val="374151"/>
          <w:sz w:val="22"/>
          <w:szCs w:val="22"/>
        </w:rPr>
        <w:t xml:space="preserve">Fetches daily closing prices for all companies in the universe. Calculates market cap (price × shares_outstanding from EDGAR). Stores in prices table. Enables all five valuation metrics.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4"/>
              <w:left w:val="single" w:color="E5E7EB" w:sz="4"/>
              <w:bottom w:val="single" w:color="E5E7EB" w:sz="4"/>
              <w:right w:val="single" w:color="E5E7EB" w:sz="4"/>
            </w:tcBorders>
            <w:shd w:fill="C2410C" w:val="clear"/>
            <w:tcMar>
              <w:top w:type="dxa" w:w="100"/>
              <w:left w:type="dxa" w:w="140"/>
              <w:bottom w:type="dxa" w:w="100"/>
              <w:right w:type="dxa" w:w="140"/>
            </w:tcMar>
          </w:tcPr>
          <w:p>
            <w:r>
              <w:rPr>
                <w:rFonts w:ascii="Arial" w:cs="Arial" w:eastAsia="Arial" w:hAnsi="Arial"/>
                <w:b/>
                <w:bCs/>
                <w:color w:val="FFFFFF"/>
                <w:sz w:val="19"/>
                <w:szCs w:val="19"/>
              </w:rPr>
              <w:t xml:space="preserve">Property</w:t>
            </w:r>
          </w:p>
        </w:tc>
        <w:tc>
          <w:tcPr>
            <w:tcW w:type="dxa" w:w="6960"/>
            <w:tcBorders>
              <w:top w:val="single" w:color="E5E7EB" w:sz="4"/>
              <w:left w:val="single" w:color="E5E7EB" w:sz="4"/>
              <w:bottom w:val="single" w:color="E5E7EB" w:sz="4"/>
              <w:right w:val="single" w:color="E5E7EB" w:sz="4"/>
            </w:tcBorders>
            <w:shd w:fill="C2410C" w:val="clear"/>
            <w:tcMar>
              <w:top w:type="dxa" w:w="100"/>
              <w:left w:type="dxa" w:w="140"/>
              <w:bottom w:type="dxa" w:w="100"/>
              <w:right w:type="dxa" w:w="140"/>
            </w:tcMar>
          </w:tcPr>
          <w:p>
            <w:r>
              <w:rPr>
                <w:rFonts w:ascii="Arial" w:cs="Arial" w:eastAsia="Arial" w:hAnsi="Arial"/>
                <w:b/>
                <w:bCs/>
                <w:color w:val="FFFFFF"/>
                <w:sz w:val="19"/>
                <w:szCs w:val="19"/>
              </w:rPr>
              <w:t xml:space="preserve">Detail</w:t>
            </w:r>
          </w:p>
        </w:tc>
      </w:tr>
      <w:tr>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Purpose</w:t>
            </w:r>
          </w:p>
        </w:tc>
        <w:tc>
          <w:tcPr>
            <w:tcW w:type="dxa" w:w="69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Daily price fetch for market cap and enterprise value calculation</w:t>
            </w:r>
          </w:p>
        </w:tc>
      </w:tr>
      <w:tr>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Source</w:t>
            </w:r>
          </w:p>
        </w:tc>
        <w:tc>
          <w:tcPr>
            <w:tcW w:type="dxa" w:w="69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yfinance (Yahoo Finance) — free, no key. Fallback: Alpha Vantage free tier.</w:t>
            </w:r>
          </w:p>
        </w:tc>
      </w:tr>
      <w:tr>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Frequency</w:t>
            </w:r>
          </w:p>
        </w:tc>
        <w:tc>
          <w:tcPr>
            <w:tcW w:type="dxa" w:w="69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Daily — runs after market close. Separate from earnings refresh scheduler.</w:t>
            </w:r>
          </w:p>
        </w:tc>
      </w:tr>
      <w:tr>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Rate limit</w:t>
            </w:r>
          </w:p>
        </w:tc>
        <w:tc>
          <w:tcPr>
            <w:tcW w:type="dxa" w:w="69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Yahoo Finance: no official limit but batch requests — max 20 tickers per call with 0.5s delay.</w:t>
            </w:r>
          </w:p>
        </w:tc>
      </w:tr>
      <w:tr>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New database table</w:t>
            </w:r>
          </w:p>
        </w:tc>
        <w:tc>
          <w:tcPr>
            <w:tcW w:type="dxa" w:w="69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prices (ticker, date, close_price, shares_outstanding, market_cap, enterprise_value)</w:t>
            </w:r>
          </w:p>
        </w:tc>
      </w:tr>
      <w:tr>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Valuation metrics calculated</w:t>
            </w:r>
          </w:p>
        </w:tc>
        <w:tc>
          <w:tcPr>
            <w:tcW w:type="dxa" w:w="69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EV/EBITDA, EV/Revenue, EV/Gross Profit, P/E, P/FCF — joined from prices + metrics tables</w:t>
            </w:r>
          </w:p>
        </w:tc>
      </w:tr>
      <w:tr>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Error handling</w:t>
            </w:r>
          </w:p>
        </w:tc>
        <w:tc>
          <w:tcPr>
            <w:tcW w:type="dxa" w:w="69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If price unavailable: store NULL in valuation metrics; flag PRICE_UNAVAILABLE; do not fail pipeline</w:t>
            </w:r>
          </w:p>
        </w:tc>
      </w:tr>
      <w:tr>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Foreign companies</w:t>
            </w:r>
          </w:p>
        </w:tc>
        <w:tc>
          <w:tcPr>
            <w:tcW w:type="dxa" w:w="69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ADRs (TSM, ASML on US exchanges) — price available via yfinance ticker. Non-ADR foreign companies: local exchange price + currency conversion required (Phase 3).</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766E" w:val="clear"/>
            <w:tcMar>
              <w:top w:type="dxa" w:w="140"/>
              <w:left w:type="dxa" w:w="200"/>
              <w:bottom w:type="dxa" w:w="140"/>
              <w:right w:type="dxa" w:w="200"/>
            </w:tcMar>
          </w:tcPr>
          <w:p>
            <w:r>
              <w:rPr>
                <w:rFonts w:ascii="Arial" w:cs="Arial" w:eastAsia="Arial" w:hAnsi="Arial"/>
                <w:b/>
                <w:bCs/>
                <w:color w:val="FFFFFF"/>
                <w:sz w:val="26"/>
                <w:szCs w:val="26"/>
              </w:rPr>
              <w:t xml:space="preserve">NEW COMPONENT — text_extractor.py</w:t>
            </w:r>
          </w:p>
        </w:tc>
      </w:tr>
    </w:tbl>
    <w:p>
      <w:pPr>
        <w:spacing w:after="80" w:before="0"/>
      </w:pPr>
      <w:r>
        <w:t xml:space="preserve"/>
      </w:r>
    </w:p>
    <w:p>
      <w:pPr>
        <w:spacing w:after="100" w:before="60"/>
      </w:pPr>
      <w:r>
        <w:rPr>
          <w:rFonts w:ascii="Arial" w:cs="Arial" w:eastAsia="Arial" w:hAnsi="Arial"/>
          <w:color w:val="374151"/>
          <w:sz w:val="22"/>
          <w:szCs w:val="22"/>
        </w:rPr>
        <w:t xml:space="preserve">Extracts customer concentration and geographic revenue data from 10-K filing text. Runs once per annual filing. Stores results with confidence scores in text_facts table.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4"/>
              <w:left w:val="single" w:color="E5E7EB" w:sz="4"/>
              <w:bottom w:val="single" w:color="E5E7EB" w:sz="4"/>
              <w:right w:val="single" w:color="E5E7EB" w:sz="4"/>
            </w:tcBorders>
            <w:shd w:fill="0F766E" w:val="clear"/>
            <w:tcMar>
              <w:top w:type="dxa" w:w="100"/>
              <w:left w:type="dxa" w:w="140"/>
              <w:bottom w:type="dxa" w:w="100"/>
              <w:right w:type="dxa" w:w="140"/>
            </w:tcMar>
          </w:tcPr>
          <w:p>
            <w:r>
              <w:rPr>
                <w:rFonts w:ascii="Arial" w:cs="Arial" w:eastAsia="Arial" w:hAnsi="Arial"/>
                <w:b/>
                <w:bCs/>
                <w:color w:val="FFFFFF"/>
                <w:sz w:val="19"/>
                <w:szCs w:val="19"/>
              </w:rPr>
              <w:t xml:space="preserve">Property</w:t>
            </w:r>
          </w:p>
        </w:tc>
        <w:tc>
          <w:tcPr>
            <w:tcW w:type="dxa" w:w="6960"/>
            <w:tcBorders>
              <w:top w:val="single" w:color="E5E7EB" w:sz="4"/>
              <w:left w:val="single" w:color="E5E7EB" w:sz="4"/>
              <w:bottom w:val="single" w:color="E5E7EB" w:sz="4"/>
              <w:right w:val="single" w:color="E5E7EB" w:sz="4"/>
            </w:tcBorders>
            <w:shd w:fill="0F766E" w:val="clear"/>
            <w:tcMar>
              <w:top w:type="dxa" w:w="100"/>
              <w:left w:type="dxa" w:w="140"/>
              <w:bottom w:type="dxa" w:w="100"/>
              <w:right w:type="dxa" w:w="140"/>
            </w:tcMar>
          </w:tcPr>
          <w:p>
            <w:r>
              <w:rPr>
                <w:rFonts w:ascii="Arial" w:cs="Arial" w:eastAsia="Arial" w:hAnsi="Arial"/>
                <w:b/>
                <w:bCs/>
                <w:color w:val="FFFFFF"/>
                <w:sz w:val="19"/>
                <w:szCs w:val="19"/>
              </w:rPr>
              <w:t xml:space="preserve">Detail</w:t>
            </w:r>
          </w:p>
        </w:tc>
      </w:tr>
      <w:tr>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Purpose</w:t>
            </w:r>
          </w:p>
        </w:tc>
        <w:tc>
          <w:tcPr>
            <w:tcW w:type="dxa" w:w="69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Extract customer concentration % and geographic revenue % from 10-K text</w:t>
            </w:r>
          </w:p>
        </w:tc>
      </w:tr>
      <w:tr>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Source</w:t>
            </w:r>
          </w:p>
        </w:tc>
        <w:tc>
          <w:tcPr>
            <w:tcW w:type="dxa" w:w="69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SEC EDGAR full-text search API (efts.sec.gov) + direct filing HTML download</w:t>
            </w:r>
          </w:p>
        </w:tc>
      </w:tr>
      <w:tr>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Frequency</w:t>
            </w:r>
          </w:p>
        </w:tc>
        <w:tc>
          <w:tcPr>
            <w:tcW w:type="dxa" w:w="69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Annual — triggered by 10-K filing detection in RSS watcher</w:t>
            </w:r>
          </w:p>
        </w:tc>
      </w:tr>
      <w:tr>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Extraction targets</w:t>
            </w:r>
          </w:p>
        </w:tc>
        <w:tc>
          <w:tcPr>
            <w:tcW w:type="dxa" w:w="69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(1) Risk factors: concentration language. (2) Revenue disaggregation footnote. (3) Geographic segment table.</w:t>
            </w:r>
          </w:p>
        </w:tc>
      </w:tr>
      <w:tr>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Pattern matching</w:t>
            </w:r>
          </w:p>
        </w:tc>
        <w:tc>
          <w:tcPr>
            <w:tcW w:type="dxa" w:w="69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Regex patterns for: 'X% of revenue', 'represented approximately X%', 'accounted for X%' near customer/geography context keywords</w:t>
            </w:r>
          </w:p>
        </w:tc>
      </w:tr>
      <w:tr>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Confidence scoring</w:t>
            </w:r>
          </w:p>
        </w:tc>
        <w:tc>
          <w:tcPr>
            <w:tcW w:type="dxa" w:w="69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high: explicit percentage directly stated. medium: range given ('approximately 15-20%'). low: qualitative only ('significant customer'). none: no disclosure found.</w:t>
            </w:r>
          </w:p>
        </w:tc>
      </w:tr>
      <w:tr>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New database table</w:t>
            </w:r>
          </w:p>
        </w:tc>
        <w:tc>
          <w:tcPr>
            <w:tcW w:type="dxa" w:w="69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text_facts (company_id, period_end, fact_type, value, confidence, raw_text_excerpt, accession)</w:t>
            </w:r>
          </w:p>
        </w:tc>
      </w:tr>
      <w:tr>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Metrics populated</w:t>
            </w:r>
          </w:p>
        </w:tc>
        <w:tc>
          <w:tcPr>
            <w:tcW w:type="dxa" w:w="69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customer_concentration_top3, customer_concentration_top10, china_revenue_pct, us_revenue_pct, europe_revenue_pct, japan_revenue_pct</w:t>
            </w:r>
          </w:p>
        </w:tc>
      </w:tr>
      <w:tr>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Known limitation</w:t>
            </w:r>
          </w:p>
        </w:tc>
        <w:tc>
          <w:tcPr>
            <w:tcW w:type="dxa" w:w="69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Disclosure format varies by company. Some companies disclose at brand level not customer level. Apple is disclosed as 'one customer' by most companies without naming them. Flag accordingly.</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91B1B" w:val="clear"/>
            <w:tcMar>
              <w:top w:type="dxa" w:w="140"/>
              <w:left w:type="dxa" w:w="200"/>
              <w:bottom w:type="dxa" w:w="140"/>
              <w:right w:type="dxa" w:w="200"/>
            </w:tcMar>
          </w:tcPr>
          <w:p>
            <w:r>
              <w:rPr>
                <w:rFonts w:ascii="Arial" w:cs="Arial" w:eastAsia="Arial" w:hAnsi="Arial"/>
                <w:b/>
                <w:bCs/>
                <w:color w:val="FFFFFF"/>
                <w:sz w:val="26"/>
                <w:szCs w:val="26"/>
              </w:rPr>
              <w:t xml:space="preserve">NEW COMPONENT — semi_connector.py</w:t>
            </w:r>
          </w:p>
        </w:tc>
      </w:tr>
    </w:tbl>
    <w:p>
      <w:pPr>
        <w:spacing w:after="80" w:before="0"/>
      </w:pPr>
      <w:r>
        <w:t xml:space="preserve"/>
      </w:r>
    </w:p>
    <w:p>
      <w:pPr>
        <w:spacing w:after="100" w:before="60"/>
      </w:pPr>
      <w:r>
        <w:rPr>
          <w:rFonts w:ascii="Arial" w:cs="Arial" w:eastAsia="Arial" w:hAnsi="Arial"/>
          <w:color w:val="374151"/>
          <w:sz w:val="22"/>
          <w:szCs w:val="22"/>
        </w:rPr>
        <w:t xml:space="preserve">Fetches monthly SEMI industry book-to-bill data for sector-level semiconductor demand context. Lightweight monthly process — structured data, no parsing required.</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4"/>
              <w:left w:val="single" w:color="E5E7EB" w:sz="4"/>
              <w:bottom w:val="single" w:color="E5E7EB" w:sz="4"/>
              <w:right w:val="single" w:color="E5E7EB" w:sz="4"/>
            </w:tcBorders>
            <w:shd w:fill="991B1B" w:val="clear"/>
            <w:tcMar>
              <w:top w:type="dxa" w:w="100"/>
              <w:left w:type="dxa" w:w="140"/>
              <w:bottom w:type="dxa" w:w="100"/>
              <w:right w:type="dxa" w:w="140"/>
            </w:tcMar>
          </w:tcPr>
          <w:p>
            <w:r>
              <w:rPr>
                <w:rFonts w:ascii="Arial" w:cs="Arial" w:eastAsia="Arial" w:hAnsi="Arial"/>
                <w:b/>
                <w:bCs/>
                <w:color w:val="FFFFFF"/>
                <w:sz w:val="19"/>
                <w:szCs w:val="19"/>
              </w:rPr>
              <w:t xml:space="preserve">Property</w:t>
            </w:r>
          </w:p>
        </w:tc>
        <w:tc>
          <w:tcPr>
            <w:tcW w:type="dxa" w:w="6960"/>
            <w:tcBorders>
              <w:top w:val="single" w:color="E5E7EB" w:sz="4"/>
              <w:left w:val="single" w:color="E5E7EB" w:sz="4"/>
              <w:bottom w:val="single" w:color="E5E7EB" w:sz="4"/>
              <w:right w:val="single" w:color="E5E7EB" w:sz="4"/>
            </w:tcBorders>
            <w:shd w:fill="991B1B" w:val="clear"/>
            <w:tcMar>
              <w:top w:type="dxa" w:w="100"/>
              <w:left w:type="dxa" w:w="140"/>
              <w:bottom w:type="dxa" w:w="100"/>
              <w:right w:type="dxa" w:w="140"/>
            </w:tcMar>
          </w:tcPr>
          <w:p>
            <w:r>
              <w:rPr>
                <w:rFonts w:ascii="Arial" w:cs="Arial" w:eastAsia="Arial" w:hAnsi="Arial"/>
                <w:b/>
                <w:bCs/>
                <w:color w:val="FFFFFF"/>
                <w:sz w:val="19"/>
                <w:szCs w:val="19"/>
              </w:rPr>
              <w:t xml:space="preserve">Detail</w:t>
            </w:r>
          </w:p>
        </w:tc>
      </w:tr>
      <w:tr>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Purpose</w:t>
            </w:r>
          </w:p>
        </w:tc>
        <w:tc>
          <w:tcPr>
            <w:tcW w:type="dxa" w:w="69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Sector-level book-to-bill for semiconductor demand leading indicator</w:t>
            </w:r>
          </w:p>
        </w:tc>
      </w:tr>
      <w:tr>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Source</w:t>
            </w:r>
          </w:p>
        </w:tc>
        <w:tc>
          <w:tcPr>
            <w:tcW w:type="dxa" w:w="69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SEMI.org — monthly North American book-to-bill report. Free download. Also: SEMI publishes via press release and structured data feed.</w:t>
            </w:r>
          </w:p>
        </w:tc>
      </w:tr>
      <w:tr>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Frequency</w:t>
            </w:r>
          </w:p>
        </w:tc>
        <w:tc>
          <w:tcPr>
            <w:tcW w:type="dxa" w:w="69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Monthly — runs after SEMI publishes (typically mid-month for prior month)</w:t>
            </w:r>
          </w:p>
        </w:tc>
      </w:tr>
      <w:tr>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New database table</w:t>
            </w:r>
          </w:p>
        </w:tc>
        <w:tc>
          <w:tcPr>
            <w:tcW w:type="dxa" w:w="69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sector_book_to_bill (region, period_month, book_to_bill_ratio, three_month_avg, published_date)</w:t>
            </w:r>
          </w:p>
        </w:tc>
      </w:tr>
      <w:tr>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Dashboard use</w:t>
            </w:r>
          </w:p>
        </w:tc>
        <w:tc>
          <w:tcPr>
            <w:tcW w:type="dxa" w:w="69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Context panel on semiconductor sector view: 'Current sector book-to-bill: 1.12 (3-month avg)'. Directional indicator only at this level.</w:t>
            </w:r>
          </w:p>
        </w:tc>
      </w:tr>
      <w:tr>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Company-level (Phase 3)</w:t>
            </w:r>
          </w:p>
        </w:tc>
        <w:tc>
          <w:tcPr>
            <w:tcW w:type="dxa" w:w="69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Applied Materials, Lam Research, KLA disclose backlog in 10-K/10-Q. Add company_book_to_bill table in Phase 3 with manual parsing rules per disclosing company.</w:t>
            </w:r>
          </w:p>
        </w:tc>
      </w:tr>
    </w:tbl>
    <w:p>
      <w:pPr>
        <w:spacing w:after="120" w:before="0"/>
      </w:pPr>
      <w:r>
        <w:t xml:space="preserve"/>
      </w:r>
    </w:p>
    <w:p>
      <w:pPr>
        <w:pStyle w:val="Heading2"/>
        <w:spacing w:after="100" w:before="280"/>
      </w:pPr>
      <w:r>
        <w:rPr>
          <w:rFonts w:ascii="Arial" w:cs="Arial" w:eastAsia="Arial" w:hAnsi="Arial"/>
          <w:b/>
          <w:bCs/>
          <w:color w:val="1B3A5C"/>
          <w:sz w:val="28"/>
          <w:szCs w:val="28"/>
        </w:rPr>
        <w:t xml:space="preserve">Expanded Database Schema — New Tables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5E7EB" w:sz="4"/>
              <w:left w:val="single" w:color="E5E7EB" w:sz="4"/>
              <w:bottom w:val="single" w:color="E5E7EB" w:sz="4"/>
              <w:right w:val="single" w:color="E5E7EB" w:sz="4"/>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New Table</w:t>
            </w:r>
          </w:p>
        </w:tc>
        <w:tc>
          <w:tcPr>
            <w:tcW w:type="dxa" w:w="3480"/>
            <w:tcBorders>
              <w:top w:val="single" w:color="E5E7EB" w:sz="4"/>
              <w:left w:val="single" w:color="E5E7EB" w:sz="4"/>
              <w:bottom w:val="single" w:color="E5E7EB" w:sz="4"/>
              <w:right w:val="single" w:color="E5E7EB" w:sz="4"/>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Purpose</w:t>
            </w:r>
          </w:p>
        </w:tc>
        <w:tc>
          <w:tcPr>
            <w:tcW w:type="dxa" w:w="3480"/>
            <w:tcBorders>
              <w:top w:val="single" w:color="E5E7EB" w:sz="4"/>
              <w:left w:val="single" w:color="E5E7EB" w:sz="4"/>
              <w:bottom w:val="single" w:color="E5E7EB" w:sz="4"/>
              <w:right w:val="single" w:color="E5E7EB" w:sz="4"/>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Key Columns</w:t>
            </w:r>
          </w:p>
        </w:tc>
      </w:tr>
      <w:tr>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prices</w:t>
            </w:r>
          </w:p>
        </w:tc>
        <w:tc>
          <w:tcPr>
            <w:tcW w:type="dxa" w:w="34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Daily market prices and derived market cap / EV</w:t>
            </w:r>
          </w:p>
        </w:tc>
        <w:tc>
          <w:tcPr>
            <w:tcW w:type="dxa" w:w="34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ticker, date, close_price, market_cap, enterprise_value, data_source</w:t>
            </w:r>
          </w:p>
        </w:tc>
      </w:tr>
      <w:tr>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text_facts</w:t>
            </w:r>
          </w:p>
        </w:tc>
        <w:tc>
          <w:tcPr>
            <w:tcW w:type="dxa" w:w="348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Customer concentration and geographic revenue extracted from 10-K text</w:t>
            </w:r>
          </w:p>
        </w:tc>
        <w:tc>
          <w:tcPr>
            <w:tcW w:type="dxa" w:w="348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company_id, period_end, fact_type, value, confidence, raw_excerpt, accession</w:t>
            </w:r>
          </w:p>
        </w:tc>
      </w:tr>
      <w:tr>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sector_book_to_bill</w:t>
            </w:r>
          </w:p>
        </w:tc>
        <w:tc>
          <w:tcPr>
            <w:tcW w:type="dxa" w:w="34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SEMI monthly sector book-to-bill</w:t>
            </w:r>
          </w:p>
        </w:tc>
        <w:tc>
          <w:tcPr>
            <w:tcW w:type="dxa" w:w="34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region, period_month, bbt_ratio, three_month_avg, source</w:t>
            </w:r>
          </w:p>
        </w:tc>
      </w:tr>
      <w:tr>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company_book_to_bill</w:t>
            </w:r>
          </w:p>
        </w:tc>
        <w:tc>
          <w:tcPr>
            <w:tcW w:type="dxa" w:w="348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Company-level backlog and orders (Phase 3)</w:t>
            </w:r>
          </w:p>
        </w:tc>
        <w:tc>
          <w:tcPr>
            <w:tcW w:type="dxa" w:w="348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company_id, period_end, orders_received, backlog, book_to_bill, source_type</w:t>
            </w:r>
          </w:p>
        </w:tc>
      </w:tr>
    </w:tbl>
    <w:p>
      <w:pPr>
        <w:spacing w:after="80" w:before="0"/>
      </w:pPr>
      <w:r>
        <w:t xml:space="preserve"/>
      </w:r>
    </w:p>
    <w:p>
      <w:pPr>
        <w:pStyle w:val="Heading2"/>
        <w:spacing w:after="100" w:before="280"/>
      </w:pPr>
      <w:r>
        <w:rPr>
          <w:rFonts w:ascii="Arial" w:cs="Arial" w:eastAsia="Arial" w:hAnsi="Arial"/>
          <w:b/>
          <w:bCs/>
          <w:color w:val="1B3A5C"/>
          <w:sz w:val="28"/>
          <w:szCs w:val="28"/>
        </w:rPr>
        <w:t xml:space="preserve">New Columns in metrics Table</w:t>
      </w:r>
    </w:p>
    <w:p>
      <w:pPr>
        <w:spacing w:after="100" w:before="60"/>
      </w:pPr>
      <w:r>
        <w:rPr>
          <w:rFonts w:ascii="Arial" w:cs="Arial" w:eastAsia="Arial" w:hAnsi="Arial"/>
          <w:color w:val="374151"/>
          <w:sz w:val="22"/>
          <w:szCs w:val="22"/>
        </w:rPr>
        <w:t xml:space="preserve">The metrics table gains 20 new columns for the expanded metric set. All monetary values in USD. All ratios as decimals.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160"/>
        <w:gridCol w:w="2800"/>
      </w:tblGrid>
      <w:tr>
        <w:tc>
          <w:tcPr>
            <w:tcW w:type="dxa" w:w="2400"/>
            <w:tcBorders>
              <w:top w:val="single" w:color="E5E7EB" w:sz="4"/>
              <w:left w:val="single" w:color="E5E7EB" w:sz="4"/>
              <w:bottom w:val="single" w:color="E5E7EB" w:sz="4"/>
              <w:right w:val="single" w:color="E5E7EB" w:sz="4"/>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New Column</w:t>
            </w:r>
          </w:p>
        </w:tc>
        <w:tc>
          <w:tcPr>
            <w:tcW w:type="dxa" w:w="1800"/>
            <w:tcBorders>
              <w:top w:val="single" w:color="E5E7EB" w:sz="4"/>
              <w:left w:val="single" w:color="E5E7EB" w:sz="4"/>
              <w:bottom w:val="single" w:color="E5E7EB" w:sz="4"/>
              <w:right w:val="single" w:color="E5E7EB" w:sz="4"/>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Type</w:t>
            </w:r>
          </w:p>
        </w:tc>
        <w:tc>
          <w:tcPr>
            <w:tcW w:type="dxa" w:w="2160"/>
            <w:tcBorders>
              <w:top w:val="single" w:color="E5E7EB" w:sz="4"/>
              <w:left w:val="single" w:color="E5E7EB" w:sz="4"/>
              <w:bottom w:val="single" w:color="E5E7EB" w:sz="4"/>
              <w:right w:val="single" w:color="E5E7EB" w:sz="4"/>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Source</w:t>
            </w:r>
          </w:p>
        </w:tc>
        <w:tc>
          <w:tcPr>
            <w:tcW w:type="dxa" w:w="2800"/>
            <w:tcBorders>
              <w:top w:val="single" w:color="E5E7EB" w:sz="4"/>
              <w:left w:val="single" w:color="E5E7EB" w:sz="4"/>
              <w:bottom w:val="single" w:color="E5E7EB" w:sz="4"/>
              <w:right w:val="single" w:color="E5E7EB" w:sz="4"/>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Notes</w:t>
            </w:r>
          </w:p>
        </w:tc>
      </w:tr>
      <w:tr>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ev_ebitda</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NUMERIC(10,4)</w:t>
            </w:r>
          </w:p>
        </w:tc>
        <w:tc>
          <w:tcPr>
            <w:tcW w:type="dxa" w:w="2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prices + metrics</w:t>
            </w:r>
          </w:p>
        </w:tc>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NULL if price unavailable</w:t>
            </w:r>
          </w:p>
        </w:tc>
      </w:tr>
      <w:tr>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ev_revenue</w:t>
            </w:r>
          </w:p>
        </w:tc>
        <w:tc>
          <w:tcPr>
            <w:tcW w:type="dxa" w:w="1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NUMERIC(10,4)</w:t>
            </w:r>
          </w:p>
        </w:tc>
        <w:tc>
          <w:tcPr>
            <w:tcW w:type="dxa" w:w="2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prices + metrics</w:t>
            </w:r>
          </w:p>
        </w:tc>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NULL if price unavailable</w:t>
            </w:r>
          </w:p>
        </w:tc>
      </w:tr>
      <w:tr>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ev_gross_profit</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NUMERIC(10,4)</w:t>
            </w:r>
          </w:p>
        </w:tc>
        <w:tc>
          <w:tcPr>
            <w:tcW w:type="dxa" w:w="2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prices + metrics</w:t>
            </w:r>
          </w:p>
        </w:tc>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NULL if price unavailable</w:t>
            </w:r>
          </w:p>
        </w:tc>
      </w:tr>
      <w:tr>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price_to_earnings</w:t>
            </w:r>
          </w:p>
        </w:tc>
        <w:tc>
          <w:tcPr>
            <w:tcW w:type="dxa" w:w="1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NUMERIC(10,4)</w:t>
            </w:r>
          </w:p>
        </w:tc>
        <w:tc>
          <w:tcPr>
            <w:tcW w:type="dxa" w:w="2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prices + metrics</w:t>
            </w:r>
          </w:p>
        </w:tc>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NULL if negative earnings or no price</w:t>
            </w:r>
          </w:p>
        </w:tc>
      </w:tr>
      <w:tr>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price_to_fcf</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NUMERIC(10,4)</w:t>
            </w:r>
          </w:p>
        </w:tc>
        <w:tc>
          <w:tcPr>
            <w:tcW w:type="dxa" w:w="2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prices + metrics</w:t>
            </w:r>
          </w:p>
        </w:tc>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NULL if negative FCF or no price</w:t>
            </w:r>
          </w:p>
        </w:tc>
      </w:tr>
      <w:tr>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gross_profit_growth_yoy</w:t>
            </w:r>
          </w:p>
        </w:tc>
        <w:tc>
          <w:tcPr>
            <w:tcW w:type="dxa" w:w="1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NUMERIC(10,6)</w:t>
            </w:r>
          </w:p>
        </w:tc>
        <w:tc>
          <w:tcPr>
            <w:tcW w:type="dxa" w:w="2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Calculated</w:t>
            </w:r>
          </w:p>
        </w:tc>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YoY % change in gross profit dollars</w:t>
            </w:r>
          </w:p>
        </w:tc>
      </w:tr>
      <w:tr>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rule_of_40</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NUMERIC(10,4)</w:t>
            </w:r>
          </w:p>
        </w:tc>
        <w:tc>
          <w:tcPr>
            <w:tcW w:type="dxa" w:w="2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Calculated</w:t>
            </w:r>
          </w:p>
        </w:tc>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Revenue growth % + FCF margin %</w:t>
            </w:r>
          </w:p>
        </w:tc>
      </w:tr>
      <w:tr>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book_to_bill</w:t>
            </w:r>
          </w:p>
        </w:tc>
        <w:tc>
          <w:tcPr>
            <w:tcW w:type="dxa" w:w="1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NUMERIC(8,4)</w:t>
            </w:r>
          </w:p>
        </w:tc>
        <w:tc>
          <w:tcPr>
            <w:tcW w:type="dxa" w:w="2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sector/company BBT</w:t>
            </w:r>
          </w:p>
        </w:tc>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NULL for most companies Phase 1-2</w:t>
            </w:r>
          </w:p>
        </w:tc>
      </w:tr>
      <w:tr>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asset_turnover</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NUMERIC(10,4)</w:t>
            </w:r>
          </w:p>
        </w:tc>
        <w:tc>
          <w:tcPr>
            <w:tcW w:type="dxa" w:w="2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Calculated</w:t>
            </w:r>
          </w:p>
        </w:tc>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Revenue / avg total assets</w:t>
            </w:r>
          </w:p>
        </w:tc>
      </w:tr>
      <w:tr>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capex_intensity</w:t>
            </w:r>
          </w:p>
        </w:tc>
        <w:tc>
          <w:tcPr>
            <w:tcW w:type="dxa" w:w="1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NUMERIC(10,6)</w:t>
            </w:r>
          </w:p>
        </w:tc>
        <w:tc>
          <w:tcPr>
            <w:tcW w:type="dxa" w:w="2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Calculated</w:t>
            </w:r>
          </w:p>
        </w:tc>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CapEx / Revenue</w:t>
            </w:r>
          </w:p>
        </w:tc>
      </w:tr>
      <w:tr>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capex_to_depreciation</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NUMERIC(10,4)</w:t>
            </w:r>
          </w:p>
        </w:tc>
        <w:tc>
          <w:tcPr>
            <w:tcW w:type="dxa" w:w="2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Calculated</w:t>
            </w:r>
          </w:p>
        </w:tc>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CapEx / D&amp;A</w:t>
            </w:r>
          </w:p>
        </w:tc>
      </w:tr>
      <w:tr>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net_debt_to_ebitda</w:t>
            </w:r>
          </w:p>
        </w:tc>
        <w:tc>
          <w:tcPr>
            <w:tcW w:type="dxa" w:w="1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NUMERIC(10,4)</w:t>
            </w:r>
          </w:p>
        </w:tc>
        <w:tc>
          <w:tcPr>
            <w:tcW w:type="dxa" w:w="2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Calculated</w:t>
            </w:r>
          </w:p>
        </w:tc>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(Debt - Cash) / EBITDA</w:t>
            </w:r>
          </w:p>
        </w:tc>
      </w:tr>
      <w:tr>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fcf_conversion_rate</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NUMERIC(10,4)</w:t>
            </w:r>
          </w:p>
        </w:tc>
        <w:tc>
          <w:tcPr>
            <w:tcW w:type="dxa" w:w="2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Calculated</w:t>
            </w:r>
          </w:p>
        </w:tc>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FCF / Net Income</w:t>
            </w:r>
          </w:p>
        </w:tc>
      </w:tr>
      <w:tr>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customer_conc_top3</w:t>
            </w:r>
          </w:p>
        </w:tc>
        <w:tc>
          <w:tcPr>
            <w:tcW w:type="dxa" w:w="1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NUMERIC(6,4)</w:t>
            </w:r>
          </w:p>
        </w:tc>
        <w:tc>
          <w:tcPr>
            <w:tcW w:type="dxa" w:w="2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text_facts</w:t>
            </w:r>
          </w:p>
        </w:tc>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0.0-1.0 decimal; NULL if undisclosed</w:t>
            </w:r>
          </w:p>
        </w:tc>
      </w:tr>
      <w:tr>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customer_conc_top10</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NUMERIC(6,4)</w:t>
            </w:r>
          </w:p>
        </w:tc>
        <w:tc>
          <w:tcPr>
            <w:tcW w:type="dxa" w:w="2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text_facts</w:t>
            </w:r>
          </w:p>
        </w:tc>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0.0-1.0 decimal; NULL if undisclosed</w:t>
            </w:r>
          </w:p>
        </w:tc>
      </w:tr>
      <w:tr>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china_revenue_pct</w:t>
            </w:r>
          </w:p>
        </w:tc>
        <w:tc>
          <w:tcPr>
            <w:tcW w:type="dxa" w:w="1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NUMERIC(6,4)</w:t>
            </w:r>
          </w:p>
        </w:tc>
        <w:tc>
          <w:tcPr>
            <w:tcW w:type="dxa" w:w="2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text_facts</w:t>
            </w:r>
          </w:p>
        </w:tc>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China/Greater China % of revenue</w:t>
            </w:r>
          </w:p>
        </w:tc>
      </w:tr>
      <w:tr>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rd_intensity_vs_sector</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NUMERIC(10,4)</w:t>
            </w:r>
          </w:p>
        </w:tc>
        <w:tc>
          <w:tcPr>
            <w:tcW w:type="dxa" w:w="2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Calculated</w:t>
            </w:r>
          </w:p>
        </w:tc>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Company R&amp;D margin minus sector median</w:t>
            </w:r>
          </w:p>
        </w:tc>
      </w:tr>
      <w:tr>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fcf_conversion_ebitda</w:t>
            </w:r>
          </w:p>
        </w:tc>
        <w:tc>
          <w:tcPr>
            <w:tcW w:type="dxa" w:w="1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NUMERIC(10,4)</w:t>
            </w:r>
          </w:p>
        </w:tc>
        <w:tc>
          <w:tcPr>
            <w:tcW w:type="dxa" w:w="2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Calculated</w:t>
            </w:r>
          </w:p>
        </w:tc>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FCF / EBITDA</w:t>
            </w:r>
          </w:p>
        </w:tc>
      </w:tr>
      <w:tr>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cash_earnings</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NUMERIC(20,4)</w:t>
            </w:r>
          </w:p>
        </w:tc>
        <w:tc>
          <w:tcPr>
            <w:tcW w:type="dxa" w:w="2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Calculated</w:t>
            </w:r>
          </w:p>
        </w:tc>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Net income + D&amp;A in USD</w:t>
            </w:r>
          </w:p>
        </w:tc>
      </w:tr>
      <w:tr>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days_cash_on_hand</w:t>
            </w:r>
          </w:p>
        </w:tc>
        <w:tc>
          <w:tcPr>
            <w:tcW w:type="dxa" w:w="1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NUMERIC(10,2)</w:t>
            </w:r>
          </w:p>
        </w:tc>
        <w:tc>
          <w:tcPr>
            <w:tcW w:type="dxa" w:w="2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Calculated</w:t>
            </w:r>
          </w:p>
        </w:tc>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Cash / (OpEx / 365)</w:t>
            </w:r>
          </w:p>
        </w:tc>
      </w:tr>
      <w:tr>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flag_price_unavailable</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BOOLEAN</w:t>
            </w:r>
          </w:p>
        </w:tc>
        <w:tc>
          <w:tcPr>
            <w:tcW w:type="dxa" w:w="2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prices connector</w:t>
            </w:r>
          </w:p>
        </w:tc>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TRUE if no price data available</w:t>
            </w:r>
          </w:p>
        </w:tc>
      </w:tr>
      <w:tr>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flag_text_low_confidence</w:t>
            </w:r>
          </w:p>
        </w:tc>
        <w:tc>
          <w:tcPr>
            <w:tcW w:type="dxa" w:w="1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BOOLEAN</w:t>
            </w:r>
          </w:p>
        </w:tc>
        <w:tc>
          <w:tcPr>
            <w:tcW w:type="dxa" w:w="2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text_extractor</w:t>
            </w:r>
          </w:p>
        </w:tc>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TRUE if customer/geo data is low confidence</w:t>
            </w:r>
          </w:p>
        </w:tc>
      </w:tr>
    </w:tbl>
    <w:p>
      <w:pPr>
        <w:spacing w:after="120" w:before="0"/>
      </w:pPr>
      <w:r>
        <w:t xml:space="preserve"/>
      </w:r>
    </w:p>
    <w:p>
      <w:r>
        <w:br w:type="page"/>
      </w:r>
    </w:p>
    <w:p>
      <w:pPr>
        <w:pStyle w:val="Heading1"/>
        <w:pBdr>
          <w:bottom w:val="single" w:color="2563EB" w:sz="8" w:space="4"/>
        </w:pBdr>
        <w:spacing w:after="120" w:before="360"/>
      </w:pPr>
      <w:r>
        <w:rPr>
          <w:rFonts w:ascii="Arial" w:cs="Arial" w:eastAsia="Arial" w:hAnsi="Arial"/>
          <w:b/>
          <w:bCs/>
          <w:color w:val="0D1B2A"/>
          <w:sz w:val="36"/>
          <w:szCs w:val="36"/>
        </w:rPr>
        <w:t xml:space="preserve">Section 4 — New Metric Calculations</w:t>
      </w:r>
    </w:p>
    <w:p>
      <w:pPr>
        <w:spacing w:after="100" w:before="60"/>
      </w:pPr>
      <w:r>
        <w:rPr>
          <w:rFonts w:ascii="Arial" w:cs="Arial" w:eastAsia="Arial" w:hAnsi="Arial"/>
          <w:color w:val="374151"/>
          <w:sz w:val="22"/>
          <w:szCs w:val="22"/>
        </w:rPr>
        <w:t xml:space="preserve">This section defines exactly how each new metric is calculated — which raw inputs from which tables, what formulas, and what edge cases to handle. Follows the same specification format as the original DataFramework Section 5.</w:t>
      </w:r>
    </w:p>
    <w:p>
      <w:pPr>
        <w:spacing w:after="120" w:before="0"/>
      </w:pPr>
      <w:r>
        <w:t xml:space="preserve"/>
      </w:r>
    </w:p>
    <w:p>
      <w:pPr>
        <w:pStyle w:val="Heading2"/>
        <w:spacing w:after="100" w:before="280"/>
      </w:pPr>
      <w:r>
        <w:rPr>
          <w:rFonts w:ascii="Arial" w:cs="Arial" w:eastAsia="Arial" w:hAnsi="Arial"/>
          <w:b/>
          <w:bCs/>
          <w:color w:val="1B3A5C"/>
          <w:sz w:val="28"/>
          <w:szCs w:val="28"/>
        </w:rPr>
        <w:t xml:space="preserve">Valuation Metrics — Price Feed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400"/>
        <w:gridCol w:w="2160"/>
      </w:tblGrid>
      <w:tr>
        <w:tc>
          <w:tcPr>
            <w:tcW w:type="dxa" w:w="2000"/>
            <w:tcBorders>
              <w:top w:val="single" w:color="E5E7EB" w:sz="4"/>
              <w:left w:val="single" w:color="E5E7EB" w:sz="4"/>
              <w:bottom w:val="single" w:color="E5E7EB" w:sz="4"/>
              <w:right w:val="single" w:color="E5E7EB" w:sz="4"/>
            </w:tcBorders>
            <w:shd w:fill="C2410C" w:val="clear"/>
            <w:tcMar>
              <w:top w:type="dxa" w:w="100"/>
              <w:left w:type="dxa" w:w="140"/>
              <w:bottom w:type="dxa" w:w="100"/>
              <w:right w:type="dxa" w:w="140"/>
            </w:tcMar>
          </w:tcPr>
          <w:p>
            <w:r>
              <w:rPr>
                <w:rFonts w:ascii="Arial" w:cs="Arial" w:eastAsia="Arial" w:hAnsi="Arial"/>
                <w:b/>
                <w:bCs/>
                <w:color w:val="FFFFFF"/>
                <w:sz w:val="19"/>
                <w:szCs w:val="19"/>
              </w:rPr>
              <w:t xml:space="preserve">Metric</w:t>
            </w:r>
          </w:p>
        </w:tc>
        <w:tc>
          <w:tcPr>
            <w:tcW w:type="dxa" w:w="2800"/>
            <w:tcBorders>
              <w:top w:val="single" w:color="E5E7EB" w:sz="4"/>
              <w:left w:val="single" w:color="E5E7EB" w:sz="4"/>
              <w:bottom w:val="single" w:color="E5E7EB" w:sz="4"/>
              <w:right w:val="single" w:color="E5E7EB" w:sz="4"/>
            </w:tcBorders>
            <w:shd w:fill="C2410C" w:val="clear"/>
            <w:tcMar>
              <w:top w:type="dxa" w:w="100"/>
              <w:left w:type="dxa" w:w="140"/>
              <w:bottom w:type="dxa" w:w="100"/>
              <w:right w:type="dxa" w:w="140"/>
            </w:tcMar>
          </w:tcPr>
          <w:p>
            <w:r>
              <w:rPr>
                <w:rFonts w:ascii="Arial" w:cs="Arial" w:eastAsia="Arial" w:hAnsi="Arial"/>
                <w:b/>
                <w:bCs/>
                <w:color w:val="FFFFFF"/>
                <w:sz w:val="19"/>
                <w:szCs w:val="19"/>
              </w:rPr>
              <w:t xml:space="preserve">Formula</w:t>
            </w:r>
          </w:p>
        </w:tc>
        <w:tc>
          <w:tcPr>
            <w:tcW w:type="dxa" w:w="2400"/>
            <w:tcBorders>
              <w:top w:val="single" w:color="E5E7EB" w:sz="4"/>
              <w:left w:val="single" w:color="E5E7EB" w:sz="4"/>
              <w:bottom w:val="single" w:color="E5E7EB" w:sz="4"/>
              <w:right w:val="single" w:color="E5E7EB" w:sz="4"/>
            </w:tcBorders>
            <w:shd w:fill="C2410C" w:val="clear"/>
            <w:tcMar>
              <w:top w:type="dxa" w:w="100"/>
              <w:left w:type="dxa" w:w="140"/>
              <w:bottom w:type="dxa" w:w="100"/>
              <w:right w:type="dxa" w:w="140"/>
            </w:tcMar>
          </w:tcPr>
          <w:p>
            <w:r>
              <w:rPr>
                <w:rFonts w:ascii="Arial" w:cs="Arial" w:eastAsia="Arial" w:hAnsi="Arial"/>
                <w:b/>
                <w:bCs/>
                <w:color w:val="FFFFFF"/>
                <w:sz w:val="19"/>
                <w:szCs w:val="19"/>
              </w:rPr>
              <w:t xml:space="preserve">Raw Inputs</w:t>
            </w:r>
          </w:p>
        </w:tc>
        <w:tc>
          <w:tcPr>
            <w:tcW w:type="dxa" w:w="2160"/>
            <w:tcBorders>
              <w:top w:val="single" w:color="E5E7EB" w:sz="4"/>
              <w:left w:val="single" w:color="E5E7EB" w:sz="4"/>
              <w:bottom w:val="single" w:color="E5E7EB" w:sz="4"/>
              <w:right w:val="single" w:color="E5E7EB" w:sz="4"/>
            </w:tcBorders>
            <w:shd w:fill="C2410C" w:val="clear"/>
            <w:tcMar>
              <w:top w:type="dxa" w:w="100"/>
              <w:left w:type="dxa" w:w="140"/>
              <w:bottom w:type="dxa" w:w="100"/>
              <w:right w:type="dxa" w:w="140"/>
            </w:tcMar>
          </w:tcPr>
          <w:p>
            <w:r>
              <w:rPr>
                <w:rFonts w:ascii="Arial" w:cs="Arial" w:eastAsia="Arial" w:hAnsi="Arial"/>
                <w:b/>
                <w:bCs/>
                <w:color w:val="FFFFFF"/>
                <w:sz w:val="19"/>
                <w:szCs w:val="19"/>
              </w:rPr>
              <w:t xml:space="preserve">Edge Cases</w:t>
            </w:r>
          </w:p>
        </w:tc>
      </w:tr>
      <w:tr>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EV/EBITDA</w:t>
            </w:r>
          </w:p>
        </w:tc>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EV / EBITDA</w:t>
            </w:r>
          </w:p>
        </w:tc>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enterprise_value (prices table) + ebitda_usd (metrics)</w:t>
            </w:r>
          </w:p>
        </w:tc>
        <w:tc>
          <w:tcPr>
            <w:tcW w:type="dxa" w:w="2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Negative EBITDA → NULL. No price → NULL. IFRS16_LEASE_ADJ flag carried through.</w:t>
            </w:r>
          </w:p>
        </w:tc>
      </w:tr>
      <w:tr>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EV/Revenue</w:t>
            </w:r>
          </w:p>
        </w:tc>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EV / revenue_usd</w:t>
            </w:r>
          </w:p>
        </w:tc>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enterprise_value + revenue_usd</w:t>
            </w:r>
          </w:p>
        </w:tc>
        <w:tc>
          <w:tcPr>
            <w:tcW w:type="dxa" w:w="2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Negative EV (net cash &gt; market cap) → show as negative, do not NULL.</w:t>
            </w:r>
          </w:p>
        </w:tc>
      </w:tr>
      <w:tr>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EV/Gross Profit</w:t>
            </w:r>
          </w:p>
        </w:tc>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EV / gross_profit_usd</w:t>
            </w:r>
          </w:p>
        </w:tc>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enterprise_value + gross_profit_usd</w:t>
            </w:r>
          </w:p>
        </w:tc>
        <w:tc>
          <w:tcPr>
            <w:tcW w:type="dxa" w:w="2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Negative gross profit → NULL (loss-making companies).</w:t>
            </w:r>
          </w:p>
        </w:tc>
      </w:tr>
      <w:tr>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Price/Earnings</w:t>
            </w:r>
          </w:p>
        </w:tc>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market_cap / net_income_usd</w:t>
            </w:r>
          </w:p>
        </w:tc>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market_cap (prices) + net_income_usd (metrics)</w:t>
            </w:r>
          </w:p>
        </w:tc>
        <w:tc>
          <w:tcPr>
            <w:tcW w:type="dxa" w:w="2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Negative net income → NULL. Distorted by one-time items — flag.</w:t>
            </w:r>
          </w:p>
        </w:tc>
      </w:tr>
      <w:tr>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Price/FCF</w:t>
            </w:r>
          </w:p>
        </w:tc>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market_cap / free_cash_flow_usd</w:t>
            </w:r>
          </w:p>
        </w:tc>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market_cap + free_cash_flow_usd</w:t>
            </w:r>
          </w:p>
        </w:tc>
        <w:tc>
          <w:tcPr>
            <w:tcW w:type="dxa" w:w="2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Negative FCF → NULL. Highly CapEx year may distort — note in tooltip.</w:t>
            </w:r>
          </w:p>
        </w:tc>
      </w:tr>
      <w:tr>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Enterprise Value</w:t>
            </w:r>
          </w:p>
        </w:tc>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market_cap + total_debt_usd − cash_usd</w:t>
            </w:r>
          </w:p>
        </w:tc>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prices + LongTermDebt + ShortTermDebt + Cash from metrics</w:t>
            </w:r>
          </w:p>
        </w:tc>
        <w:tc>
          <w:tcPr>
            <w:tcW w:type="dxa" w:w="2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Store EV in prices table for reuse across all EV multiples.</w:t>
            </w:r>
          </w:p>
        </w:tc>
      </w:tr>
    </w:tbl>
    <w:p>
      <w:pPr>
        <w:spacing w:after="120" w:before="0"/>
      </w:pPr>
      <w:r>
        <w:t xml:space="preserve"/>
      </w:r>
    </w:p>
    <w:p>
      <w:pPr>
        <w:pStyle w:val="Heading2"/>
        <w:spacing w:after="100" w:before="280"/>
      </w:pPr>
      <w:r>
        <w:rPr>
          <w:rFonts w:ascii="Arial" w:cs="Arial" w:eastAsia="Arial" w:hAnsi="Arial"/>
          <w:b/>
          <w:bCs/>
          <w:color w:val="1B3A5C"/>
          <w:sz w:val="28"/>
          <w:szCs w:val="28"/>
        </w:rPr>
        <w:t xml:space="preserve">Growth Quality — EDGAR Calculable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5E7EB" w:sz="4"/>
              <w:left w:val="single" w:color="E5E7EB" w:sz="4"/>
              <w:bottom w:val="single" w:color="E5E7EB" w:sz="4"/>
              <w:right w:val="single" w:color="E5E7EB" w:sz="4"/>
            </w:tcBorders>
            <w:shd w:fill="166534" w:val="clear"/>
            <w:tcMar>
              <w:top w:type="dxa" w:w="100"/>
              <w:left w:type="dxa" w:w="140"/>
              <w:bottom w:type="dxa" w:w="100"/>
              <w:right w:type="dxa" w:w="140"/>
            </w:tcMar>
          </w:tcPr>
          <w:p>
            <w:r>
              <w:rPr>
                <w:rFonts w:ascii="Arial" w:cs="Arial" w:eastAsia="Arial" w:hAnsi="Arial"/>
                <w:b/>
                <w:bCs/>
                <w:color w:val="FFFFFF"/>
                <w:sz w:val="19"/>
                <w:szCs w:val="19"/>
              </w:rPr>
              <w:t xml:space="preserve">Metric</w:t>
            </w:r>
          </w:p>
        </w:tc>
        <w:tc>
          <w:tcPr>
            <w:tcW w:type="dxa" w:w="3480"/>
            <w:tcBorders>
              <w:top w:val="single" w:color="E5E7EB" w:sz="4"/>
              <w:left w:val="single" w:color="E5E7EB" w:sz="4"/>
              <w:bottom w:val="single" w:color="E5E7EB" w:sz="4"/>
              <w:right w:val="single" w:color="E5E7EB" w:sz="4"/>
            </w:tcBorders>
            <w:shd w:fill="166534" w:val="clear"/>
            <w:tcMar>
              <w:top w:type="dxa" w:w="100"/>
              <w:left w:type="dxa" w:w="140"/>
              <w:bottom w:type="dxa" w:w="100"/>
              <w:right w:type="dxa" w:w="140"/>
            </w:tcMar>
          </w:tcPr>
          <w:p>
            <w:r>
              <w:rPr>
                <w:rFonts w:ascii="Arial" w:cs="Arial" w:eastAsia="Arial" w:hAnsi="Arial"/>
                <w:b/>
                <w:bCs/>
                <w:color w:val="FFFFFF"/>
                <w:sz w:val="19"/>
                <w:szCs w:val="19"/>
              </w:rPr>
              <w:t xml:space="preserve">Formula</w:t>
            </w:r>
          </w:p>
        </w:tc>
        <w:tc>
          <w:tcPr>
            <w:tcW w:type="dxa" w:w="3480"/>
            <w:tcBorders>
              <w:top w:val="single" w:color="E5E7EB" w:sz="4"/>
              <w:left w:val="single" w:color="E5E7EB" w:sz="4"/>
              <w:bottom w:val="single" w:color="E5E7EB" w:sz="4"/>
              <w:right w:val="single" w:color="E5E7EB" w:sz="4"/>
            </w:tcBorders>
            <w:shd w:fill="166534" w:val="clear"/>
            <w:tcMar>
              <w:top w:type="dxa" w:w="100"/>
              <w:left w:type="dxa" w:w="140"/>
              <w:bottom w:type="dxa" w:w="100"/>
              <w:right w:type="dxa" w:w="140"/>
            </w:tcMar>
          </w:tcPr>
          <w:p>
            <w:r>
              <w:rPr>
                <w:rFonts w:ascii="Arial" w:cs="Arial" w:eastAsia="Arial" w:hAnsi="Arial"/>
                <w:b/>
                <w:bCs/>
                <w:color w:val="FFFFFF"/>
                <w:sz w:val="19"/>
                <w:szCs w:val="19"/>
              </w:rPr>
              <w:t xml:space="preserve">Notes</w:t>
            </w:r>
          </w:p>
        </w:tc>
      </w:tr>
      <w:tr>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Gross Profit Growth YoY</w:t>
            </w:r>
          </w:p>
        </w:tc>
        <w:tc>
          <w:tcPr>
            <w:tcW w:type="dxa" w:w="34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(GP_current − GP_prior) / abs(GP_prior)</w:t>
            </w:r>
          </w:p>
        </w:tc>
        <w:tc>
          <w:tcPr>
            <w:tcW w:type="dxa" w:w="34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Same calculation pattern as Revenue Growth. Uses gross_profit_usd from metrics table. Prior period joined by company_id + prior fiscal year.</w:t>
            </w:r>
          </w:p>
        </w:tc>
      </w:tr>
      <w:tr>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Rule of 40</w:t>
            </w:r>
          </w:p>
        </w:tc>
        <w:tc>
          <w:tcPr>
            <w:tcW w:type="dxa" w:w="348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revenue_growth_yoy × 100 + (free_cash_flow_usd / revenue_usd) × 100</w:t>
            </w:r>
          </w:p>
        </w:tc>
        <w:tc>
          <w:tcPr>
            <w:tcW w:type="dxa" w:w="348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Both components already in metrics table. Multiply growth rate by 100 to convert from decimal to percentage before adding FCF margin percentage. Result is a number (e.g., 42.3 = 'above 40').</w:t>
            </w:r>
          </w:p>
        </w:tc>
      </w:tr>
      <w:tr>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Book-to-Bill</w:t>
            </w:r>
          </w:p>
        </w:tc>
        <w:tc>
          <w:tcPr>
            <w:tcW w:type="dxa" w:w="34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From sector_book_to_bill or company_book_to_bill</w:t>
            </w:r>
          </w:p>
        </w:tc>
        <w:tc>
          <w:tcPr>
            <w:tcW w:type="dxa" w:w="34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Phase 1-2: use sector-level SEMI data as context. Phase 3: add company-level where disclosed. Store both; dashboard shows company-level if available, sector-level as context always.</w:t>
            </w:r>
          </w:p>
        </w:tc>
      </w:tr>
    </w:tbl>
    <w:p>
      <w:pPr>
        <w:spacing w:after="120" w:before="0"/>
      </w:pPr>
      <w:r>
        <w:t xml:space="preserve"/>
      </w:r>
    </w:p>
    <w:p>
      <w:pPr>
        <w:pStyle w:val="Heading2"/>
        <w:spacing w:after="100" w:before="280"/>
      </w:pPr>
      <w:r>
        <w:rPr>
          <w:rFonts w:ascii="Arial" w:cs="Arial" w:eastAsia="Arial" w:hAnsi="Arial"/>
          <w:b/>
          <w:bCs/>
          <w:color w:val="1B3A5C"/>
          <w:sz w:val="28"/>
          <w:szCs w:val="28"/>
        </w:rPr>
        <w:t xml:space="preserve">Capital Efficiency — EDGAR Calculable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5E7EB" w:sz="4"/>
              <w:left w:val="single" w:color="E5E7EB" w:sz="4"/>
              <w:bottom w:val="single" w:color="E5E7EB" w:sz="4"/>
              <w:right w:val="single" w:color="E5E7EB" w:sz="4"/>
            </w:tcBorders>
            <w:shd w:fill="0F766E" w:val="clear"/>
            <w:tcMar>
              <w:top w:type="dxa" w:w="100"/>
              <w:left w:type="dxa" w:w="140"/>
              <w:bottom w:type="dxa" w:w="100"/>
              <w:right w:type="dxa" w:w="140"/>
            </w:tcMar>
          </w:tcPr>
          <w:p>
            <w:r>
              <w:rPr>
                <w:rFonts w:ascii="Arial" w:cs="Arial" w:eastAsia="Arial" w:hAnsi="Arial"/>
                <w:b/>
                <w:bCs/>
                <w:color w:val="FFFFFF"/>
                <w:sz w:val="19"/>
                <w:szCs w:val="19"/>
              </w:rPr>
              <w:t xml:space="preserve">Metric</w:t>
            </w:r>
          </w:p>
        </w:tc>
        <w:tc>
          <w:tcPr>
            <w:tcW w:type="dxa" w:w="3480"/>
            <w:tcBorders>
              <w:top w:val="single" w:color="E5E7EB" w:sz="4"/>
              <w:left w:val="single" w:color="E5E7EB" w:sz="4"/>
              <w:bottom w:val="single" w:color="E5E7EB" w:sz="4"/>
              <w:right w:val="single" w:color="E5E7EB" w:sz="4"/>
            </w:tcBorders>
            <w:shd w:fill="0F766E" w:val="clear"/>
            <w:tcMar>
              <w:top w:type="dxa" w:w="100"/>
              <w:left w:type="dxa" w:w="140"/>
              <w:bottom w:type="dxa" w:w="100"/>
              <w:right w:type="dxa" w:w="140"/>
            </w:tcMar>
          </w:tcPr>
          <w:p>
            <w:r>
              <w:rPr>
                <w:rFonts w:ascii="Arial" w:cs="Arial" w:eastAsia="Arial" w:hAnsi="Arial"/>
                <w:b/>
                <w:bCs/>
                <w:color w:val="FFFFFF"/>
                <w:sz w:val="19"/>
                <w:szCs w:val="19"/>
              </w:rPr>
              <w:t xml:space="preserve">Formula</w:t>
            </w:r>
          </w:p>
        </w:tc>
        <w:tc>
          <w:tcPr>
            <w:tcW w:type="dxa" w:w="3480"/>
            <w:tcBorders>
              <w:top w:val="single" w:color="E5E7EB" w:sz="4"/>
              <w:left w:val="single" w:color="E5E7EB" w:sz="4"/>
              <w:bottom w:val="single" w:color="E5E7EB" w:sz="4"/>
              <w:right w:val="single" w:color="E5E7EB" w:sz="4"/>
            </w:tcBorders>
            <w:shd w:fill="0F766E" w:val="clear"/>
            <w:tcMar>
              <w:top w:type="dxa" w:w="100"/>
              <w:left w:type="dxa" w:w="140"/>
              <w:bottom w:type="dxa" w:w="100"/>
              <w:right w:type="dxa" w:w="140"/>
            </w:tcMar>
          </w:tcPr>
          <w:p>
            <w:r>
              <w:rPr>
                <w:rFonts w:ascii="Arial" w:cs="Arial" w:eastAsia="Arial" w:hAnsi="Arial"/>
                <w:b/>
                <w:bCs/>
                <w:color w:val="FFFFFF"/>
                <w:sz w:val="19"/>
                <w:szCs w:val="19"/>
              </w:rPr>
              <w:t xml:space="preserve">Notes</w:t>
            </w:r>
          </w:p>
        </w:tc>
      </w:tr>
      <w:tr>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Asset Turnover</w:t>
            </w:r>
          </w:p>
        </w:tc>
        <w:tc>
          <w:tcPr>
            <w:tcW w:type="dxa" w:w="34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revenue_usd / avg(total_assets_usd)</w:t>
            </w:r>
          </w:p>
        </w:tc>
        <w:tc>
          <w:tcPr>
            <w:tcW w:type="dxa" w:w="34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Average of current and prior period total assets. Uses Assets tag from EDGAR. Available for all companies.</w:t>
            </w:r>
          </w:p>
        </w:tc>
      </w:tr>
      <w:tr>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CapEx Intensity</w:t>
            </w:r>
          </w:p>
        </w:tc>
        <w:tc>
          <w:tcPr>
            <w:tcW w:type="dxa" w:w="348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capex_usd / revenue_usd</w:t>
            </w:r>
          </w:p>
        </w:tc>
        <w:tc>
          <w:tcPr>
            <w:tcW w:type="dxa" w:w="348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CapEx from PaymentsToAcquirePropertyPlantAndEquipment (cash flow statement). Already mapped in tag_resolver. High significance for foundry analysis.</w:t>
            </w:r>
          </w:p>
        </w:tc>
      </w:tr>
      <w:tr>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CapEx to Depreciation</w:t>
            </w:r>
          </w:p>
        </w:tc>
        <w:tc>
          <w:tcPr>
            <w:tcW w:type="dxa" w:w="34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capex_usd / da_usd</w:t>
            </w:r>
          </w:p>
        </w:tc>
        <w:tc>
          <w:tcPr>
            <w:tcW w:type="dxa" w:w="34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Both already in pipeline. Ratio &gt; 1 = capacity expansion. &lt; 1 = capacity contraction. Flag when &lt; 0.7 (significant underinvestment signal).</w:t>
            </w:r>
          </w:p>
        </w:tc>
      </w:tr>
      <w:tr>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Net Debt to EBITDA</w:t>
            </w:r>
          </w:p>
        </w:tc>
        <w:tc>
          <w:tcPr>
            <w:tcW w:type="dxa" w:w="348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(total_debt_usd − cash_usd) / ebitda_usd</w:t>
            </w:r>
          </w:p>
        </w:tc>
        <w:tc>
          <w:tcPr>
            <w:tcW w:type="dxa" w:w="348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total_debt = LongTermDebt + ShortTermDebt. Cash already mapped. EBITDA already calculated. Negative = net cash company. NULL if EBITDA negative.</w:t>
            </w:r>
          </w:p>
        </w:tc>
      </w:tr>
      <w:tr>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FCF Conversion Rate</w:t>
            </w:r>
          </w:p>
        </w:tc>
        <w:tc>
          <w:tcPr>
            <w:tcW w:type="dxa" w:w="34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free_cash_flow_usd / net_income_usd</w:t>
            </w:r>
          </w:p>
        </w:tc>
        <w:tc>
          <w:tcPr>
            <w:tcW w:type="dxa" w:w="34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FCF already calculated. Net income already in metrics. NULL if net income = 0 or negative. Values &gt; 1.0 normal and meaningful — flag values &lt; 0.5 as LOW_FCF_CONVERSION.</w:t>
            </w:r>
          </w:p>
        </w:tc>
      </w:tr>
    </w:tbl>
    <w:p>
      <w:pPr>
        <w:spacing w:after="120" w:before="0"/>
      </w:pPr>
      <w:r>
        <w:t xml:space="preserve"/>
      </w:r>
    </w:p>
    <w:p>
      <w:pPr>
        <w:pStyle w:val="Heading2"/>
        <w:spacing w:after="100" w:before="280"/>
      </w:pPr>
      <w:r>
        <w:rPr>
          <w:rFonts w:ascii="Arial" w:cs="Arial" w:eastAsia="Arial" w:hAnsi="Arial"/>
          <w:b/>
          <w:bCs/>
          <w:color w:val="1B3A5C"/>
          <w:sz w:val="28"/>
          <w:szCs w:val="28"/>
        </w:rPr>
        <w:t xml:space="preserve">Semiconductor-Specific — Mixed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5E7EB" w:sz="4"/>
              <w:left w:val="single" w:color="E5E7EB" w:sz="4"/>
              <w:bottom w:val="single" w:color="E5E7EB" w:sz="4"/>
              <w:right w:val="single" w:color="E5E7EB" w:sz="4"/>
            </w:tcBorders>
            <w:shd w:fill="991B1B" w:val="clear"/>
            <w:tcMar>
              <w:top w:type="dxa" w:w="100"/>
              <w:left w:type="dxa" w:w="140"/>
              <w:bottom w:type="dxa" w:w="100"/>
              <w:right w:type="dxa" w:w="140"/>
            </w:tcMar>
          </w:tcPr>
          <w:p>
            <w:r>
              <w:rPr>
                <w:rFonts w:ascii="Arial" w:cs="Arial" w:eastAsia="Arial" w:hAnsi="Arial"/>
                <w:b/>
                <w:bCs/>
                <w:color w:val="FFFFFF"/>
                <w:sz w:val="19"/>
                <w:szCs w:val="19"/>
              </w:rPr>
              <w:t xml:space="preserve">Metric</w:t>
            </w:r>
          </w:p>
        </w:tc>
        <w:tc>
          <w:tcPr>
            <w:tcW w:type="dxa" w:w="3480"/>
            <w:tcBorders>
              <w:top w:val="single" w:color="E5E7EB" w:sz="4"/>
              <w:left w:val="single" w:color="E5E7EB" w:sz="4"/>
              <w:bottom w:val="single" w:color="E5E7EB" w:sz="4"/>
              <w:right w:val="single" w:color="E5E7EB" w:sz="4"/>
            </w:tcBorders>
            <w:shd w:fill="991B1B" w:val="clear"/>
            <w:tcMar>
              <w:top w:type="dxa" w:w="100"/>
              <w:left w:type="dxa" w:w="140"/>
              <w:bottom w:type="dxa" w:w="100"/>
              <w:right w:type="dxa" w:w="140"/>
            </w:tcMar>
          </w:tcPr>
          <w:p>
            <w:r>
              <w:rPr>
                <w:rFonts w:ascii="Arial" w:cs="Arial" w:eastAsia="Arial" w:hAnsi="Arial"/>
                <w:b/>
                <w:bCs/>
                <w:color w:val="FFFFFF"/>
                <w:sz w:val="19"/>
                <w:szCs w:val="19"/>
              </w:rPr>
              <w:t xml:space="preserve">Source &amp; Calculation</w:t>
            </w:r>
          </w:p>
        </w:tc>
        <w:tc>
          <w:tcPr>
            <w:tcW w:type="dxa" w:w="3480"/>
            <w:tcBorders>
              <w:top w:val="single" w:color="E5E7EB" w:sz="4"/>
              <w:left w:val="single" w:color="E5E7EB" w:sz="4"/>
              <w:bottom w:val="single" w:color="E5E7EB" w:sz="4"/>
              <w:right w:val="single" w:color="E5E7EB" w:sz="4"/>
            </w:tcBorders>
            <w:shd w:fill="991B1B" w:val="clear"/>
            <w:tcMar>
              <w:top w:type="dxa" w:w="100"/>
              <w:left w:type="dxa" w:w="140"/>
              <w:bottom w:type="dxa" w:w="100"/>
              <w:right w:type="dxa" w:w="140"/>
            </w:tcMar>
          </w:tcPr>
          <w:p>
            <w:r>
              <w:rPr>
                <w:rFonts w:ascii="Arial" w:cs="Arial" w:eastAsia="Arial" w:hAnsi="Arial"/>
                <w:b/>
                <w:bCs/>
                <w:color w:val="FFFFFF"/>
                <w:sz w:val="19"/>
                <w:szCs w:val="19"/>
              </w:rPr>
              <w:t xml:space="preserve">Pipeline Notes</w:t>
            </w:r>
          </w:p>
        </w:tc>
      </w:tr>
      <w:tr>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Customer Concentration Top 3</w:t>
            </w:r>
          </w:p>
        </w:tc>
        <w:tc>
          <w:tcPr>
            <w:tcW w:type="dxa" w:w="34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text_facts table — confidence-scored extraction from 10-K</w:t>
            </w:r>
          </w:p>
        </w:tc>
        <w:tc>
          <w:tcPr>
            <w:tcW w:type="dxa" w:w="34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Run text_extractor.py annually per 10-K. Store raw_excerpt for audit. Confidence flag applied to metrics table.</w:t>
            </w:r>
          </w:p>
        </w:tc>
      </w:tr>
      <w:tr>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Customer Concentration Top 10</w:t>
            </w:r>
          </w:p>
        </w:tc>
        <w:tc>
          <w:tcPr>
            <w:tcW w:type="dxa" w:w="348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text_facts table</w:t>
            </w:r>
          </w:p>
        </w:tc>
        <w:tc>
          <w:tcPr>
            <w:tcW w:type="dxa" w:w="348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Same extraction. Many companies only disclose customers &gt; 10% individually — Top 10 may be estimated. Confidence = low when estimated.</w:t>
            </w:r>
          </w:p>
        </w:tc>
      </w:tr>
      <w:tr>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China Revenue %</w:t>
            </w:r>
          </w:p>
        </w:tc>
        <w:tc>
          <w:tcPr>
            <w:tcW w:type="dxa" w:w="34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text_facts table — geographic segment extraction</w:t>
            </w:r>
          </w:p>
        </w:tc>
        <w:tc>
          <w:tcPr>
            <w:tcW w:type="dxa" w:w="34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Normalize naming: 'China', 'Greater China', 'PRC', 'Asia Pacific (China)' all mapped to china_revenue_pct. Store raw label for audit.</w:t>
            </w:r>
          </w:p>
        </w:tc>
      </w:tr>
      <w:tr>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R&amp;D Intensity vs Sector</w:t>
            </w:r>
          </w:p>
        </w:tc>
        <w:tc>
          <w:tcPr>
            <w:tcW w:type="dxa" w:w="348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company R&amp;D margin − sector median R&amp;D margin from FinMetrics peer set</w:t>
            </w:r>
          </w:p>
        </w:tc>
        <w:tc>
          <w:tcPr>
            <w:tcW w:type="dxa" w:w="348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Calculated after sector peer set has sufficient coverage (Phase 2). Sector median calculated from all metrics rows with matching semi_sub_sector + latest period. NULL in Phase 1.</w:t>
            </w:r>
          </w:p>
        </w:tc>
      </w:tr>
    </w:tbl>
    <w:p>
      <w:pPr>
        <w:spacing w:after="120" w:before="0"/>
      </w:pPr>
      <w:r>
        <w:t xml:space="preserve"/>
      </w:r>
    </w:p>
    <w:p>
      <w:pPr>
        <w:pStyle w:val="Heading2"/>
        <w:spacing w:after="100" w:before="280"/>
      </w:pPr>
      <w:r>
        <w:rPr>
          <w:rFonts w:ascii="Arial" w:cs="Arial" w:eastAsia="Arial" w:hAnsi="Arial"/>
          <w:b/>
          <w:bCs/>
          <w:color w:val="1B3A5C"/>
          <w:sz w:val="28"/>
          <w:szCs w:val="28"/>
        </w:rPr>
        <w:t xml:space="preserve">Cash Flow Quality — EDGAR Calculable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5E7EB" w:sz="4"/>
              <w:left w:val="single" w:color="E5E7EB" w:sz="4"/>
              <w:bottom w:val="single" w:color="E5E7EB" w:sz="4"/>
              <w:right w:val="single" w:color="E5E7EB" w:sz="4"/>
            </w:tcBorders>
            <w:shd w:fill="5B21B6" w:val="clear"/>
            <w:tcMar>
              <w:top w:type="dxa" w:w="100"/>
              <w:left w:type="dxa" w:w="140"/>
              <w:bottom w:type="dxa" w:w="100"/>
              <w:right w:type="dxa" w:w="140"/>
            </w:tcMar>
          </w:tcPr>
          <w:p>
            <w:r>
              <w:rPr>
                <w:rFonts w:ascii="Arial" w:cs="Arial" w:eastAsia="Arial" w:hAnsi="Arial"/>
                <w:b/>
                <w:bCs/>
                <w:color w:val="FFFFFF"/>
                <w:sz w:val="19"/>
                <w:szCs w:val="19"/>
              </w:rPr>
              <w:t xml:space="preserve">Metric</w:t>
            </w:r>
          </w:p>
        </w:tc>
        <w:tc>
          <w:tcPr>
            <w:tcW w:type="dxa" w:w="3480"/>
            <w:tcBorders>
              <w:top w:val="single" w:color="E5E7EB" w:sz="4"/>
              <w:left w:val="single" w:color="E5E7EB" w:sz="4"/>
              <w:bottom w:val="single" w:color="E5E7EB" w:sz="4"/>
              <w:right w:val="single" w:color="E5E7EB" w:sz="4"/>
            </w:tcBorders>
            <w:shd w:fill="5B21B6" w:val="clear"/>
            <w:tcMar>
              <w:top w:type="dxa" w:w="100"/>
              <w:left w:type="dxa" w:w="140"/>
              <w:bottom w:type="dxa" w:w="100"/>
              <w:right w:type="dxa" w:w="140"/>
            </w:tcMar>
          </w:tcPr>
          <w:p>
            <w:r>
              <w:rPr>
                <w:rFonts w:ascii="Arial" w:cs="Arial" w:eastAsia="Arial" w:hAnsi="Arial"/>
                <w:b/>
                <w:bCs/>
                <w:color w:val="FFFFFF"/>
                <w:sz w:val="19"/>
                <w:szCs w:val="19"/>
              </w:rPr>
              <w:t xml:space="preserve">Formula</w:t>
            </w:r>
          </w:p>
        </w:tc>
        <w:tc>
          <w:tcPr>
            <w:tcW w:type="dxa" w:w="3480"/>
            <w:tcBorders>
              <w:top w:val="single" w:color="E5E7EB" w:sz="4"/>
              <w:left w:val="single" w:color="E5E7EB" w:sz="4"/>
              <w:bottom w:val="single" w:color="E5E7EB" w:sz="4"/>
              <w:right w:val="single" w:color="E5E7EB" w:sz="4"/>
            </w:tcBorders>
            <w:shd w:fill="5B21B6" w:val="clear"/>
            <w:tcMar>
              <w:top w:type="dxa" w:w="100"/>
              <w:left w:type="dxa" w:w="140"/>
              <w:bottom w:type="dxa" w:w="100"/>
              <w:right w:type="dxa" w:w="140"/>
            </w:tcMar>
          </w:tcPr>
          <w:p>
            <w:r>
              <w:rPr>
                <w:rFonts w:ascii="Arial" w:cs="Arial" w:eastAsia="Arial" w:hAnsi="Arial"/>
                <w:b/>
                <w:bCs/>
                <w:color w:val="FFFFFF"/>
                <w:sz w:val="19"/>
                <w:szCs w:val="19"/>
              </w:rPr>
              <w:t xml:space="preserve">Notes</w:t>
            </w:r>
          </w:p>
        </w:tc>
      </w:tr>
      <w:tr>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FCF Conversion (vs EBITDA)</w:t>
            </w:r>
          </w:p>
        </w:tc>
        <w:tc>
          <w:tcPr>
            <w:tcW w:type="dxa" w:w="34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free_cash_flow_usd / ebitda_usd</w:t>
            </w:r>
          </w:p>
        </w:tc>
        <w:tc>
          <w:tcPr>
            <w:tcW w:type="dxa" w:w="34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Distinct from FCF Conversion Rate (vs net income). This measures how much EBITDA converts to cash. Low ratio for foundries expected — high CapEx consumes EBITDA. NULL if EBITDA negative.</w:t>
            </w:r>
          </w:p>
        </w:tc>
      </w:tr>
      <w:tr>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Cash Earnings</w:t>
            </w:r>
          </w:p>
        </w:tc>
        <w:tc>
          <w:tcPr>
            <w:tcW w:type="dxa" w:w="348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net_income_usd + da_usd</w:t>
            </w:r>
          </w:p>
        </w:tc>
        <w:tc>
          <w:tcPr>
            <w:tcW w:type="dxa" w:w="348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Simple addition. Both already in metrics. Always calculable where both components present. Not a substitute for full FCF analysis — use as quick liquidity proxy.</w:t>
            </w:r>
          </w:p>
        </w:tc>
      </w:tr>
      <w:tr>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Days Cash On Hand</w:t>
            </w:r>
          </w:p>
        </w:tc>
        <w:tc>
          <w:tcPr>
            <w:tcW w:type="dxa" w:w="34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cash_usd / (operating_expenses_usd / 365)</w:t>
            </w:r>
          </w:p>
        </w:tc>
        <w:tc>
          <w:tcPr>
            <w:tcW w:type="dxa" w:w="34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Operating expenses = COGS + SG&amp;A + R&amp;D (total cash operating expenses). Use 365-day denominator. Flag when &lt; 60 days as LOW_CASH_RUNWAY. Flag when &gt; 365 days as EXCESS_CASH.</w:t>
            </w:r>
          </w:p>
        </w:tc>
      </w:tr>
    </w:tbl>
    <w:p>
      <w:pPr>
        <w:spacing w:after="120" w:before="0"/>
      </w:pPr>
      <w:r>
        <w:t xml:space="preserve"/>
      </w:r>
    </w:p>
    <w:p>
      <w:r>
        <w:br w:type="page"/>
      </w:r>
    </w:p>
    <w:p>
      <w:pPr>
        <w:pStyle w:val="Heading1"/>
        <w:pBdr>
          <w:bottom w:val="single" w:color="2563EB" w:sz="8" w:space="4"/>
        </w:pBdr>
        <w:spacing w:after="120" w:before="360"/>
      </w:pPr>
      <w:r>
        <w:rPr>
          <w:rFonts w:ascii="Arial" w:cs="Arial" w:eastAsia="Arial" w:hAnsi="Arial"/>
          <w:b/>
          <w:bCs/>
          <w:color w:val="0D1B2A"/>
          <w:sz w:val="36"/>
          <w:szCs w:val="36"/>
        </w:rPr>
        <w:t xml:space="preserve">Section 5 — New Data Quality Flags</w:t>
      </w:r>
    </w:p>
    <w:p>
      <w:pPr>
        <w:spacing w:after="100" w:before="60"/>
      </w:pPr>
      <w:r>
        <w:rPr>
          <w:rFonts w:ascii="Arial" w:cs="Arial" w:eastAsia="Arial" w:hAnsi="Arial"/>
          <w:color w:val="374151"/>
          <w:sz w:val="22"/>
          <w:szCs w:val="22"/>
        </w:rPr>
        <w:t xml:space="preserve">The expanded metric set introduces five new flag types, bringing the total flag registry to 17. Each flag is surfaced on the dashboard per metric, stored in the flags table, and included in the accounting_flags JSONB column and corresponding boolean columns on the metrics table.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000"/>
        <w:gridCol w:w="2160"/>
      </w:tblGrid>
      <w:tr>
        <w:tc>
          <w:tcPr>
            <w:tcW w:type="dxa" w:w="2400"/>
            <w:tcBorders>
              <w:top w:val="single" w:color="E5E7EB" w:sz="4"/>
              <w:left w:val="single" w:color="E5E7EB" w:sz="4"/>
              <w:bottom w:val="single" w:color="E5E7EB" w:sz="4"/>
              <w:right w:val="single" w:color="E5E7EB" w:sz="4"/>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Flag Code</w:t>
            </w:r>
          </w:p>
        </w:tc>
        <w:tc>
          <w:tcPr>
            <w:tcW w:type="dxa" w:w="2800"/>
            <w:tcBorders>
              <w:top w:val="single" w:color="E5E7EB" w:sz="4"/>
              <w:left w:val="single" w:color="E5E7EB" w:sz="4"/>
              <w:bottom w:val="single" w:color="E5E7EB" w:sz="4"/>
              <w:right w:val="single" w:color="E5E7EB" w:sz="4"/>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Trigger</w:t>
            </w:r>
          </w:p>
        </w:tc>
        <w:tc>
          <w:tcPr>
            <w:tcW w:type="dxa" w:w="2000"/>
            <w:tcBorders>
              <w:top w:val="single" w:color="E5E7EB" w:sz="4"/>
              <w:left w:val="single" w:color="E5E7EB" w:sz="4"/>
              <w:bottom w:val="single" w:color="E5E7EB" w:sz="4"/>
              <w:right w:val="single" w:color="E5E7EB" w:sz="4"/>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Severity</w:t>
            </w:r>
          </w:p>
        </w:tc>
        <w:tc>
          <w:tcPr>
            <w:tcW w:type="dxa" w:w="2160"/>
            <w:tcBorders>
              <w:top w:val="single" w:color="E5E7EB" w:sz="4"/>
              <w:left w:val="single" w:color="E5E7EB" w:sz="4"/>
              <w:bottom w:val="single" w:color="E5E7EB" w:sz="4"/>
              <w:right w:val="single" w:color="E5E7EB" w:sz="4"/>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Metrics Affected</w:t>
            </w:r>
          </w:p>
        </w:tc>
      </w:tr>
      <w:tr>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PRICE_UNAVAILABLE</w:t>
            </w:r>
          </w:p>
        </w:tc>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No price data available for this company on this date</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warning</w:t>
            </w:r>
          </w:p>
        </w:tc>
        <w:tc>
          <w:tcPr>
            <w:tcW w:type="dxa" w:w="2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All 5 valuation multiples — set to NULL</w:t>
            </w:r>
          </w:p>
        </w:tc>
      </w:tr>
      <w:tr>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PRICE_STALE</w:t>
            </w:r>
          </w:p>
        </w:tc>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Price data more than 5 trading days old</w:t>
            </w:r>
          </w:p>
        </w:tc>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info</w:t>
            </w:r>
          </w:p>
        </w:tc>
        <w:tc>
          <w:tcPr>
            <w:tcW w:type="dxa" w:w="2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All valuation multiples — flag staleness</w:t>
            </w:r>
          </w:p>
        </w:tc>
      </w:tr>
      <w:tr>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TEXT_LOW_CONFIDENCE</w:t>
            </w:r>
          </w:p>
        </w:tc>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Customer concentration or geo revenue extracted with low confidence</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warning</w:t>
            </w:r>
          </w:p>
        </w:tc>
        <w:tc>
          <w:tcPr>
            <w:tcW w:type="dxa" w:w="2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customer_conc_top3, customer_conc_top10, china_revenue_pct</w:t>
            </w:r>
          </w:p>
        </w:tc>
      </w:tr>
      <w:tr>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TEXT_NOT_DISCLOSED</w:t>
            </w:r>
          </w:p>
        </w:tc>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Company does not disclose customer or geographic concentration data</w:t>
            </w:r>
          </w:p>
        </w:tc>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info</w:t>
            </w:r>
          </w:p>
        </w:tc>
        <w:tc>
          <w:tcPr>
            <w:tcW w:type="dxa" w:w="2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Same metrics — NULL with disclosure flag</w:t>
            </w:r>
          </w:p>
        </w:tc>
      </w:tr>
      <w:tr>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BTB_SECTOR_ONLY</w:t>
            </w:r>
          </w:p>
        </w:tc>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Book-to-bill from sector data only — company-level not available</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info</w:t>
            </w:r>
          </w:p>
        </w:tc>
        <w:tc>
          <w:tcPr>
            <w:tcW w:type="dxa" w:w="2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book_to_bill — sector-level value shown</w:t>
            </w:r>
          </w:p>
        </w:tc>
      </w:tr>
      <w:tr>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LOW_FCF_CONVERSION</w:t>
            </w:r>
          </w:p>
        </w:tc>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FCF conversion rate below 0.5 — earnings quality concern</w:t>
            </w:r>
          </w:p>
        </w:tc>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warning</w:t>
            </w:r>
          </w:p>
        </w:tc>
        <w:tc>
          <w:tcPr>
            <w:tcW w:type="dxa" w:w="2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fcf_conversion_rate</w:t>
            </w:r>
          </w:p>
        </w:tc>
      </w:tr>
      <w:tr>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LOW_CASH_RUNWAY</w:t>
            </w:r>
          </w:p>
        </w:tc>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Days cash on hand below 60 — liquidity concern</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alert</w:t>
            </w:r>
          </w:p>
        </w:tc>
        <w:tc>
          <w:tcPr>
            <w:tcW w:type="dxa" w:w="2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days_cash_on_hand</w:t>
            </w:r>
          </w:p>
        </w:tc>
      </w:tr>
      <w:tr>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EXCESS_CASH</w:t>
            </w:r>
          </w:p>
        </w:tc>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Days cash on hand above 365 — potential capital allocation inefficiency</w:t>
            </w:r>
          </w:p>
        </w:tc>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info</w:t>
            </w:r>
          </w:p>
        </w:tc>
        <w:tc>
          <w:tcPr>
            <w:tcW w:type="dxa" w:w="2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days_cash_on_hand</w:t>
            </w:r>
          </w:p>
        </w:tc>
      </w:tr>
      <w:tr>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NEGATIVE_EV</w:t>
            </w:r>
          </w:p>
        </w:tc>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Enterprise value is negative (net cash exceeds market cap)</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info</w:t>
            </w:r>
          </w:p>
        </w:tc>
        <w:tc>
          <w:tcPr>
            <w:tcW w:type="dxa" w:w="2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All EV multiples — shown as negative, not NULL</w:t>
            </w:r>
          </w:p>
        </w:tc>
      </w:tr>
      <w:tr>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CAPEX_UNDERINVESTMENT</w:t>
            </w:r>
          </w:p>
        </w:tc>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CapEx to depreciation below 0.7 — asset base contracting</w:t>
            </w:r>
          </w:p>
        </w:tc>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warning</w:t>
            </w:r>
          </w:p>
        </w:tc>
        <w:tc>
          <w:tcPr>
            <w:tcW w:type="dxa" w:w="2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capex_to_depreciation</w:t>
            </w:r>
          </w:p>
        </w:tc>
      </w:tr>
    </w:tbl>
    <w:p>
      <w:pPr>
        <w:spacing w:after="120" w:before="0"/>
      </w:pPr>
      <w:r>
        <w:t xml:space="preserve"/>
      </w:r>
    </w:p>
    <w:p>
      <w:r>
        <w:br w:type="page"/>
      </w:r>
    </w:p>
    <w:p>
      <w:pPr>
        <w:pStyle w:val="Heading1"/>
        <w:pBdr>
          <w:bottom w:val="single" w:color="2563EB" w:sz="8" w:space="4"/>
        </w:pBdr>
        <w:spacing w:after="120" w:before="360"/>
      </w:pPr>
      <w:r>
        <w:rPr>
          <w:rFonts w:ascii="Arial" w:cs="Arial" w:eastAsia="Arial" w:hAnsi="Arial"/>
          <w:b/>
          <w:bCs/>
          <w:color w:val="0D1B2A"/>
          <w:sz w:val="36"/>
          <w:szCs w:val="36"/>
        </w:rPr>
        <w:t xml:space="preserve">Section 6 — Phase Sequencing for New Metrics</w:t>
      </w:r>
    </w:p>
    <w:p>
      <w:pPr>
        <w:spacing w:after="100" w:before="60"/>
      </w:pPr>
      <w:r>
        <w:rPr>
          <w:rFonts w:ascii="Arial" w:cs="Arial" w:eastAsia="Arial" w:hAnsi="Arial"/>
          <w:color w:val="374151"/>
          <w:sz w:val="22"/>
          <w:szCs w:val="22"/>
        </w:rPr>
        <w:t xml:space="preserve">Not all 20 new metrics are built in Phase 1. They are sequenced by data source availability, pipeline complexity, and analytical priority. This section defines exactly when each metric becomes available and what enables it.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160"/>
        <w:gridCol w:w="1800"/>
        <w:gridCol w:w="1800"/>
      </w:tblGrid>
      <w:tr>
        <w:tc>
          <w:tcPr>
            <w:tcW w:type="dxa" w:w="1200"/>
            <w:tcBorders>
              <w:top w:val="single" w:color="E5E7EB" w:sz="4"/>
              <w:left w:val="single" w:color="E5E7EB" w:sz="4"/>
              <w:bottom w:val="single" w:color="E5E7EB" w:sz="4"/>
              <w:right w:val="single" w:color="E5E7EB" w:sz="4"/>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Phase</w:t>
            </w:r>
          </w:p>
        </w:tc>
        <w:tc>
          <w:tcPr>
            <w:tcW w:type="dxa" w:w="2400"/>
            <w:tcBorders>
              <w:top w:val="single" w:color="E5E7EB" w:sz="4"/>
              <w:left w:val="single" w:color="E5E7EB" w:sz="4"/>
              <w:bottom w:val="single" w:color="E5E7EB" w:sz="4"/>
              <w:right w:val="single" w:color="E5E7EB" w:sz="4"/>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Metrics Available</w:t>
            </w:r>
          </w:p>
        </w:tc>
        <w:tc>
          <w:tcPr>
            <w:tcW w:type="dxa" w:w="2160"/>
            <w:tcBorders>
              <w:top w:val="single" w:color="E5E7EB" w:sz="4"/>
              <w:left w:val="single" w:color="E5E7EB" w:sz="4"/>
              <w:bottom w:val="single" w:color="E5E7EB" w:sz="4"/>
              <w:right w:val="single" w:color="E5E7EB" w:sz="4"/>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What Enables It</w:t>
            </w:r>
          </w:p>
        </w:tc>
        <w:tc>
          <w:tcPr>
            <w:tcW w:type="dxa" w:w="1800"/>
            <w:tcBorders>
              <w:top w:val="single" w:color="E5E7EB" w:sz="4"/>
              <w:left w:val="single" w:color="E5E7EB" w:sz="4"/>
              <w:bottom w:val="single" w:color="E5E7EB" w:sz="4"/>
              <w:right w:val="single" w:color="E5E7EB" w:sz="4"/>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New Components</w:t>
            </w:r>
          </w:p>
        </w:tc>
        <w:tc>
          <w:tcPr>
            <w:tcW w:type="dxa" w:w="1800"/>
            <w:tcBorders>
              <w:top w:val="single" w:color="E5E7EB" w:sz="4"/>
              <w:left w:val="single" w:color="E5E7EB" w:sz="4"/>
              <w:bottom w:val="single" w:color="E5E7EB" w:sz="4"/>
              <w:right w:val="single" w:color="E5E7EB" w:sz="4"/>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Count</w:t>
            </w:r>
          </w:p>
        </w:tc>
      </w:tr>
      <w:tr>
        <w:tc>
          <w:tcPr>
            <w:tcW w:type="dxa" w:w="1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Phase 1</w:t>
            </w:r>
          </w:p>
        </w:tc>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Gross Profit Growth, Asset Turnover, CapEx Intensity, CapEx/Depreciation, Net Debt/EBITDA, FCF Conversion Rate, FCF/EBITDA, Cash Earnings, Days Cash On Hand</w:t>
            </w:r>
          </w:p>
        </w:tc>
        <w:tc>
          <w:tcPr>
            <w:tcW w:type="dxa" w:w="2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All calculable from EDGAR XBRL — no new data sources. Add new columns to metrics table and calculation logic to metric engine.</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None — extends existing pipeline</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9 new metrics</w:t>
            </w:r>
          </w:p>
        </w:tc>
      </w:tr>
      <w:tr>
        <w:tc>
          <w:tcPr>
            <w:tcW w:type="dxa" w:w="1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Phase 2</w:t>
            </w:r>
          </w:p>
        </w:tc>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EV/EBITDA, EV/Revenue, EV/Gross Profit, P/E, P/FCF, Rule of 40, Gross Profit Growth (TTM), Sector Book-to-Bill, R&amp;D Intensity vs Sector</w:t>
            </w:r>
          </w:p>
        </w:tc>
        <w:tc>
          <w:tcPr>
            <w:tcW w:type="dxa" w:w="2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price_connector.py for valuation metrics. Sector peer set populated for R&amp;D benchmarking. SEMI connector for book-to-bill.</w:t>
            </w:r>
          </w:p>
        </w:tc>
        <w:tc>
          <w:tcPr>
            <w:tcW w:type="dxa" w:w="1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price_connector.py, semi_connector.py, prices table</w:t>
            </w:r>
          </w:p>
        </w:tc>
        <w:tc>
          <w:tcPr>
            <w:tcW w:type="dxa" w:w="1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8 new metrics + context</w:t>
            </w:r>
          </w:p>
        </w:tc>
      </w:tr>
      <w:tr>
        <w:tc>
          <w:tcPr>
            <w:tcW w:type="dxa" w:w="1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Phase 3</w:t>
            </w:r>
          </w:p>
        </w:tc>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Customer Concentration Top 3 and Top 10, Geographic Revenue (China %, US %, Europe %), Company-level Book-to-Bill</w:t>
            </w:r>
          </w:p>
        </w:tc>
        <w:tc>
          <w:tcPr>
            <w:tcW w:type="dxa" w:w="2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text_extractor.py for 10-K text parsing. Sufficient filing coverage for text extraction to be reliable.</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text_extractor.py, text_facts table, company_book_to_bill table</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7 new metrics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6"/>
              <w:bottom w:val="single" w:color="2563EB" w:sz="4"/>
              <w:right w:val="none" w:color="FFFFFF" w:sz="0"/>
            </w:tcBorders>
            <w:shd w:fill="F0F7FF" w:val="clear"/>
            <w:tcMar>
              <w:top w:type="dxa" w:w="160"/>
              <w:left w:type="dxa" w:w="240"/>
              <w:bottom w:type="dxa" w:w="160"/>
              <w:right w:type="dxa" w:w="240"/>
            </w:tcMar>
          </w:tcPr>
          <w:p>
            <w:r>
              <w:rPr>
                <w:rFonts w:ascii="Arial" w:cs="Arial" w:eastAsia="Arial" w:hAnsi="Arial"/>
                <w:i/>
                <w:iCs/>
                <w:color w:val="0D1B2A"/>
                <w:sz w:val="22"/>
                <w:szCs w:val="22"/>
              </w:rPr>
              <w:t xml:space="preserve">Phase 1 delivers 9 new metrics for free — pure EDGAR XBRL, no new data sources, extends the existing pipeline. The most analytically valuable additions (CapEx intensity for foundry analysis, net debt/EBITDA for credit assessment, FCF conversion for earnings quality) are all Phase 1. The valuation metrics follow in Phase 2. The text extraction work follows in Phase 3. The complexity is sequenced, not front-loaded.</w:t>
            </w:r>
          </w:p>
        </w:tc>
      </w:tr>
    </w:tbl>
    <w:p>
      <w:pPr>
        <w:spacing w:after="120" w:before="0"/>
      </w:pPr>
      <w:r>
        <w:t xml:space="preserve"/>
      </w:r>
    </w:p>
    <w:p>
      <w:r>
        <w:br w:type="page"/>
      </w:r>
    </w:p>
    <w:p>
      <w:pPr>
        <w:pStyle w:val="Heading1"/>
        <w:pBdr>
          <w:bottom w:val="single" w:color="2563EB" w:sz="8" w:space="4"/>
        </w:pBdr>
        <w:spacing w:after="120" w:before="360"/>
      </w:pPr>
      <w:r>
        <w:rPr>
          <w:rFonts w:ascii="Arial" w:cs="Arial" w:eastAsia="Arial" w:hAnsi="Arial"/>
          <w:b/>
          <w:bCs/>
          <w:color w:val="0D1B2A"/>
          <w:sz w:val="36"/>
          <w:szCs w:val="36"/>
        </w:rPr>
        <w:t xml:space="preserve">Section 7 — Parked: Private Company Metrics (Phase 3)</w:t>
      </w:r>
    </w:p>
    <w:p>
      <w:pPr>
        <w:spacing w:after="100" w:before="60"/>
      </w:pPr>
      <w:r>
        <w:rPr>
          <w:rFonts w:ascii="Arial" w:cs="Arial" w:eastAsia="Arial" w:hAnsi="Arial"/>
          <w:color w:val="374151"/>
          <w:sz w:val="22"/>
          <w:szCs w:val="22"/>
        </w:rPr>
        <w:t xml:space="preserve">Twelve metrics applicable exclusively to private company analysis are formally documented and parked here. They do not belong in the FinMetrics public company pipeline. They activate when Borowy Consulting Phase 3 deploys the private client practice. Full methodology is in FinMetrics Appendix A.</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400"/>
        <w:gridCol w:w="2000"/>
        <w:gridCol w:w="1760"/>
      </w:tblGrid>
      <w:tr>
        <w:tc>
          <w:tcPr>
            <w:tcW w:type="dxa" w:w="1200"/>
            <w:tcBorders>
              <w:top w:val="single" w:color="E5E7EB" w:sz="4"/>
              <w:left w:val="single" w:color="E5E7EB" w:sz="4"/>
              <w:bottom w:val="single" w:color="E5E7EB" w:sz="4"/>
              <w:right w:val="single" w:color="E5E7EB" w:sz="4"/>
            </w:tcBorders>
            <w:shd w:fill="424242" w:val="clear"/>
            <w:tcMar>
              <w:top w:type="dxa" w:w="100"/>
              <w:left w:type="dxa" w:w="140"/>
              <w:bottom w:type="dxa" w:w="100"/>
              <w:right w:type="dxa" w:w="140"/>
            </w:tcMar>
          </w:tcPr>
          <w:p>
            <w:r>
              <w:rPr>
                <w:rFonts w:ascii="Arial" w:cs="Arial" w:eastAsia="Arial" w:hAnsi="Arial"/>
                <w:b/>
                <w:bCs/>
                <w:color w:val="FFFFFF"/>
                <w:sz w:val="19"/>
                <w:szCs w:val="19"/>
              </w:rPr>
              <w:t xml:space="preserve">Category</w:t>
            </w:r>
          </w:p>
        </w:tc>
        <w:tc>
          <w:tcPr>
            <w:tcW w:type="dxa" w:w="2000"/>
            <w:tcBorders>
              <w:top w:val="single" w:color="E5E7EB" w:sz="4"/>
              <w:left w:val="single" w:color="E5E7EB" w:sz="4"/>
              <w:bottom w:val="single" w:color="E5E7EB" w:sz="4"/>
              <w:right w:val="single" w:color="E5E7EB" w:sz="4"/>
            </w:tcBorders>
            <w:shd w:fill="424242" w:val="clear"/>
            <w:tcMar>
              <w:top w:type="dxa" w:w="100"/>
              <w:left w:type="dxa" w:w="140"/>
              <w:bottom w:type="dxa" w:w="100"/>
              <w:right w:type="dxa" w:w="140"/>
            </w:tcMar>
          </w:tcPr>
          <w:p>
            <w:r>
              <w:rPr>
                <w:rFonts w:ascii="Arial" w:cs="Arial" w:eastAsia="Arial" w:hAnsi="Arial"/>
                <w:b/>
                <w:bCs/>
                <w:color w:val="FFFFFF"/>
                <w:sz w:val="19"/>
                <w:szCs w:val="19"/>
              </w:rPr>
              <w:t xml:space="preserve">Metric</w:t>
            </w:r>
          </w:p>
        </w:tc>
        <w:tc>
          <w:tcPr>
            <w:tcW w:type="dxa" w:w="2400"/>
            <w:tcBorders>
              <w:top w:val="single" w:color="E5E7EB" w:sz="4"/>
              <w:left w:val="single" w:color="E5E7EB" w:sz="4"/>
              <w:bottom w:val="single" w:color="E5E7EB" w:sz="4"/>
              <w:right w:val="single" w:color="E5E7EB" w:sz="4"/>
            </w:tcBorders>
            <w:shd w:fill="424242" w:val="clear"/>
            <w:tcMar>
              <w:top w:type="dxa" w:w="100"/>
              <w:left w:type="dxa" w:w="140"/>
              <w:bottom w:type="dxa" w:w="100"/>
              <w:right w:type="dxa" w:w="140"/>
            </w:tcMar>
          </w:tcPr>
          <w:p>
            <w:r>
              <w:rPr>
                <w:rFonts w:ascii="Arial" w:cs="Arial" w:eastAsia="Arial" w:hAnsi="Arial"/>
                <w:b/>
                <w:bCs/>
                <w:color w:val="FFFFFF"/>
                <w:sz w:val="19"/>
                <w:szCs w:val="19"/>
              </w:rPr>
              <w:t xml:space="preserve">Formula</w:t>
            </w:r>
          </w:p>
        </w:tc>
        <w:tc>
          <w:tcPr>
            <w:tcW w:type="dxa" w:w="2000"/>
            <w:tcBorders>
              <w:top w:val="single" w:color="E5E7EB" w:sz="4"/>
              <w:left w:val="single" w:color="E5E7EB" w:sz="4"/>
              <w:bottom w:val="single" w:color="E5E7EB" w:sz="4"/>
              <w:right w:val="single" w:color="E5E7EB" w:sz="4"/>
            </w:tcBorders>
            <w:shd w:fill="424242" w:val="clear"/>
            <w:tcMar>
              <w:top w:type="dxa" w:w="100"/>
              <w:left w:type="dxa" w:w="140"/>
              <w:bottom w:type="dxa" w:w="100"/>
              <w:right w:type="dxa" w:w="140"/>
            </w:tcMar>
          </w:tcPr>
          <w:p>
            <w:r>
              <w:rPr>
                <w:rFonts w:ascii="Arial" w:cs="Arial" w:eastAsia="Arial" w:hAnsi="Arial"/>
                <w:b/>
                <w:bCs/>
                <w:color w:val="FFFFFF"/>
                <w:sz w:val="19"/>
                <w:szCs w:val="19"/>
              </w:rPr>
              <w:t xml:space="preserve">Activation</w:t>
            </w:r>
          </w:p>
        </w:tc>
        <w:tc>
          <w:tcPr>
            <w:tcW w:type="dxa" w:w="1760"/>
            <w:tcBorders>
              <w:top w:val="single" w:color="E5E7EB" w:sz="4"/>
              <w:left w:val="single" w:color="E5E7EB" w:sz="4"/>
              <w:bottom w:val="single" w:color="E5E7EB" w:sz="4"/>
              <w:right w:val="single" w:color="E5E7EB" w:sz="4"/>
            </w:tcBorders>
            <w:shd w:fill="424242" w:val="clear"/>
            <w:tcMar>
              <w:top w:type="dxa" w:w="100"/>
              <w:left w:type="dxa" w:w="140"/>
              <w:bottom w:type="dxa" w:w="100"/>
              <w:right w:type="dxa" w:w="140"/>
            </w:tcMar>
          </w:tcPr>
          <w:p>
            <w:r>
              <w:rPr>
                <w:rFonts w:ascii="Arial" w:cs="Arial" w:eastAsia="Arial" w:hAnsi="Arial"/>
                <w:b/>
                <w:bCs/>
                <w:color w:val="FFFFFF"/>
                <w:sz w:val="19"/>
                <w:szCs w:val="19"/>
              </w:rPr>
              <w:t xml:space="preserve">Why Parked</w:t>
            </w:r>
          </w:p>
        </w:tc>
      </w:tr>
      <w:tr>
        <w:tc>
          <w:tcPr>
            <w:tcW w:type="dxa" w:w="1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Private Valuation</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Seller's Discretionary Earnings</w:t>
            </w:r>
          </w:p>
        </w:tc>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Net Income + Owner Comp + Interest + D&amp;A + Non-Recurring</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Phase 3 — first private client</w:t>
            </w:r>
          </w:p>
        </w:tc>
        <w:tc>
          <w:tcPr>
            <w:tcW w:type="dxa" w:w="17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No public company equivalent</w:t>
            </w:r>
          </w:p>
        </w:tc>
      </w:tr>
      <w:tr>
        <w:tc>
          <w:tcPr>
            <w:tcW w:type="dxa" w:w="1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Private Valuation</w:t>
            </w:r>
          </w:p>
        </w:tc>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SDE Multiple</w:t>
            </w:r>
          </w:p>
        </w:tc>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Transaction Value / SDE</w:t>
            </w:r>
          </w:p>
        </w:tc>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Phase 3</w:t>
            </w:r>
          </w:p>
        </w:tc>
        <w:tc>
          <w:tcPr>
            <w:tcW w:type="dxa" w:w="17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Transaction data; private only</w:t>
            </w:r>
          </w:p>
        </w:tc>
      </w:tr>
      <w:tr>
        <w:tc>
          <w:tcPr>
            <w:tcW w:type="dxa" w:w="1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Private Valuation</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EBITDA Multiple (Private)</w:t>
            </w:r>
          </w:p>
        </w:tc>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Transaction Value / Normalized EBITDA</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Phase 3</w:t>
            </w:r>
          </w:p>
        </w:tc>
        <w:tc>
          <w:tcPr>
            <w:tcW w:type="dxa" w:w="17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Requires owner comp normalization</w:t>
            </w:r>
          </w:p>
        </w:tc>
      </w:tr>
      <w:tr>
        <w:tc>
          <w:tcPr>
            <w:tcW w:type="dxa" w:w="1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Private Credit</w:t>
            </w:r>
          </w:p>
        </w:tc>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Debt Service Coverage Ratio</w:t>
            </w:r>
          </w:p>
        </w:tc>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EBITDA / (Principal + Interest)</w:t>
            </w:r>
          </w:p>
        </w:tc>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Phase 3</w:t>
            </w:r>
          </w:p>
        </w:tc>
        <w:tc>
          <w:tcPr>
            <w:tcW w:type="dxa" w:w="17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Private lending context only</w:t>
            </w:r>
          </w:p>
        </w:tc>
      </w:tr>
      <w:tr>
        <w:tc>
          <w:tcPr>
            <w:tcW w:type="dxa" w:w="1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Private Credit</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Fixed Charge Coverage</w:t>
            </w:r>
          </w:p>
        </w:tc>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(EBITDA − CapEx) / Fixed Charges</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Phase 3</w:t>
            </w:r>
          </w:p>
        </w:tc>
        <w:tc>
          <w:tcPr>
            <w:tcW w:type="dxa" w:w="17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Private lending context only</w:t>
            </w:r>
          </w:p>
        </w:tc>
      </w:tr>
      <w:tr>
        <w:tc>
          <w:tcPr>
            <w:tcW w:type="dxa" w:w="1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Private Credit</w:t>
            </w:r>
          </w:p>
        </w:tc>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Senior Debt / EBITDA</w:t>
            </w:r>
          </w:p>
        </w:tc>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Senior Debt / Normalized EBITDA</w:t>
            </w:r>
          </w:p>
        </w:tc>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Phase 3</w:t>
            </w:r>
          </w:p>
        </w:tc>
        <w:tc>
          <w:tcPr>
            <w:tcW w:type="dxa" w:w="17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Private lending context only</w:t>
            </w:r>
          </w:p>
        </w:tc>
      </w:tr>
      <w:tr>
        <w:tc>
          <w:tcPr>
            <w:tcW w:type="dxa" w:w="1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Private Operations</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Revenue Per Square Foot</w:t>
            </w:r>
          </w:p>
        </w:tc>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Revenue / Sq Ft Occupied</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Phase 3</w:t>
            </w:r>
          </w:p>
        </w:tc>
        <w:tc>
          <w:tcPr>
            <w:tcW w:type="dxa" w:w="17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Retail / food service specific</w:t>
            </w:r>
          </w:p>
        </w:tc>
      </w:tr>
      <w:tr>
        <w:tc>
          <w:tcPr>
            <w:tcW w:type="dxa" w:w="1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Private Operations</w:t>
            </w:r>
          </w:p>
        </w:tc>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Revenue Per Technician</w:t>
            </w:r>
          </w:p>
        </w:tc>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Revenue / Billable Technicians</w:t>
            </w:r>
          </w:p>
        </w:tc>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Phase 3</w:t>
            </w:r>
          </w:p>
        </w:tc>
        <w:tc>
          <w:tcPr>
            <w:tcW w:type="dxa" w:w="17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Field service specific</w:t>
            </w:r>
          </w:p>
        </w:tc>
      </w:tr>
      <w:tr>
        <w:tc>
          <w:tcPr>
            <w:tcW w:type="dxa" w:w="1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Private Operations</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Revenue Per Vehicle</w:t>
            </w:r>
          </w:p>
        </w:tc>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Revenue / Fleet Vehicles</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Phase 3</w:t>
            </w:r>
          </w:p>
        </w:tc>
        <w:tc>
          <w:tcPr>
            <w:tcW w:type="dxa" w:w="17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Fleet business specific</w:t>
            </w:r>
          </w:p>
        </w:tc>
      </w:tr>
      <w:tr>
        <w:tc>
          <w:tcPr>
            <w:tcW w:type="dxa" w:w="1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Private Operations</w:t>
            </w:r>
          </w:p>
        </w:tc>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Revenue Per Seat</w:t>
            </w:r>
          </w:p>
        </w:tc>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Revenue / Capacity Units</w:t>
            </w:r>
          </w:p>
        </w:tc>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Phase 3</w:t>
            </w:r>
          </w:p>
        </w:tc>
        <w:tc>
          <w:tcPr>
            <w:tcW w:type="dxa" w:w="17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Capacity-constrained service</w:t>
            </w:r>
          </w:p>
        </w:tc>
      </w:tr>
      <w:tr>
        <w:tc>
          <w:tcPr>
            <w:tcW w:type="dxa" w:w="1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Private Operations</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Owner Compensation Ratio</w:t>
            </w:r>
          </w:p>
        </w:tc>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Owner Comp / Revenue</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Phase 3</w:t>
            </w:r>
          </w:p>
        </w:tc>
        <w:tc>
          <w:tcPr>
            <w:tcW w:type="dxa" w:w="17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Owner compensation normalization</w:t>
            </w:r>
          </w:p>
        </w:tc>
      </w:tr>
      <w:tr>
        <w:tc>
          <w:tcPr>
            <w:tcW w:type="dxa" w:w="1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Private Operations</w:t>
            </w:r>
          </w:p>
        </w:tc>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Adjusted EBITDA (Owner Normalized)</w:t>
            </w:r>
          </w:p>
        </w:tc>
        <w:tc>
          <w:tcPr>
            <w:tcW w:type="dxa" w:w="2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EBITDA + Comp Adj + Non-Recurring</w:t>
            </w:r>
          </w:p>
        </w:tc>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Phase 3</w:t>
            </w:r>
          </w:p>
        </w:tc>
        <w:tc>
          <w:tcPr>
            <w:tcW w:type="dxa" w:w="17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Foundation of all private valuation</w:t>
            </w:r>
          </w:p>
        </w:tc>
      </w:tr>
    </w:tbl>
    <w:p>
      <w:pPr>
        <w:spacing w:after="80" w:before="0"/>
      </w:pPr>
      <w:r>
        <w:t xml:space="preserve"/>
      </w:r>
    </w:p>
    <w:p>
      <w:pPr>
        <w:spacing w:after="100" w:before="60"/>
      </w:pPr>
      <w:r>
        <w:rPr>
          <w:rFonts w:ascii="Arial" w:cs="Arial" w:eastAsia="Arial" w:hAnsi="Arial"/>
          <w:color w:val="374151"/>
          <w:sz w:val="22"/>
          <w:szCs w:val="22"/>
        </w:rPr>
        <w:t xml:space="preserve">These metrics are not absent from the framework — they are parked at the correct point in the development sequence. The full methodology for each, including normalization standards, owner compensation benchmarking sources, and engagement-level application, is documented in FinMetrics Appendix A — Borowy Consulting Private Business Analysis Framework.</w:t>
      </w:r>
    </w:p>
    <w:p>
      <w:pPr>
        <w:spacing w:after="120" w:before="0"/>
      </w:pPr>
      <w:r>
        <w:t xml:space="preserve"/>
      </w:r>
    </w:p>
    <w:p>
      <w:r>
        <w:br w:type="page"/>
      </w:r>
    </w:p>
    <w:p>
      <w:pPr>
        <w:pStyle w:val="Heading1"/>
        <w:pBdr>
          <w:bottom w:val="single" w:color="2563EB" w:sz="8" w:space="4"/>
        </w:pBdr>
        <w:spacing w:after="120" w:before="360"/>
      </w:pPr>
      <w:r>
        <w:rPr>
          <w:rFonts w:ascii="Arial" w:cs="Arial" w:eastAsia="Arial" w:hAnsi="Arial"/>
          <w:b/>
          <w:bCs/>
          <w:color w:val="0D1B2A"/>
          <w:sz w:val="36"/>
          <w:szCs w:val="36"/>
        </w:rPr>
        <w:t xml:space="preserve">Section 8 — Complete Metric Registry</w:t>
      </w:r>
    </w:p>
    <w:p>
      <w:pPr>
        <w:spacing w:after="100" w:before="60"/>
      </w:pPr>
      <w:r>
        <w:rPr>
          <w:rFonts w:ascii="Arial" w:cs="Arial" w:eastAsia="Arial" w:hAnsi="Arial"/>
          <w:color w:val="374151"/>
          <w:sz w:val="22"/>
          <w:szCs w:val="22"/>
        </w:rPr>
        <w:t xml:space="preserve">The full 75 public + 12 parked private metric registry. Organized by category. Phase availability noted for all metrics added in this expansion.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200"/>
        <w:gridCol w:w="4560"/>
      </w:tblGrid>
      <w:tr>
        <w:tc>
          <w:tcPr>
            <w:tcW w:type="dxa" w:w="1600"/>
            <w:tcBorders>
              <w:top w:val="single" w:color="E5E7EB" w:sz="4"/>
              <w:left w:val="single" w:color="E5E7EB" w:sz="4"/>
              <w:bottom w:val="single" w:color="E5E7EB" w:sz="4"/>
              <w:right w:val="single" w:color="E5E7EB" w:sz="4"/>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Category</w:t>
            </w:r>
          </w:p>
        </w:tc>
        <w:tc>
          <w:tcPr>
            <w:tcW w:type="dxa" w:w="2000"/>
            <w:tcBorders>
              <w:top w:val="single" w:color="E5E7EB" w:sz="4"/>
              <w:left w:val="single" w:color="E5E7EB" w:sz="4"/>
              <w:bottom w:val="single" w:color="E5E7EB" w:sz="4"/>
              <w:right w:val="single" w:color="E5E7EB" w:sz="4"/>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Metric</w:t>
            </w:r>
          </w:p>
        </w:tc>
        <w:tc>
          <w:tcPr>
            <w:tcW w:type="dxa" w:w="1200"/>
            <w:tcBorders>
              <w:top w:val="single" w:color="E5E7EB" w:sz="4"/>
              <w:left w:val="single" w:color="E5E7EB" w:sz="4"/>
              <w:bottom w:val="single" w:color="E5E7EB" w:sz="4"/>
              <w:right w:val="single" w:color="E5E7EB" w:sz="4"/>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Phase</w:t>
            </w:r>
          </w:p>
        </w:tc>
        <w:tc>
          <w:tcPr>
            <w:tcW w:type="dxa" w:w="4560"/>
            <w:tcBorders>
              <w:top w:val="single" w:color="E5E7EB" w:sz="4"/>
              <w:left w:val="single" w:color="E5E7EB" w:sz="4"/>
              <w:bottom w:val="single" w:color="E5E7EB" w:sz="4"/>
              <w:right w:val="single" w:color="E5E7EB" w:sz="4"/>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Primary Data Source</w:t>
            </w:r>
          </w:p>
        </w:tc>
      </w:tr>
      <w:tr>
        <w:tc>
          <w:tcPr>
            <w:tcW w:type="dxa" w:w="1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1B3A5C"/>
                <w:sz w:val="21"/>
                <w:szCs w:val="21"/>
              </w:rPr>
              <w:t xml:space="preserve">Growth (original)</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Common Shares, Employee Growth, Employees, Market Cap, R&amp;D Margin, R&amp;D Ratio, R&amp;D/COGS, Revenue, Revenue Growth, Revenue TTM, Revenue Growth TTM, SG&amp;A Margin, SG&amp;A Ratio, SG&amp;A/COGS</w:t>
            </w:r>
          </w:p>
        </w:tc>
        <w:tc>
          <w:tcPr>
            <w:tcW w:type="dxa" w:w="1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1</w:t>
            </w:r>
          </w:p>
        </w:tc>
        <w:tc>
          <w:tcPr>
            <w:tcW w:type="dxa" w:w="4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EDGAR XBRL</w:t>
            </w:r>
          </w:p>
        </w:tc>
      </w:tr>
      <w:tr>
        <w:tc>
          <w:tcPr>
            <w:tcW w:type="dxa" w:w="1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166534"/>
                <w:sz w:val="21"/>
                <w:szCs w:val="21"/>
              </w:rPr>
              <w:t xml:space="preserve">Profitability (original)</w:t>
            </w:r>
          </w:p>
        </w:tc>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Cash, Cash Change, Cash On Hand, Cash Ratios (TTM/Q/Y), COGS, EBITDA, FCF Ratio, Gross Margin, Gross Profit, Fgross Profit, Net Margin, OCF Ratio, Operating Margin, Opex Ratio, Pretax Margin</w:t>
            </w:r>
          </w:p>
        </w:tc>
        <w:tc>
          <w:tcPr>
            <w:tcW w:type="dxa" w:w="1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1</w:t>
            </w:r>
          </w:p>
        </w:tc>
        <w:tc>
          <w:tcPr>
            <w:tcW w:type="dxa" w:w="45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EDGAR XBRL</w:t>
            </w:r>
          </w:p>
        </w:tc>
      </w:tr>
      <w:tr>
        <w:tc>
          <w:tcPr>
            <w:tcW w:type="dxa" w:w="1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92400E"/>
                <w:sz w:val="21"/>
                <w:szCs w:val="21"/>
              </w:rPr>
              <w:t xml:space="preserve">Cycle (original)</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Cash-to-Cash, Days FG/Inventory/Payables/RM/DSO/WIP, DPO/DSO, FG/Inventory/RM/WIP balances, Inventory Turns, Receivables Turns</w:t>
            </w:r>
          </w:p>
        </w:tc>
        <w:tc>
          <w:tcPr>
            <w:tcW w:type="dxa" w:w="1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1</w:t>
            </w:r>
          </w:p>
        </w:tc>
        <w:tc>
          <w:tcPr>
            <w:tcW w:type="dxa" w:w="4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EDGAR XBRL</w:t>
            </w:r>
          </w:p>
        </w:tc>
      </w:tr>
      <w:tr>
        <w:tc>
          <w:tcPr>
            <w:tcW w:type="dxa" w:w="1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5B21B6"/>
                <w:sz w:val="21"/>
                <w:szCs w:val="21"/>
              </w:rPr>
              <w:t xml:space="preserve">Complexity (original)</w:t>
            </w:r>
          </w:p>
        </w:tc>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Altman Z, Capital Turnover, Current Ratio, Quick Ratio, ROA, ROE, ROIC, RONE, Revenue/Employee, Working Capital Ratio</w:t>
            </w:r>
          </w:p>
        </w:tc>
        <w:tc>
          <w:tcPr>
            <w:tcW w:type="dxa" w:w="1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1</w:t>
            </w:r>
          </w:p>
        </w:tc>
        <w:tc>
          <w:tcPr>
            <w:tcW w:type="dxa" w:w="45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EDGAR XBRL</w:t>
            </w:r>
          </w:p>
        </w:tc>
      </w:tr>
      <w:tr>
        <w:tc>
          <w:tcPr>
            <w:tcW w:type="dxa" w:w="1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C2410C"/>
                <w:sz w:val="21"/>
                <w:szCs w:val="21"/>
              </w:rPr>
              <w:t xml:space="preserve">Valuation (new)</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EV/EBITDA, EV/Revenue, EV/Gross Profit, P/E, P/FCF</w:t>
            </w:r>
          </w:p>
        </w:tc>
        <w:tc>
          <w:tcPr>
            <w:tcW w:type="dxa" w:w="1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2</w:t>
            </w:r>
          </w:p>
        </w:tc>
        <w:tc>
          <w:tcPr>
            <w:tcW w:type="dxa" w:w="4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EDGAR + Price Feed</w:t>
            </w:r>
          </w:p>
        </w:tc>
      </w:tr>
      <w:tr>
        <w:tc>
          <w:tcPr>
            <w:tcW w:type="dxa" w:w="1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2563EB"/>
                <w:sz w:val="21"/>
                <w:szCs w:val="21"/>
              </w:rPr>
              <w:t xml:space="preserve">Growth Quality (new)</w:t>
            </w:r>
          </w:p>
        </w:tc>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Gross Profit Growth, Rule of 40, Book-to-Bill</w:t>
            </w:r>
          </w:p>
        </w:tc>
        <w:tc>
          <w:tcPr>
            <w:tcW w:type="dxa" w:w="1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1/2/2</w:t>
            </w:r>
          </w:p>
        </w:tc>
        <w:tc>
          <w:tcPr>
            <w:tcW w:type="dxa" w:w="45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EDGAR / EDGAR / SEMI</w:t>
            </w:r>
          </w:p>
        </w:tc>
      </w:tr>
      <w:tr>
        <w:tc>
          <w:tcPr>
            <w:tcW w:type="dxa" w:w="1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0F766E"/>
                <w:sz w:val="21"/>
                <w:szCs w:val="21"/>
              </w:rPr>
              <w:t xml:space="preserve">Capital Efficiency (new)</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Asset Turnover, CapEx Intensity, CapEx/Depreciation, Net Debt/EBITDA, FCF Conversion Rate</w:t>
            </w:r>
          </w:p>
        </w:tc>
        <w:tc>
          <w:tcPr>
            <w:tcW w:type="dxa" w:w="1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1</w:t>
            </w:r>
          </w:p>
        </w:tc>
        <w:tc>
          <w:tcPr>
            <w:tcW w:type="dxa" w:w="4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EDGAR XBRL</w:t>
            </w:r>
          </w:p>
        </w:tc>
      </w:tr>
      <w:tr>
        <w:tc>
          <w:tcPr>
            <w:tcW w:type="dxa" w:w="1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991B1B"/>
                <w:sz w:val="21"/>
                <w:szCs w:val="21"/>
              </w:rPr>
              <w:t xml:space="preserve">Semiconductor (new)</w:t>
            </w:r>
          </w:p>
        </w:tc>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Customer Conc. Top 3 &amp; 10, Geographic Revenue, R&amp;D vs Sector Benchmark</w:t>
            </w:r>
          </w:p>
        </w:tc>
        <w:tc>
          <w:tcPr>
            <w:tcW w:type="dxa" w:w="1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2-3</w:t>
            </w:r>
          </w:p>
        </w:tc>
        <w:tc>
          <w:tcPr>
            <w:tcW w:type="dxa" w:w="45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EDGAR text / Internal</w:t>
            </w:r>
          </w:p>
        </w:tc>
      </w:tr>
      <w:tr>
        <w:tc>
          <w:tcPr>
            <w:tcW w:type="dxa" w:w="1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5B21B6"/>
                <w:sz w:val="21"/>
                <w:szCs w:val="21"/>
              </w:rPr>
              <w:t xml:space="preserve">Cash Flow Quality (new)</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FCF/EBITDA, Cash Earnings, Days Cash On Hand</w:t>
            </w:r>
          </w:p>
        </w:tc>
        <w:tc>
          <w:tcPr>
            <w:tcW w:type="dxa" w:w="1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1</w:t>
            </w:r>
          </w:p>
        </w:tc>
        <w:tc>
          <w:tcPr>
            <w:tcW w:type="dxa" w:w="4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EDGAR XBRL</w:t>
            </w:r>
          </w:p>
        </w:tc>
      </w:tr>
      <w:tr>
        <w:tc>
          <w:tcPr>
            <w:tcW w:type="dxa" w:w="1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9CA3AF"/>
                <w:sz w:val="21"/>
                <w:szCs w:val="21"/>
              </w:rPr>
              <w:t xml:space="preserve">⏸ Private Valuation</w:t>
            </w:r>
          </w:p>
        </w:tc>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SDE, SDE Multiple, EBITDA Multiple (Private)</w:t>
            </w:r>
          </w:p>
        </w:tc>
        <w:tc>
          <w:tcPr>
            <w:tcW w:type="dxa" w:w="1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Phase 3</w:t>
            </w:r>
          </w:p>
        </w:tc>
        <w:tc>
          <w:tcPr>
            <w:tcW w:type="dxa" w:w="45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Private financials</w:t>
            </w:r>
          </w:p>
        </w:tc>
      </w:tr>
      <w:tr>
        <w:tc>
          <w:tcPr>
            <w:tcW w:type="dxa" w:w="1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9CA3AF"/>
                <w:sz w:val="21"/>
                <w:szCs w:val="21"/>
              </w:rPr>
              <w:t xml:space="preserve">⏸ Private Credit</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DSCR, FCCR, Senior Debt/EBITDA</w:t>
            </w:r>
          </w:p>
        </w:tc>
        <w:tc>
          <w:tcPr>
            <w:tcW w:type="dxa" w:w="1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Phase 3</w:t>
            </w:r>
          </w:p>
        </w:tc>
        <w:tc>
          <w:tcPr>
            <w:tcW w:type="dxa" w:w="4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Private financials</w:t>
            </w:r>
          </w:p>
        </w:tc>
      </w:tr>
      <w:tr>
        <w:tc>
          <w:tcPr>
            <w:tcW w:type="dxa" w:w="1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9CA3AF"/>
                <w:sz w:val="21"/>
                <w:szCs w:val="21"/>
              </w:rPr>
              <w:t xml:space="preserve">⏸ Private Operations</w:t>
            </w:r>
          </w:p>
        </w:tc>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Rev/Sq Ft, Rev/Technician, Rev/Vehicle, Rev/Seat, Owner Comp Ratio, Adj EBITDA</w:t>
            </w:r>
          </w:p>
        </w:tc>
        <w:tc>
          <w:tcPr>
            <w:tcW w:type="dxa" w:w="1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Phase 3</w:t>
            </w:r>
          </w:p>
        </w:tc>
        <w:tc>
          <w:tcPr>
            <w:tcW w:type="dxa" w:w="45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Private financials</w:t>
            </w:r>
          </w:p>
        </w:tc>
      </w:tr>
    </w:tbl>
    <w:p>
      <w:pPr>
        <w:spacing w:after="120" w:before="0"/>
      </w:pPr>
      <w:r>
        <w:t xml:space="preserve"/>
      </w:r>
    </w:p>
    <w:p>
      <w:r>
        <w:br w:type="page"/>
      </w:r>
    </w:p>
    <w:p>
      <w:pPr>
        <w:pStyle w:val="Heading1"/>
        <w:pBdr>
          <w:bottom w:val="single" w:color="2563EB" w:sz="8" w:space="4"/>
        </w:pBdr>
        <w:spacing w:after="120" w:before="360"/>
      </w:pPr>
      <w:r>
        <w:rPr>
          <w:rFonts w:ascii="Arial" w:cs="Arial" w:eastAsia="Arial" w:hAnsi="Arial"/>
          <w:b/>
          <w:bCs/>
          <w:color w:val="0D1B2A"/>
          <w:sz w:val="36"/>
          <w:szCs w:val="36"/>
        </w:rPr>
        <w:t xml:space="preserve">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E5E7EB" w:sz="4"/>
              <w:left w:val="single" w:color="E5E7EB" w:sz="4"/>
              <w:bottom w:val="single" w:color="E5E7EB" w:sz="4"/>
              <w:right w:val="single" w:color="E5E7EB" w:sz="4"/>
            </w:tcBorders>
            <w:shd w:fill="2563EB" w:val="clear"/>
            <w:tcMar>
              <w:top w:type="dxa" w:w="100"/>
              <w:left w:type="dxa" w:w="140"/>
              <w:bottom w:type="dxa" w:w="100"/>
              <w:right w:type="dxa" w:w="140"/>
            </w:tcMar>
          </w:tcPr>
          <w:p>
            <w:r>
              <w:rPr>
                <w:rFonts w:ascii="Arial" w:cs="Arial" w:eastAsia="Arial" w:hAnsi="Arial"/>
                <w:b/>
                <w:bCs/>
                <w:color w:val="FFFFFF"/>
                <w:sz w:val="19"/>
                <w:szCs w:val="19"/>
              </w:rPr>
              <w:t xml:space="preserve">Dimension</w:t>
            </w:r>
          </w:p>
        </w:tc>
        <w:tc>
          <w:tcPr>
            <w:tcW w:type="dxa" w:w="3080"/>
            <w:tcBorders>
              <w:top w:val="single" w:color="E5E7EB" w:sz="4"/>
              <w:left w:val="single" w:color="E5E7EB" w:sz="4"/>
              <w:bottom w:val="single" w:color="E5E7EB" w:sz="4"/>
              <w:right w:val="single" w:color="E5E7EB" w:sz="4"/>
            </w:tcBorders>
            <w:shd w:fill="2563EB" w:val="clear"/>
            <w:tcMar>
              <w:top w:type="dxa" w:w="100"/>
              <w:left w:type="dxa" w:w="140"/>
              <w:bottom w:type="dxa" w:w="100"/>
              <w:right w:type="dxa" w:w="140"/>
            </w:tcMar>
          </w:tcPr>
          <w:p>
            <w:r>
              <w:rPr>
                <w:rFonts w:ascii="Arial" w:cs="Arial" w:eastAsia="Arial" w:hAnsi="Arial"/>
                <w:b/>
                <w:bCs/>
                <w:color w:val="FFFFFF"/>
                <w:sz w:val="19"/>
                <w:szCs w:val="19"/>
              </w:rPr>
              <w:t xml:space="preserve">Original</w:t>
            </w:r>
          </w:p>
        </w:tc>
        <w:tc>
          <w:tcPr>
            <w:tcW w:type="dxa" w:w="3080"/>
            <w:tcBorders>
              <w:top w:val="single" w:color="E5E7EB" w:sz="4"/>
              <w:left w:val="single" w:color="E5E7EB" w:sz="4"/>
              <w:bottom w:val="single" w:color="E5E7EB" w:sz="4"/>
              <w:right w:val="single" w:color="E5E7EB" w:sz="4"/>
            </w:tcBorders>
            <w:shd w:fill="2563EB" w:val="clear"/>
            <w:tcMar>
              <w:top w:type="dxa" w:w="100"/>
              <w:left w:type="dxa" w:w="140"/>
              <w:bottom w:type="dxa" w:w="100"/>
              <w:right w:type="dxa" w:w="140"/>
            </w:tcMar>
          </w:tcPr>
          <w:p>
            <w:r>
              <w:rPr>
                <w:rFonts w:ascii="Arial" w:cs="Arial" w:eastAsia="Arial" w:hAnsi="Arial"/>
                <w:b/>
                <w:bCs/>
                <w:color w:val="FFFFFF"/>
                <w:sz w:val="19"/>
                <w:szCs w:val="19"/>
              </w:rPr>
              <w:t xml:space="preserve">Expanded</w:t>
            </w:r>
          </w:p>
        </w:tc>
      </w:tr>
      <w:tr>
        <w:tc>
          <w:tcPr>
            <w:tcW w:type="dxa" w:w="3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Public metrics</w:t>
            </w:r>
          </w:p>
        </w:tc>
        <w:tc>
          <w:tcPr>
            <w:tcW w:type="dxa" w:w="30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55</w:t>
            </w:r>
          </w:p>
        </w:tc>
        <w:tc>
          <w:tcPr>
            <w:tcW w:type="dxa" w:w="30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75</w:t>
            </w:r>
          </w:p>
        </w:tc>
      </w:tr>
      <w:tr>
        <w:tc>
          <w:tcPr>
            <w:tcW w:type="dxa" w:w="3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Metric categories</w:t>
            </w:r>
          </w:p>
        </w:tc>
        <w:tc>
          <w:tcPr>
            <w:tcW w:type="dxa" w:w="308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4</w:t>
            </w:r>
          </w:p>
        </w:tc>
        <w:tc>
          <w:tcPr>
            <w:tcW w:type="dxa" w:w="308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9 (4 original + 5 new)</w:t>
            </w:r>
          </w:p>
        </w:tc>
      </w:tr>
      <w:tr>
        <w:tc>
          <w:tcPr>
            <w:tcW w:type="dxa" w:w="3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Data sources</w:t>
            </w:r>
          </w:p>
        </w:tc>
        <w:tc>
          <w:tcPr>
            <w:tcW w:type="dxa" w:w="30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1 (EDGAR XBRL)</w:t>
            </w:r>
          </w:p>
        </w:tc>
        <w:tc>
          <w:tcPr>
            <w:tcW w:type="dxa" w:w="30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4 (EDGAR + price feed + text extraction + SEMI)</w:t>
            </w:r>
          </w:p>
        </w:tc>
      </w:tr>
      <w:tr>
        <w:tc>
          <w:tcPr>
            <w:tcW w:type="dxa" w:w="3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Pipeline components</w:t>
            </w:r>
          </w:p>
        </w:tc>
        <w:tc>
          <w:tcPr>
            <w:tcW w:type="dxa" w:w="308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5 core modules</w:t>
            </w:r>
          </w:p>
        </w:tc>
        <w:tc>
          <w:tcPr>
            <w:tcW w:type="dxa" w:w="308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8 core modules (3 new connectors)</w:t>
            </w:r>
          </w:p>
        </w:tc>
      </w:tr>
      <w:tr>
        <w:tc>
          <w:tcPr>
            <w:tcW w:type="dxa" w:w="3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Database tables</w:t>
            </w:r>
          </w:p>
        </w:tc>
        <w:tc>
          <w:tcPr>
            <w:tcW w:type="dxa" w:w="30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8</w:t>
            </w:r>
          </w:p>
        </w:tc>
        <w:tc>
          <w:tcPr>
            <w:tcW w:type="dxa" w:w="30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12 (4 new: prices, text_facts, sector_bbt, company_bbt)</w:t>
            </w:r>
          </w:p>
        </w:tc>
      </w:tr>
      <w:tr>
        <w:tc>
          <w:tcPr>
            <w:tcW w:type="dxa" w:w="3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Data quality flags</w:t>
            </w:r>
          </w:p>
        </w:tc>
        <w:tc>
          <w:tcPr>
            <w:tcW w:type="dxa" w:w="308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12</w:t>
            </w:r>
          </w:p>
        </w:tc>
        <w:tc>
          <w:tcPr>
            <w:tcW w:type="dxa" w:w="308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17 (5 new)</w:t>
            </w:r>
          </w:p>
        </w:tc>
      </w:tr>
      <w:tr>
        <w:tc>
          <w:tcPr>
            <w:tcW w:type="dxa" w:w="3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Phase 1 available</w:t>
            </w:r>
          </w:p>
        </w:tc>
        <w:tc>
          <w:tcPr>
            <w:tcW w:type="dxa" w:w="30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55</w:t>
            </w:r>
          </w:p>
        </w:tc>
        <w:tc>
          <w:tcPr>
            <w:tcW w:type="dxa" w:w="30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64 (9 new EDGAR-only metrics added)</w:t>
            </w:r>
          </w:p>
        </w:tc>
      </w:tr>
      <w:tr>
        <w:tc>
          <w:tcPr>
            <w:tcW w:type="dxa" w:w="3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Phase 2 available</w:t>
            </w:r>
          </w:p>
        </w:tc>
        <w:tc>
          <w:tcPr>
            <w:tcW w:type="dxa" w:w="308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w:t>
            </w:r>
          </w:p>
        </w:tc>
        <w:tc>
          <w:tcPr>
            <w:tcW w:type="dxa" w:w="308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72 (+ 8 requiring price feed / peer set)</w:t>
            </w:r>
          </w:p>
        </w:tc>
      </w:tr>
      <w:tr>
        <w:tc>
          <w:tcPr>
            <w:tcW w:type="dxa" w:w="3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Phase 3 available</w:t>
            </w:r>
          </w:p>
        </w:tc>
        <w:tc>
          <w:tcPr>
            <w:tcW w:type="dxa" w:w="30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w:t>
            </w:r>
          </w:p>
        </w:tc>
        <w:tc>
          <w:tcPr>
            <w:tcW w:type="dxa" w:w="30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b w:val="false"/>
                <w:bCs w:val="false"/>
                <w:color w:val="374151"/>
                <w:sz w:val="21"/>
                <w:szCs w:val="21"/>
              </w:rPr>
              <w:t xml:space="preserve">75 (+ 3 requiring text extraction)</w:t>
            </w:r>
          </w:p>
        </w:tc>
      </w:tr>
      <w:tr>
        <w:tc>
          <w:tcPr>
            <w:tcW w:type="dxa" w:w="3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Parked private metrics</w:t>
            </w:r>
          </w:p>
        </w:tc>
        <w:tc>
          <w:tcPr>
            <w:tcW w:type="dxa" w:w="308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0</w:t>
            </w:r>
          </w:p>
        </w:tc>
        <w:tc>
          <w:tcPr>
            <w:tcW w:type="dxa" w:w="308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rFonts w:ascii="Arial" w:cs="Arial" w:eastAsia="Arial" w:hAnsi="Arial"/>
                <w:b w:val="false"/>
                <w:bCs w:val="false"/>
                <w:color w:val="374151"/>
                <w:sz w:val="21"/>
                <w:szCs w:val="21"/>
              </w:rPr>
              <w:t xml:space="preserve">12 (Phase 3 activation)</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6"/>
              <w:bottom w:val="single" w:color="2563EB" w:sz="4"/>
              <w:right w:val="none" w:color="FFFFFF" w:sz="0"/>
            </w:tcBorders>
            <w:shd w:fill="F0F7FF" w:val="clear"/>
            <w:tcMar>
              <w:top w:type="dxa" w:w="160"/>
              <w:left w:type="dxa" w:w="240"/>
              <w:bottom w:type="dxa" w:w="160"/>
              <w:right w:type="dxa" w:w="240"/>
            </w:tcMar>
          </w:tcPr>
          <w:p>
            <w:r>
              <w:rPr>
                <w:rFonts w:ascii="Arial" w:cs="Arial" w:eastAsia="Arial" w:hAnsi="Arial"/>
                <w:i/>
                <w:iCs/>
                <w:color w:val="0D1B2A"/>
                <w:sz w:val="22"/>
                <w:szCs w:val="22"/>
              </w:rPr>
              <w:t xml:space="preserve">The 75-metric framework represents the complete analytical scope required to answer the questions the semiconductor sector actually asks — not just operational efficiency, but capital structure, valuation, demand direction, customer risk, and geopolitical exposure. Every metric added exists because an analyst covering this sector needs it. The pipeline complexity that results is not overhead — it is the depth that makes the product valuable.</w:t>
            </w:r>
          </w:p>
        </w:tc>
      </w:tr>
    </w:tbl>
    <w:p>
      <w:pPr>
        <w:spacing w:after="200" w:before="0"/>
      </w:pPr>
      <w:r>
        <w:t xml:space="preserve"/>
      </w:r>
    </w:p>
    <w:p>
      <w:pPr>
        <w:spacing w:after="0" w:before="80"/>
        <w:jc w:val="center"/>
      </w:pPr>
      <w:r>
        <w:rPr>
          <w:rFonts w:ascii="Arial" w:cs="Arial" w:eastAsia="Arial" w:hAnsi="Arial"/>
          <w:i/>
          <w:iCs/>
          <w:color w:val="9CA3AF"/>
          <w:sz w:val="18"/>
          <w:szCs w:val="18"/>
        </w:rPr>
        <w:t xml:space="preserve">FinMetrics  |  75 Public Metrics  |  12 Parked Private  |  4 Data Sources  |  Semiconductor Sector Focus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tabs>
        <w:tab w:val="right" w:pos="9026"/>
      </w:tabs>
      <w:spacing w:before="0"/>
    </w:pPr>
    <w:r>
      <w:rPr>
        <w:rFonts w:ascii="Arial" w:cs="Arial" w:eastAsia="Arial" w:hAnsi="Arial"/>
        <w:color w:val="9CA3AF"/>
        <w:sz w:val="16"/>
        <w:szCs w:val="16"/>
      </w:rPr>
      <w:t xml:space="preserve">FinMetrics  |  Confidential  	</w:t>
    </w:r>
    <w:r>
      <w:rPr>
        <w:rFonts w:ascii="Arial" w:cs="Arial" w:eastAsia="Arial" w:hAnsi="Arial"/>
        <w:color w:val="9CA3AF"/>
        <w:sz w:val="16"/>
        <w:szCs w:val="16"/>
      </w:rPr>
      <w:fldChar w:fldCharType="begin"/>
      <w:instrText xml:space="preserve">PAGE</w:instrText>
      <w:fldChar w:fldCharType="separate"/>
      <w:fldChar w:fldCharType="end"/>
    </w:r>
    <w:r>
      <w:rPr>
        <w:rFonts w:ascii="Arial" w:cs="Arial" w:eastAsia="Arial" w:hAnsi="Arial"/>
        <w:color w:val="9CA3AF"/>
        <w:sz w:val="16"/>
        <w:szCs w:val="16"/>
      </w:rPr>
      <w:t xml:space="preserve"> / </w:t>
    </w:r>
    <w:r>
      <w:rPr>
        <w:rFonts w:ascii="Arial" w:cs="Arial" w:eastAsia="Arial" w:hAnsi="Arial"/>
        <w:color w:val="9CA3A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4"/>
      </w:pBdr>
      <w:spacing w:after="0"/>
    </w:pPr>
    <w:r>
      <w:rPr>
        <w:rFonts w:ascii="Arial" w:cs="Arial" w:eastAsia="Arial" w:hAnsi="Arial"/>
        <w:b/>
        <w:bCs/>
        <w:color w:val="2563EB"/>
        <w:sz w:val="18"/>
        <w:szCs w:val="18"/>
      </w:rPr>
      <w:t xml:space="preserve">FINMETRICS  </w:t>
    </w:r>
    <w:r>
      <w:rPr>
        <w:rFonts w:ascii="Arial" w:cs="Arial" w:eastAsia="Arial" w:hAnsi="Arial"/>
        <w:color w:val="9CA3AF"/>
        <w:sz w:val="18"/>
        <w:szCs w:val="18"/>
      </w:rPr>
      <w:t xml:space="preserve">Expanded Metric Framework &amp; Pipeline Architecture  —  75 Public Metrics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1B2A"/>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B3A5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2026-06-02T16:35:32.025Z</dcterms:created>
  <dcterms:modified xsi:type="dcterms:W3CDTF">2026-06-02T16:35:32.036Z</dcterms:modified>
</cp:coreProperties>
</file>

<file path=docProps/custom.xml><?xml version="1.0" encoding="utf-8"?>
<Properties xmlns="http://schemas.openxmlformats.org/officeDocument/2006/custom-properties" xmlns:vt="http://schemas.openxmlformats.org/officeDocument/2006/docPropsVTypes"/>
</file>