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60" w:before="0"/>
        <w:jc w:val="center"/>
      </w:pPr>
      <w:r>
        <w:rPr>
          <w:rFonts w:ascii="Arial" w:cs="Arial" w:eastAsia="Arial" w:hAnsi="Arial"/>
          <w:b/>
          <w:bCs/>
          <w:color w:val="2563EB"/>
          <w:sz w:val="72"/>
          <w:szCs w:val="72"/>
        </w:rPr>
        <w:t xml:space="preserve">FINMETRICS</w:t>
      </w:r>
    </w:p>
    <w:p>
      <w:pPr>
        <w:spacing w:after="200" w:before="0"/>
        <w:jc w:val="center"/>
      </w:pPr>
      <w:r>
        <w:rPr>
          <w:rFonts w:ascii="Arial" w:cs="Arial" w:eastAsia="Arial" w:hAnsi="Arial"/>
          <w:color w:val="0D1B2A"/>
          <w:sz w:val="32"/>
          <w:szCs w:val="32"/>
        </w:rPr>
        <w:t xml:space="preserve">Product &amp; Analyst Career Roadmap</w:t>
      </w:r>
    </w:p>
    <w:p>
      <w:pPr>
        <w:pBdr>
          <w:top w:val="single" w:color="2563EB" w:sz="4" w:space="6"/>
          <w:bottom w:val="single" w:color="2563EB" w:sz="4" w:space="6"/>
        </w:pBdr>
        <w:spacing w:after="80" w:before="80"/>
        <w:jc w:val="center"/>
      </w:pPr>
      <w:r>
        <w:rPr>
          <w:rFonts w:ascii="Arial" w:cs="Arial" w:eastAsia="Arial" w:hAnsi="Arial"/>
          <w:i/>
          <w:iCs/>
          <w:color w:val="374151"/>
          <w:sz w:val="22"/>
          <w:szCs w:val="22"/>
        </w:rPr>
        <w:t xml:space="preserve">From Data Pipeline to Analyst Career  |  A Complete Blueprint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563EB"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DATABASE</w:t>
            </w:r>
          </w:p>
        </w:tc>
        <w:tc>
          <w:tcPr>
            <w:tcW w:type="dxa" w:w="2340"/>
            <w:tcBorders>
              <w:top w:val="none" w:color="FFFFFF" w:sz="0"/>
              <w:left w:val="none" w:color="FFFFFF" w:sz="0"/>
              <w:bottom w:val="none" w:color="FFFFFF" w:sz="0"/>
              <w:right w:val="none" w:color="FFFFFF" w:sz="0"/>
            </w:tcBorders>
            <w:shd w:fill="166534"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DASHBOARD</w:t>
            </w:r>
          </w:p>
        </w:tc>
        <w:tc>
          <w:tcPr>
            <w:tcW w:type="dxa" w:w="2340"/>
            <w:tcBorders>
              <w:top w:val="none" w:color="FFFFFF" w:sz="0"/>
              <w:left w:val="none" w:color="FFFFFF" w:sz="0"/>
              <w:bottom w:val="none" w:color="FFFFFF" w:sz="0"/>
              <w:right w:val="none" w:color="FFFFFF" w:sz="0"/>
            </w:tcBorders>
            <w:shd w:fill="92400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PLATFORM</w:t>
            </w:r>
          </w:p>
        </w:tc>
        <w:tc>
          <w:tcPr>
            <w:tcW w:type="dxa" w:w="2340"/>
            <w:tcBorders>
              <w:top w:val="none" w:color="FFFFFF" w:sz="0"/>
              <w:left w:val="none" w:color="FFFFFF" w:sz="0"/>
              <w:bottom w:val="none" w:color="FFFFFF" w:sz="0"/>
              <w:right w:val="none" w:color="FFFFFF" w:sz="0"/>
            </w:tcBorders>
            <w:shd w:fill="5B21B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CAREER</w:t>
            </w:r>
          </w:p>
        </w:tc>
      </w:tr>
    </w:tbl>
    <w:p>
      <w:pPr>
        <w:spacing w:after="40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Vision &amp; Strategic Overview</w:t>
      </w:r>
    </w:p>
    <w:p>
      <w:pPr>
        <w:spacing w:after="100" w:before="60"/>
      </w:pPr>
      <w:r>
        <w:rPr>
          <w:rFonts w:ascii="Arial" w:cs="Arial" w:eastAsia="Arial" w:hAnsi="Arial"/>
          <w:color w:val="374151"/>
          <w:sz w:val="22"/>
          <w:szCs w:val="22"/>
        </w:rPr>
        <w:t xml:space="preserve">FinMetrics is a financial intelligence product built on public SEC EDGAR data that serves three converging purposes: it is a professional portfolio demonstrating quant and analytical skills, a SaaS tool serving finance professionals, and the foundation of a documented analyst career trajectory.</w:t>
      </w:r>
    </w:p>
    <w:p>
      <w:pPr>
        <w:spacing w:after="120" w:before="0"/>
      </w:pPr>
      <w:r>
        <w:t xml:space="preserve"/>
      </w:r>
    </w:p>
    <w:p>
      <w:pPr>
        <w:spacing w:after="100" w:before="60"/>
      </w:pPr>
      <w:r>
        <w:rPr>
          <w:rFonts w:ascii="Arial" w:cs="Arial" w:eastAsia="Arial" w:hAnsi="Arial"/>
          <w:color w:val="374151"/>
          <w:sz w:val="22"/>
          <w:szCs w:val="22"/>
        </w:rPr>
        <w:t xml:space="preserve">The product is modeled on the principle that what Bloomberg, FactSet, and Capital IQ charge thousands of dollars for — structured, calculated, contextualized financial metrics — can be delivered transparently via public data for a fraction of the cost. The analyst career is built by doing the work publicly before getting paid to do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DBEAFE" w:val="clear"/>
            <w:tcMar>
              <w:top w:type="dxa" w:w="100"/>
              <w:left w:type="dxa" w:w="140"/>
              <w:bottom w:type="dxa" w:w="100"/>
              <w:right w:type="dxa" w:w="140"/>
            </w:tcMar>
          </w:tcPr>
          <w:p>
            <w:pPr>
              <w:spacing w:after="80" w:before="0"/>
            </w:pPr>
            <w:r>
              <w:rPr>
                <w:rFonts w:ascii="Arial" w:cs="Arial" w:eastAsia="Arial" w:hAnsi="Arial"/>
                <w:b/>
                <w:bCs/>
                <w:color w:val="0D1B2A"/>
                <w:sz w:val="22"/>
                <w:szCs w:val="22"/>
              </w:rPr>
              <w:t xml:space="preserve">The Four Signals</w:t>
            </w:r>
          </w:p>
          <w:p>
            <w:pPr>
              <w:pStyle w:val="ListParagraph"/>
              <w:numPr>
                <w:ilvl w:val="0"/>
                <w:numId w:val="2"/>
              </w:numPr>
              <w:spacing w:after="40" w:before="40"/>
            </w:pPr>
            <w:r>
              <w:rPr>
                <w:rFonts w:ascii="Arial" w:cs="Arial" w:eastAsia="Arial" w:hAnsi="Arial"/>
                <w:b/>
                <w:bCs/>
                <w:color w:val="0D1B2A"/>
                <w:sz w:val="22"/>
                <w:szCs w:val="22"/>
              </w:rPr>
              <w:t xml:space="preserve">DATA: </w:t>
            </w:r>
            <w:r>
              <w:rPr>
                <w:rFonts w:ascii="Arial" w:cs="Arial" w:eastAsia="Arial" w:hAnsi="Arial"/>
                <w:color w:val="374151"/>
                <w:sz w:val="22"/>
                <w:szCs w:val="22"/>
              </w:rPr>
              <w:t xml:space="preserve">Quant/Engineering signal</w:t>
            </w:r>
          </w:p>
          <w:p>
            <w:pPr>
              <w:pStyle w:val="ListParagraph"/>
              <w:numPr>
                <w:ilvl w:val="0"/>
                <w:numId w:val="2"/>
              </w:numPr>
              <w:spacing w:after="40" w:before="40"/>
            </w:pPr>
            <w:r>
              <w:rPr>
                <w:rFonts w:ascii="Arial" w:cs="Arial" w:eastAsia="Arial" w:hAnsi="Arial"/>
                <w:b/>
                <w:bCs/>
                <w:color w:val="0D1B2A"/>
                <w:sz w:val="22"/>
                <w:szCs w:val="22"/>
              </w:rPr>
              <w:t xml:space="preserve">METRICS: </w:t>
            </w:r>
            <w:r>
              <w:rPr>
                <w:rFonts w:ascii="Arial" w:cs="Arial" w:eastAsia="Arial" w:hAnsi="Arial"/>
                <w:color w:val="374151"/>
                <w:sz w:val="22"/>
                <w:szCs w:val="22"/>
              </w:rPr>
              <w:t xml:space="preserve">Judgment signal</w:t>
            </w:r>
          </w:p>
          <w:p>
            <w:pPr>
              <w:pStyle w:val="ListParagraph"/>
              <w:numPr>
                <w:ilvl w:val="0"/>
                <w:numId w:val="2"/>
              </w:numPr>
              <w:spacing w:after="40" w:before="40"/>
            </w:pPr>
            <w:r>
              <w:rPr>
                <w:rFonts w:ascii="Arial" w:cs="Arial" w:eastAsia="Arial" w:hAnsi="Arial"/>
                <w:b/>
                <w:bCs/>
                <w:color w:val="0D1B2A"/>
                <w:sz w:val="22"/>
                <w:szCs w:val="22"/>
              </w:rPr>
              <w:t xml:space="preserve">PRODUCT: </w:t>
            </w:r>
            <w:r>
              <w:rPr>
                <w:rFonts w:ascii="Arial" w:cs="Arial" w:eastAsia="Arial" w:hAnsi="Arial"/>
                <w:color w:val="374151"/>
                <w:sz w:val="22"/>
                <w:szCs w:val="22"/>
              </w:rPr>
              <w:t xml:space="preserve">Communication signal</w:t>
            </w:r>
          </w:p>
          <w:p>
            <w:pPr>
              <w:pStyle w:val="ListParagraph"/>
              <w:numPr>
                <w:ilvl w:val="0"/>
                <w:numId w:val="2"/>
              </w:numPr>
              <w:spacing w:after="40" w:before="40"/>
            </w:pPr>
            <w:r>
              <w:rPr>
                <w:rFonts w:ascii="Arial" w:cs="Arial" w:eastAsia="Arial" w:hAnsi="Arial"/>
                <w:b/>
                <w:bCs/>
                <w:color w:val="0D1B2A"/>
                <w:sz w:val="22"/>
                <w:szCs w:val="22"/>
              </w:rPr>
              <w:t xml:space="preserve">PUBLISHING: </w:t>
            </w:r>
            <w:r>
              <w:rPr>
                <w:rFonts w:ascii="Arial" w:cs="Arial" w:eastAsia="Arial" w:hAnsi="Arial"/>
                <w:color w:val="374151"/>
                <w:sz w:val="22"/>
                <w:szCs w:val="22"/>
              </w:rPr>
              <w:t xml:space="preserve">Conviction signal</w:t>
            </w:r>
          </w:p>
        </w:tc>
        <w:tc>
          <w:tcPr>
            <w:tcW w:type="dxa" w:w="476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pPr>
              <w:spacing w:after="80" w:before="0"/>
            </w:pPr>
            <w:r>
              <w:rPr>
                <w:rFonts w:ascii="Arial" w:cs="Arial" w:eastAsia="Arial" w:hAnsi="Arial"/>
                <w:b/>
                <w:bCs/>
                <w:color w:val="0D1B2A"/>
                <w:sz w:val="22"/>
                <w:szCs w:val="22"/>
              </w:rPr>
              <w:t xml:space="preserve">What This Replaces</w:t>
            </w:r>
          </w:p>
          <w:p>
            <w:pPr>
              <w:pStyle w:val="ListParagraph"/>
              <w:numPr>
                <w:ilvl w:val="0"/>
                <w:numId w:val="2"/>
              </w:numPr>
              <w:spacing w:after="40" w:before="40"/>
            </w:pPr>
            <w:r>
              <w:rPr>
                <w:rFonts w:ascii="Arial" w:cs="Arial" w:eastAsia="Arial" w:hAnsi="Arial"/>
                <w:color w:val="374151"/>
                <w:sz w:val="22"/>
                <w:szCs w:val="22"/>
              </w:rPr>
              <w:t xml:space="preserve">Bloomberg Terminal  ~$24K/yr</w:t>
            </w:r>
          </w:p>
          <w:p>
            <w:pPr>
              <w:pStyle w:val="ListParagraph"/>
              <w:numPr>
                <w:ilvl w:val="0"/>
                <w:numId w:val="2"/>
              </w:numPr>
              <w:spacing w:after="40" w:before="40"/>
            </w:pPr>
            <w:r>
              <w:rPr>
                <w:rFonts w:ascii="Arial" w:cs="Arial" w:eastAsia="Arial" w:hAnsi="Arial"/>
                <w:color w:val="374151"/>
                <w:sz w:val="22"/>
                <w:szCs w:val="22"/>
              </w:rPr>
              <w:t xml:space="preserve">FactSet  ~$12K/yr</w:t>
            </w:r>
          </w:p>
          <w:p>
            <w:pPr>
              <w:pStyle w:val="ListParagraph"/>
              <w:numPr>
                <w:ilvl w:val="0"/>
                <w:numId w:val="2"/>
              </w:numPr>
              <w:spacing w:after="40" w:before="40"/>
            </w:pPr>
            <w:r>
              <w:rPr>
                <w:rFonts w:ascii="Arial" w:cs="Arial" w:eastAsia="Arial" w:hAnsi="Arial"/>
                <w:color w:val="374151"/>
                <w:sz w:val="22"/>
                <w:szCs w:val="22"/>
              </w:rPr>
              <w:t xml:space="preserve">S&amp;P Capital IQ  ~$15K/yr</w:t>
            </w:r>
          </w:p>
          <w:p>
            <w:pPr>
              <w:pStyle w:val="ListParagraph"/>
              <w:numPr>
                <w:ilvl w:val="0"/>
                <w:numId w:val="2"/>
              </w:numPr>
              <w:spacing w:after="40" w:before="40"/>
            </w:pPr>
            <w:r>
              <w:rPr>
                <w:rFonts w:ascii="Arial" w:cs="Arial" w:eastAsia="Arial" w:hAnsi="Arial"/>
                <w:color w:val="374151"/>
                <w:sz w:val="22"/>
                <w:szCs w:val="22"/>
              </w:rPr>
              <w:t xml:space="preserve">Manual EDGAR parsing</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Product Architecture</w:t>
      </w:r>
    </w:p>
    <w:p>
      <w:pPr>
        <w:spacing w:after="100" w:before="60"/>
      </w:pPr>
      <w:r>
        <w:rPr>
          <w:rFonts w:ascii="Arial" w:cs="Arial" w:eastAsia="Arial" w:hAnsi="Arial"/>
          <w:color w:val="374151"/>
          <w:sz w:val="22"/>
          <w:szCs w:val="22"/>
        </w:rPr>
        <w:t xml:space="preserve">The system is structured as four distinct layers. Each layer is independently valuable and builds on the one below it. A failure or gap in any layer is isolated and does not break the others.</w:t>
      </w:r>
    </w:p>
    <w:p>
      <w:pPr>
        <w:spacing w:after="120" w:before="0"/>
      </w:pPr>
      <w:r>
        <w:t xml:space="preserve"/>
      </w:r>
    </w:p>
    <w:p>
      <w:pPr>
        <w:pStyle w:val="Heading2"/>
        <w:spacing w:after="100" w:before="280"/>
      </w:pPr>
      <w:r>
        <w:rPr>
          <w:rFonts w:ascii="Arial" w:cs="Arial" w:eastAsia="Arial" w:hAnsi="Arial"/>
          <w:b/>
          <w:bCs/>
          <w:color w:val="2563EB"/>
          <w:sz w:val="28"/>
          <w:szCs w:val="28"/>
        </w:rPr>
        <w:t xml:space="preserve">Layer 1 — Data Pipeline</w:t>
      </w:r>
    </w:p>
    <w:p>
      <w:pPr>
        <w:spacing w:after="100" w:before="60"/>
      </w:pPr>
      <w:r>
        <w:rPr>
          <w:rFonts w:ascii="Arial" w:cs="Arial" w:eastAsia="Arial" w:hAnsi="Arial"/>
          <w:color w:val="374151"/>
          <w:sz w:val="22"/>
          <w:szCs w:val="22"/>
        </w:rPr>
        <w:t xml:space="preserve">The foundation. Pulls, cleans, and stores raw financial data from SEC EDGAR for any US-listed public company.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16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0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CIK Lookup</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Maps ticker symbols to SEC Central Index Keys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EDGAR submissions API</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CompanyFacts Fetch</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Pulls all XBRL-tagged line items per company</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data.sec.gov/api/xbrl</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Tag Resolver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Handles synonym tags (Revenues vs RevenueFromContract...)</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Python fallback logic</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TTM Calculator</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Sums trailing 4 quarters for any metric</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pandas rolling window</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Metric Engine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Applies all 55 formulas to raw inputs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Python / pandas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Rate Limiter</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Respects SEC 10 req/sec limit with backoff</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tenacity / asyncio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Cache Layer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Avoids redundant API calls, stores results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SQLite / PostgreSQL</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Scheduler</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Triggers refreshes post 10-K/10-Q filing dates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APScheduler / cron</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Layer 2 — Database</w:t>
      </w:r>
    </w:p>
    <w:p>
      <w:pPr>
        <w:spacing w:after="100" w:before="60"/>
      </w:pPr>
      <w:r>
        <w:rPr>
          <w:rFonts w:ascii="Arial" w:cs="Arial" w:eastAsia="Arial" w:hAnsi="Arial"/>
          <w:color w:val="374151"/>
          <w:sz w:val="22"/>
          <w:szCs w:val="22"/>
        </w:rPr>
        <w:t xml:space="preserve">Structured storage that makes metrics queryable across companies, time periods, and categories.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DBEAFE" w:val="clear"/>
            <w:tcMar>
              <w:top w:type="dxa" w:w="100"/>
              <w:left w:type="dxa" w:w="140"/>
              <w:bottom w:type="dxa" w:w="100"/>
              <w:right w:type="dxa" w:w="140"/>
            </w:tcMar>
          </w:tcPr>
          <w:p>
            <w:pPr>
              <w:spacing w:after="80" w:before="0"/>
            </w:pPr>
            <w:r>
              <w:rPr>
                <w:rFonts w:ascii="Arial" w:cs="Arial" w:eastAsia="Arial" w:hAnsi="Arial"/>
                <w:b/>
                <w:bCs/>
                <w:color w:val="0D1B2A"/>
                <w:sz w:val="22"/>
                <w:szCs w:val="22"/>
              </w:rPr>
              <w:t xml:space="preserve">Schema Design</w:t>
            </w:r>
          </w:p>
          <w:p>
            <w:pPr>
              <w:pStyle w:val="ListParagraph"/>
              <w:numPr>
                <w:ilvl w:val="0"/>
                <w:numId w:val="2"/>
              </w:numPr>
              <w:spacing w:after="40" w:before="40"/>
            </w:pPr>
            <w:r>
              <w:rPr>
                <w:rFonts w:ascii="Arial" w:cs="Arial" w:eastAsia="Arial" w:hAnsi="Arial"/>
                <w:color w:val="374151"/>
                <w:sz w:val="22"/>
                <w:szCs w:val="22"/>
              </w:rPr>
              <w:t xml:space="preserve">companies  —  CIK, ticker, name, sector, SIC</w:t>
            </w:r>
          </w:p>
          <w:p>
            <w:pPr>
              <w:pStyle w:val="ListParagraph"/>
              <w:numPr>
                <w:ilvl w:val="0"/>
                <w:numId w:val="2"/>
              </w:numPr>
              <w:spacing w:after="40" w:before="40"/>
            </w:pPr>
            <w:r>
              <w:rPr>
                <w:rFonts w:ascii="Arial" w:cs="Arial" w:eastAsia="Arial" w:hAnsi="Arial"/>
                <w:color w:val="374151"/>
                <w:sz w:val="22"/>
                <w:szCs w:val="22"/>
              </w:rPr>
              <w:t xml:space="preserve">filings  —  accession, period, form type, date</w:t>
            </w:r>
          </w:p>
          <w:p>
            <w:pPr>
              <w:pStyle w:val="ListParagraph"/>
              <w:numPr>
                <w:ilvl w:val="0"/>
                <w:numId w:val="2"/>
              </w:numPr>
              <w:spacing w:after="40" w:before="40"/>
            </w:pPr>
            <w:r>
              <w:rPr>
                <w:rFonts w:ascii="Arial" w:cs="Arial" w:eastAsia="Arial" w:hAnsi="Arial"/>
                <w:color w:val="374151"/>
                <w:sz w:val="22"/>
                <w:szCs w:val="22"/>
              </w:rPr>
              <w:t xml:space="preserve">raw_facts  —  tag, value, unit, period, CIK</w:t>
            </w:r>
          </w:p>
          <w:p>
            <w:pPr>
              <w:pStyle w:val="ListParagraph"/>
              <w:numPr>
                <w:ilvl w:val="0"/>
                <w:numId w:val="2"/>
              </w:numPr>
              <w:spacing w:after="40" w:before="40"/>
            </w:pPr>
            <w:r>
              <w:rPr>
                <w:rFonts w:ascii="Arial" w:cs="Arial" w:eastAsia="Arial" w:hAnsi="Arial"/>
                <w:color w:val="374151"/>
                <w:sz w:val="22"/>
                <w:szCs w:val="22"/>
              </w:rPr>
              <w:t xml:space="preserve">metrics  —  all 55 calculated values per company per period</w:t>
            </w:r>
          </w:p>
          <w:p>
            <w:pPr>
              <w:pStyle w:val="ListParagraph"/>
              <w:numPr>
                <w:ilvl w:val="0"/>
                <w:numId w:val="2"/>
              </w:numPr>
              <w:spacing w:after="40" w:before="40"/>
            </w:pPr>
            <w:r>
              <w:rPr>
                <w:rFonts w:ascii="Arial" w:cs="Arial" w:eastAsia="Arial" w:hAnsi="Arial"/>
                <w:color w:val="374151"/>
                <w:sz w:val="22"/>
                <w:szCs w:val="22"/>
              </w:rPr>
              <w:t xml:space="preserve">flags  —  threshold alerts and anomaly signals</w:t>
            </w:r>
          </w:p>
        </w:tc>
        <w:tc>
          <w:tcPr>
            <w:tcW w:type="dxa" w:w="4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80" w:before="0"/>
            </w:pPr>
            <w:r>
              <w:rPr>
                <w:rFonts w:ascii="Arial" w:cs="Arial" w:eastAsia="Arial" w:hAnsi="Arial"/>
                <w:b/>
                <w:bCs/>
                <w:color w:val="0D1B2A"/>
                <w:sz w:val="22"/>
                <w:szCs w:val="22"/>
              </w:rPr>
              <w:t xml:space="preserve">Technology Options</w:t>
            </w:r>
          </w:p>
          <w:p>
            <w:pPr>
              <w:pStyle w:val="ListParagraph"/>
              <w:numPr>
                <w:ilvl w:val="0"/>
                <w:numId w:val="2"/>
              </w:numPr>
              <w:spacing w:after="40" w:before="40"/>
            </w:pPr>
            <w:r>
              <w:rPr>
                <w:rFonts w:ascii="Arial" w:cs="Arial" w:eastAsia="Arial" w:hAnsi="Arial"/>
                <w:color w:val="374151"/>
                <w:sz w:val="22"/>
                <w:szCs w:val="22"/>
              </w:rPr>
              <w:t xml:space="preserve">PostgreSQL  —  primary store, full SQL querying</w:t>
            </w:r>
          </w:p>
          <w:p>
            <w:pPr>
              <w:pStyle w:val="ListParagraph"/>
              <w:numPr>
                <w:ilvl w:val="0"/>
                <w:numId w:val="2"/>
              </w:numPr>
              <w:spacing w:after="40" w:before="40"/>
            </w:pPr>
            <w:r>
              <w:rPr>
                <w:rFonts w:ascii="Arial" w:cs="Arial" w:eastAsia="Arial" w:hAnsi="Arial"/>
                <w:color w:val="374151"/>
                <w:sz w:val="22"/>
                <w:szCs w:val="22"/>
              </w:rPr>
              <w:t xml:space="preserve">SQLite  —  local dev / single-machine version</w:t>
            </w:r>
          </w:p>
          <w:p>
            <w:pPr>
              <w:pStyle w:val="ListParagraph"/>
              <w:numPr>
                <w:ilvl w:val="0"/>
                <w:numId w:val="2"/>
              </w:numPr>
              <w:spacing w:after="40" w:before="40"/>
            </w:pPr>
            <w:r>
              <w:rPr>
                <w:rFonts w:ascii="Arial" w:cs="Arial" w:eastAsia="Arial" w:hAnsi="Arial"/>
                <w:color w:val="374151"/>
                <w:sz w:val="22"/>
                <w:szCs w:val="22"/>
              </w:rPr>
              <w:t xml:space="preserve">TimescaleDB  —  time-series extension for PostgreSQL</w:t>
            </w:r>
          </w:p>
          <w:p>
            <w:pPr>
              <w:pStyle w:val="ListParagraph"/>
              <w:numPr>
                <w:ilvl w:val="0"/>
                <w:numId w:val="2"/>
              </w:numPr>
              <w:spacing w:after="40" w:before="40"/>
            </w:pPr>
            <w:r>
              <w:rPr>
                <w:rFonts w:ascii="Arial" w:cs="Arial" w:eastAsia="Arial" w:hAnsi="Arial"/>
                <w:color w:val="374151"/>
                <w:sz w:val="22"/>
                <w:szCs w:val="22"/>
              </w:rPr>
              <w:t xml:space="preserve">Redis  —  cache layer for API response speed</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Layer 3 — API</w:t>
      </w:r>
    </w:p>
    <w:p>
      <w:pPr>
        <w:spacing w:after="100" w:before="60"/>
      </w:pPr>
      <w:r>
        <w:rPr>
          <w:rFonts w:ascii="Arial" w:cs="Arial" w:eastAsia="Arial" w:hAnsi="Arial"/>
          <w:color w:val="374151"/>
          <w:sz w:val="22"/>
          <w:szCs w:val="22"/>
        </w:rPr>
        <w:t xml:space="preserve">The interface between the data layer and the dashboard. Exposes clean endpoints that the frontend consumes.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16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300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GET /company/{ticker}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All 55 metrics, latest period</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Single company snapshot</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GET /company/{ticker}/history</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Metrics across N periods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Trend analysis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GET /compare?tickers=A,B,C</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Side-by-side metric matrix</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Peer comparison</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GET /screen</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Companies matching filter criteria</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Screener / watchlist</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GET /flags/{ticker}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Triggered threshold alerts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Risk monitoring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GET /sector/{sector}</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Sector aggregate stats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Benchmarking</w:t>
            </w:r>
          </w:p>
        </w:tc>
      </w:tr>
    </w:tbl>
    <w:p>
      <w:pPr>
        <w:spacing w:after="80" w:before="0"/>
      </w:pPr>
      <w:r>
        <w:t xml:space="preserve"/>
      </w:r>
    </w:p>
    <w:p>
      <w:pPr>
        <w:spacing w:after="100" w:before="60"/>
      </w:pPr>
      <w:r>
        <w:rPr>
          <w:rFonts w:ascii="Arial" w:cs="Arial" w:eastAsia="Arial" w:hAnsi="Arial"/>
          <w:color w:val="374151"/>
          <w:sz w:val="22"/>
          <w:szCs w:val="22"/>
        </w:rPr>
        <w:t xml:space="preserve">Technology: FastAPI (Python). Async, auto-generates OpenAPI docs, ideal for data-heavy endpoints. Deployed on Railway or Render for zero-config hosting.</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Layer 4 — Dashboard</w:t>
      </w:r>
    </w:p>
    <w:p>
      <w:pPr>
        <w:spacing w:after="100" w:before="60"/>
      </w:pPr>
      <w:r>
        <w:rPr>
          <w:rFonts w:ascii="Arial" w:cs="Arial" w:eastAsia="Arial" w:hAnsi="Arial"/>
          <w:color w:val="374151"/>
          <w:sz w:val="22"/>
          <w:szCs w:val="22"/>
        </w:rPr>
        <w:t xml:space="preserve">The user-facing product. React frontend consuming the API. Already scaffolded — the four-category metric display is the starting point.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tcPr>
          <w:p>
            <w:pPr>
              <w:spacing w:after="80" w:before="0"/>
            </w:pPr>
            <w:r>
              <w:rPr>
                <w:rFonts w:ascii="Arial" w:cs="Arial" w:eastAsia="Arial" w:hAnsi="Arial"/>
                <w:b/>
                <w:bCs/>
                <w:color w:val="166534"/>
                <w:sz w:val="22"/>
                <w:szCs w:val="22"/>
              </w:rPr>
              <w:t xml:space="preserve">Current State</w:t>
            </w:r>
          </w:p>
          <w:p>
            <w:pPr>
              <w:pStyle w:val="ListParagraph"/>
              <w:numPr>
                <w:ilvl w:val="0"/>
                <w:numId w:val="2"/>
              </w:numPr>
              <w:spacing w:after="40" w:before="40"/>
            </w:pPr>
            <w:r>
              <w:rPr>
                <w:rFonts w:ascii="Arial" w:cs="Arial" w:eastAsia="Arial" w:hAnsi="Arial"/>
                <w:color w:val="374151"/>
                <w:sz w:val="22"/>
                <w:szCs w:val="22"/>
              </w:rPr>
              <w:t xml:space="preserve">Four-category metric layout built</w:t>
            </w:r>
          </w:p>
          <w:p>
            <w:pPr>
              <w:pStyle w:val="ListParagraph"/>
              <w:numPr>
                <w:ilvl w:val="0"/>
                <w:numId w:val="2"/>
              </w:numPr>
              <w:spacing w:after="40" w:before="40"/>
            </w:pPr>
            <w:r>
              <w:rPr>
                <w:rFonts w:ascii="Arial" w:cs="Arial" w:eastAsia="Arial" w:hAnsi="Arial"/>
                <w:color w:val="374151"/>
                <w:sz w:val="22"/>
                <w:szCs w:val="22"/>
              </w:rPr>
              <w:t xml:space="preserve">All 55 metrics displayed with definitions</w:t>
            </w:r>
          </w:p>
          <w:p>
            <w:pPr>
              <w:pStyle w:val="ListParagraph"/>
              <w:numPr>
                <w:ilvl w:val="0"/>
                <w:numId w:val="2"/>
              </w:numPr>
              <w:spacing w:after="40" w:before="40"/>
            </w:pPr>
            <w:r>
              <w:rPr>
                <w:rFonts w:ascii="Arial" w:cs="Arial" w:eastAsia="Arial" w:hAnsi="Arial"/>
                <w:color w:val="374151"/>
                <w:sz w:val="22"/>
                <w:szCs w:val="22"/>
              </w:rPr>
              <w:t xml:space="preserve">Hover interactions and visual design complete</w:t>
            </w:r>
          </w:p>
          <w:p>
            <w:pPr>
              <w:pStyle w:val="ListParagraph"/>
              <w:numPr>
                <w:ilvl w:val="0"/>
                <w:numId w:val="2"/>
              </w:numPr>
              <w:spacing w:after="40" w:before="40"/>
            </w:pPr>
            <w:r>
              <w:rPr>
                <w:rFonts w:ascii="Arial" w:cs="Arial" w:eastAsia="Arial" w:hAnsi="Arial"/>
                <w:color w:val="374151"/>
                <w:sz w:val="22"/>
                <w:szCs w:val="22"/>
              </w:rPr>
              <w:t xml:space="preserve">Hosted as React component</w:t>
            </w:r>
          </w:p>
        </w:tc>
        <w:tc>
          <w:tcPr>
            <w:tcW w:type="dxa" w:w="4760"/>
            <w:tcBorders>
              <w:top w:val="single" w:color="E5E7EB" w:sz="4"/>
              <w:left w:val="single" w:color="E5E7EB" w:sz="4"/>
              <w:bottom w:val="single" w:color="E5E7EB" w:sz="4"/>
              <w:right w:val="single" w:color="E5E7EB" w:sz="4"/>
            </w:tcBorders>
            <w:shd w:fill="DBEAFE" w:val="clear"/>
            <w:tcMar>
              <w:top w:type="dxa" w:w="100"/>
              <w:left w:type="dxa" w:w="140"/>
              <w:bottom w:type="dxa" w:w="100"/>
              <w:right w:type="dxa" w:w="140"/>
            </w:tcMar>
          </w:tcPr>
          <w:p>
            <w:pPr>
              <w:spacing w:after="80" w:before="0"/>
            </w:pPr>
            <w:r>
              <w:rPr>
                <w:rFonts w:ascii="Arial" w:cs="Arial" w:eastAsia="Arial" w:hAnsi="Arial"/>
                <w:b/>
                <w:bCs/>
                <w:color w:val="0D1B2A"/>
                <w:sz w:val="22"/>
                <w:szCs w:val="22"/>
              </w:rPr>
              <w:t xml:space="preserve">Next State</w:t>
            </w:r>
          </w:p>
          <w:p>
            <w:pPr>
              <w:pStyle w:val="ListParagraph"/>
              <w:numPr>
                <w:ilvl w:val="0"/>
                <w:numId w:val="2"/>
              </w:numPr>
              <w:spacing w:after="40" w:before="40"/>
            </w:pPr>
            <w:r>
              <w:rPr>
                <w:rFonts w:ascii="Arial" w:cs="Arial" w:eastAsia="Arial" w:hAnsi="Arial"/>
                <w:color w:val="374151"/>
                <w:sz w:val="22"/>
                <w:szCs w:val="22"/>
              </w:rPr>
              <w:t xml:space="preserve">Ticker search bar wired to API</w:t>
            </w:r>
          </w:p>
          <w:p>
            <w:pPr>
              <w:pStyle w:val="ListParagraph"/>
              <w:numPr>
                <w:ilvl w:val="0"/>
                <w:numId w:val="2"/>
              </w:numPr>
              <w:spacing w:after="40" w:before="40"/>
            </w:pPr>
            <w:r>
              <w:rPr>
                <w:rFonts w:ascii="Arial" w:cs="Arial" w:eastAsia="Arial" w:hAnsi="Arial"/>
                <w:color w:val="374151"/>
                <w:sz w:val="22"/>
                <w:szCs w:val="22"/>
              </w:rPr>
              <w:t xml:space="preserve">Real data populates metric values</w:t>
            </w:r>
          </w:p>
          <w:p>
            <w:pPr>
              <w:pStyle w:val="ListParagraph"/>
              <w:numPr>
                <w:ilvl w:val="0"/>
                <w:numId w:val="2"/>
              </w:numPr>
              <w:spacing w:after="40" w:before="40"/>
            </w:pPr>
            <w:r>
              <w:rPr>
                <w:rFonts w:ascii="Arial" w:cs="Arial" w:eastAsia="Arial" w:hAnsi="Arial"/>
                <w:color w:val="374151"/>
                <w:sz w:val="22"/>
                <w:szCs w:val="22"/>
              </w:rPr>
              <w:t xml:space="preserve">Trend sparklines per metric</w:t>
            </w:r>
          </w:p>
          <w:p>
            <w:pPr>
              <w:pStyle w:val="ListParagraph"/>
              <w:numPr>
                <w:ilvl w:val="0"/>
                <w:numId w:val="2"/>
              </w:numPr>
              <w:spacing w:after="40" w:before="40"/>
            </w:pPr>
            <w:r>
              <w:rPr>
                <w:rFonts w:ascii="Arial" w:cs="Arial" w:eastAsia="Arial" w:hAnsi="Arial"/>
                <w:color w:val="374151"/>
                <w:sz w:val="22"/>
                <w:szCs w:val="22"/>
              </w:rPr>
              <w:t xml:space="preserve">Peer comparison toggle</w:t>
            </w:r>
          </w:p>
          <w:p>
            <w:pPr>
              <w:pStyle w:val="ListParagraph"/>
              <w:numPr>
                <w:ilvl w:val="0"/>
                <w:numId w:val="2"/>
              </w:numPr>
              <w:spacing w:after="40" w:before="40"/>
            </w:pPr>
            <w:r>
              <w:rPr>
                <w:rFonts w:ascii="Arial" w:cs="Arial" w:eastAsia="Arial" w:hAnsi="Arial"/>
                <w:color w:val="374151"/>
                <w:sz w:val="22"/>
                <w:szCs w:val="22"/>
              </w:rPr>
              <w:t xml:space="preserve">Flag / alert badges on metrics</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Technology Stack</w:t>
      </w:r>
    </w:p>
    <w:p>
      <w:pPr>
        <w:spacing w:after="100" w:before="60"/>
      </w:pPr>
      <w:r>
        <w:rPr>
          <w:rFonts w:ascii="Arial" w:cs="Arial" w:eastAsia="Arial" w:hAnsi="Arial"/>
          <w:color w:val="374151"/>
          <w:sz w:val="22"/>
          <w:szCs w:val="22"/>
        </w:rPr>
        <w:t xml:space="preserve">Stack choices are guided by three principles: free or near-free to host, demonstrable on a resume, and the same stack used at buy-side and sell-side firms at scale.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4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Data / Pipeline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Python + pandas + requests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Industry standard for financial data work; pandas is expected on every analyst resume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Database</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PostgreSQL + SQLite</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PostgreSQL is enterprise-grade; SQLite for zero-config local dev</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Backend API</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FastAPI</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Fastest Python API framework; auto-generates Swagger docs; async-native for EDGAR rate limiting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Frontend</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React + Recharts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React is universal; Recharts handles financial time-series charts cleanly</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Hosting (API)</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Railway / Render</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Free tier, GitHub-connected deploys, PostgreSQL add-on available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Hosting (Frontend)</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Vercel</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One-click React deploys, global CDN, free tier sufficient</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Version Control</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GitHub</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Public repo doubles as portfolio evidence; commit history shows work ethic</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Auth (later)</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Clerk / Supabase Auth</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Drop-in auth for freemium gating without building from scratch</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Payments (later)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Stripe</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Industry standard; free until revenue; simple subscription API</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Monitoring</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Sentry + Posthog</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Error tracking + product analytics; both free tiers</w:t>
            </w:r>
          </w:p>
        </w:tc>
      </w:tr>
    </w:tbl>
    <w:p>
      <w:pPr>
        <w:spacing w:after="120" w:before="0"/>
      </w:pPr>
      <w:r>
        <w:t xml:space="preserve"/>
      </w:r>
    </w:p>
    <w:p>
      <w:pPr>
        <w:spacing w:after="100" w:before="60"/>
      </w:pPr>
      <w:r>
        <w:rPr>
          <w:rFonts w:ascii="Arial" w:cs="Arial" w:eastAsia="Arial" w:hAnsi="Arial"/>
          <w:b/>
          <w:bCs/>
          <w:color w:val="0D1B2A"/>
          <w:sz w:val="22"/>
          <w:szCs w:val="22"/>
        </w:rPr>
        <w:t xml:space="preserve">What this stack signals to employers:</w:t>
      </w:r>
    </w:p>
    <w:p>
      <w:pPr>
        <w:pStyle w:val="ListParagraph"/>
        <w:numPr>
          <w:ilvl w:val="0"/>
          <w:numId w:val="2"/>
        </w:numPr>
        <w:spacing w:after="40" w:before="40"/>
      </w:pPr>
      <w:r>
        <w:rPr>
          <w:rFonts w:ascii="Arial" w:cs="Arial" w:eastAsia="Arial" w:hAnsi="Arial"/>
          <w:color w:val="374151"/>
          <w:sz w:val="22"/>
          <w:szCs w:val="22"/>
        </w:rPr>
        <w:t xml:space="preserve">Python proficiency — expected for any quant or data-adjacent analyst role</w:t>
      </w:r>
    </w:p>
    <w:p>
      <w:pPr>
        <w:pStyle w:val="ListParagraph"/>
        <w:numPr>
          <w:ilvl w:val="0"/>
          <w:numId w:val="2"/>
        </w:numPr>
        <w:spacing w:after="40" w:before="40"/>
      </w:pPr>
      <w:r>
        <w:rPr>
          <w:rFonts w:ascii="Arial" w:cs="Arial" w:eastAsia="Arial" w:hAnsi="Arial"/>
          <w:color w:val="374151"/>
          <w:sz w:val="22"/>
          <w:szCs w:val="22"/>
        </w:rPr>
        <w:t xml:space="preserve">SQL fluency — mandatory across buy-side, sell-side, and corporate finance</w:t>
      </w:r>
    </w:p>
    <w:p>
      <w:pPr>
        <w:pStyle w:val="ListParagraph"/>
        <w:numPr>
          <w:ilvl w:val="0"/>
          <w:numId w:val="2"/>
        </w:numPr>
        <w:spacing w:after="40" w:before="40"/>
      </w:pPr>
      <w:r>
        <w:rPr>
          <w:rFonts w:ascii="Arial" w:cs="Arial" w:eastAsia="Arial" w:hAnsi="Arial"/>
          <w:color w:val="374151"/>
          <w:sz w:val="22"/>
          <w:szCs w:val="22"/>
        </w:rPr>
        <w:t xml:space="preserve">API design awareness — valued at fintech and data-forward firms</w:t>
      </w:r>
    </w:p>
    <w:p>
      <w:pPr>
        <w:pStyle w:val="ListParagraph"/>
        <w:numPr>
          <w:ilvl w:val="0"/>
          <w:numId w:val="2"/>
        </w:numPr>
        <w:spacing w:after="40" w:before="40"/>
      </w:pPr>
      <w:r>
        <w:rPr>
          <w:rFonts w:ascii="Arial" w:cs="Arial" w:eastAsia="Arial" w:hAnsi="Arial"/>
          <w:color w:val="374151"/>
          <w:sz w:val="22"/>
          <w:szCs w:val="22"/>
        </w:rPr>
        <w:t xml:space="preserve">Deployment capability — rare among pure finance candidates, very attractive to hybrid roles</w:t>
      </w:r>
    </w:p>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Phased Product Roadmap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pPr>
              <w:jc w:val="left"/>
            </w:pPr>
            <w:r>
              <w:rPr>
                <w:rFonts w:ascii="Arial" w:cs="Arial" w:eastAsia="Arial" w:hAnsi="Arial"/>
                <w:b/>
                <w:bCs/>
                <w:color w:val="FFFFFF"/>
                <w:sz w:val="28"/>
                <w:szCs w:val="28"/>
              </w:rPr>
              <w:t xml:space="preserve">PHASE 1  </w:t>
            </w:r>
            <w:r>
              <w:rPr>
                <w:rFonts w:ascii="Arial" w:cs="Arial" w:eastAsia="Arial" w:hAnsi="Arial"/>
                <w:b/>
                <w:bCs/>
                <w:color w:val="FFFFFF"/>
                <w:sz w:val="28"/>
                <w:szCs w:val="28"/>
              </w:rPr>
              <w:t xml:space="preserve">Foundation  —  Build the Engine</w:t>
            </w:r>
            <w:r>
              <w:rPr>
                <w:rFonts w:ascii="Arial" w:cs="Arial" w:eastAsia="Arial" w:hAnsi="Arial"/>
                <w:i/>
                <w:iCs/>
                <w:color w:val="FFFFFF"/>
                <w:sz w:val="20"/>
                <w:szCs w:val="20"/>
              </w:rPr>
              <w:t xml:space="preserve">   Months 1–2</w:t>
            </w:r>
          </w:p>
        </w:tc>
      </w:tr>
    </w:tbl>
    <w:p>
      <w:pPr>
        <w:spacing w:after="80" w:before="0"/>
      </w:pPr>
      <w:r>
        <w:t xml:space="preserve"/>
      </w:r>
    </w:p>
    <w:p>
      <w:pPr>
        <w:spacing w:after="100" w:before="60"/>
      </w:pPr>
      <w:r>
        <w:rPr>
          <w:rFonts w:ascii="Arial" w:cs="Arial" w:eastAsia="Arial" w:hAnsi="Arial"/>
          <w:color w:val="374151"/>
          <w:sz w:val="22"/>
          <w:szCs w:val="22"/>
        </w:rPr>
        <w:t xml:space="preserve">Goal: Get real data for 10 tickers populating the dashboard. This is your proof of concept and the version you send to employers.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DBEAFE" w:val="clear"/>
            <w:tcMar>
              <w:top w:type="dxa" w:w="100"/>
              <w:left w:type="dxa" w:w="140"/>
              <w:bottom w:type="dxa" w:w="100"/>
              <w:right w:type="dxa" w:w="140"/>
            </w:tcMar>
          </w:tcPr>
          <w:p>
            <w:pPr>
              <w:spacing w:after="80" w:before="0"/>
            </w:pPr>
            <w:r>
              <w:rPr>
                <w:rFonts w:ascii="Arial" w:cs="Arial" w:eastAsia="Arial" w:hAnsi="Arial"/>
                <w:b/>
                <w:bCs/>
                <w:color w:val="2563EB"/>
                <w:sz w:val="22"/>
                <w:szCs w:val="22"/>
              </w:rPr>
              <w:t xml:space="preserve">Build</w:t>
            </w:r>
          </w:p>
          <w:p>
            <w:pPr>
              <w:pStyle w:val="ListParagraph"/>
              <w:numPr>
                <w:ilvl w:val="0"/>
                <w:numId w:val="2"/>
              </w:numPr>
              <w:spacing w:after="40" w:before="40"/>
            </w:pPr>
            <w:r>
              <w:rPr>
                <w:rFonts w:ascii="Arial" w:cs="Arial" w:eastAsia="Arial" w:hAnsi="Arial"/>
                <w:color w:val="374151"/>
                <w:sz w:val="22"/>
                <w:szCs w:val="22"/>
              </w:rPr>
              <w:t xml:space="preserve">EDGAR pipeline: CIK lookup, CompanyFacts fetch, tag resolver</w:t>
            </w:r>
          </w:p>
          <w:p>
            <w:pPr>
              <w:pStyle w:val="ListParagraph"/>
              <w:numPr>
                <w:ilvl w:val="0"/>
                <w:numId w:val="2"/>
              </w:numPr>
              <w:spacing w:after="40" w:before="40"/>
            </w:pPr>
            <w:r>
              <w:rPr>
                <w:rFonts w:ascii="Arial" w:cs="Arial" w:eastAsia="Arial" w:hAnsi="Arial"/>
                <w:color w:val="374151"/>
                <w:sz w:val="22"/>
                <w:szCs w:val="22"/>
              </w:rPr>
              <w:t xml:space="preserve">TTM calculator for Revenue, EBITDA, margins</w:t>
            </w:r>
          </w:p>
          <w:p>
            <w:pPr>
              <w:pStyle w:val="ListParagraph"/>
              <w:numPr>
                <w:ilvl w:val="0"/>
                <w:numId w:val="2"/>
              </w:numPr>
              <w:spacing w:after="40" w:before="40"/>
            </w:pPr>
            <w:r>
              <w:rPr>
                <w:rFonts w:ascii="Arial" w:cs="Arial" w:eastAsia="Arial" w:hAnsi="Arial"/>
                <w:color w:val="374151"/>
                <w:sz w:val="22"/>
                <w:szCs w:val="22"/>
              </w:rPr>
              <w:t xml:space="preserve">Metric engine for all 55 formulas</w:t>
            </w:r>
          </w:p>
          <w:p>
            <w:pPr>
              <w:pStyle w:val="ListParagraph"/>
              <w:numPr>
                <w:ilvl w:val="0"/>
                <w:numId w:val="2"/>
              </w:numPr>
              <w:spacing w:after="40" w:before="40"/>
            </w:pPr>
            <w:r>
              <w:rPr>
                <w:rFonts w:ascii="Arial" w:cs="Arial" w:eastAsia="Arial" w:hAnsi="Arial"/>
                <w:color w:val="374151"/>
                <w:sz w:val="22"/>
                <w:szCs w:val="22"/>
              </w:rPr>
              <w:t xml:space="preserve">SQLite local database</w:t>
            </w:r>
          </w:p>
          <w:p>
            <w:pPr>
              <w:pStyle w:val="ListParagraph"/>
              <w:numPr>
                <w:ilvl w:val="0"/>
                <w:numId w:val="2"/>
              </w:numPr>
              <w:spacing w:after="40" w:before="40"/>
            </w:pPr>
            <w:r>
              <w:rPr>
                <w:rFonts w:ascii="Arial" w:cs="Arial" w:eastAsia="Arial" w:hAnsi="Arial"/>
                <w:color w:val="374151"/>
                <w:sz w:val="22"/>
                <w:szCs w:val="22"/>
              </w:rPr>
              <w:t xml:space="preserve">FastAPI with 3 core endpoints</w:t>
            </w:r>
          </w:p>
          <w:p>
            <w:pPr>
              <w:pStyle w:val="ListParagraph"/>
              <w:numPr>
                <w:ilvl w:val="0"/>
                <w:numId w:val="2"/>
              </w:numPr>
              <w:spacing w:after="40" w:before="40"/>
            </w:pPr>
            <w:r>
              <w:rPr>
                <w:rFonts w:ascii="Arial" w:cs="Arial" w:eastAsia="Arial" w:hAnsi="Arial"/>
                <w:color w:val="374151"/>
                <w:sz w:val="22"/>
                <w:szCs w:val="22"/>
              </w:rPr>
              <w:t xml:space="preserve">Wire dashboard ticker search to API</w:t>
            </w:r>
          </w:p>
        </w:tc>
        <w:tc>
          <w:tcPr>
            <w:tcW w:type="dxa" w:w="4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80" w:before="0"/>
            </w:pPr>
            <w:r>
              <w:rPr>
                <w:rFonts w:ascii="Arial" w:cs="Arial" w:eastAsia="Arial" w:hAnsi="Arial"/>
                <w:b/>
                <w:bCs/>
                <w:color w:val="2563EB"/>
                <w:sz w:val="22"/>
                <w:szCs w:val="22"/>
              </w:rPr>
              <w:t xml:space="preserve">Deliverable</w:t>
            </w:r>
          </w:p>
          <w:p>
            <w:pPr>
              <w:pStyle w:val="ListParagraph"/>
              <w:numPr>
                <w:ilvl w:val="0"/>
                <w:numId w:val="2"/>
              </w:numPr>
              <w:spacing w:after="40" w:before="40"/>
            </w:pPr>
            <w:r>
              <w:rPr>
                <w:rFonts w:ascii="Arial" w:cs="Arial" w:eastAsia="Arial" w:hAnsi="Arial"/>
                <w:color w:val="374151"/>
                <w:sz w:val="22"/>
                <w:szCs w:val="22"/>
              </w:rPr>
              <w:t xml:space="preserve">Public GitHub repo with clean README</w:t>
            </w:r>
          </w:p>
          <w:p>
            <w:pPr>
              <w:pStyle w:val="ListParagraph"/>
              <w:numPr>
                <w:ilvl w:val="0"/>
                <w:numId w:val="2"/>
              </w:numPr>
              <w:spacing w:after="40" w:before="40"/>
            </w:pPr>
            <w:r>
              <w:rPr>
                <w:rFonts w:ascii="Arial" w:cs="Arial" w:eastAsia="Arial" w:hAnsi="Arial"/>
                <w:color w:val="374151"/>
                <w:sz w:val="22"/>
                <w:szCs w:val="22"/>
              </w:rPr>
              <w:t xml:space="preserve">Live dashboard URL (Vercel)</w:t>
            </w:r>
          </w:p>
          <w:p>
            <w:pPr>
              <w:pStyle w:val="ListParagraph"/>
              <w:numPr>
                <w:ilvl w:val="0"/>
                <w:numId w:val="2"/>
              </w:numPr>
              <w:spacing w:after="40" w:before="40"/>
            </w:pPr>
            <w:r>
              <w:rPr>
                <w:rFonts w:ascii="Arial" w:cs="Arial" w:eastAsia="Arial" w:hAnsi="Arial"/>
                <w:color w:val="374151"/>
                <w:sz w:val="22"/>
                <w:szCs w:val="22"/>
              </w:rPr>
              <w:t xml:space="preserve">10 tickers fully populated</w:t>
            </w:r>
          </w:p>
          <w:p>
            <w:pPr>
              <w:pStyle w:val="ListParagraph"/>
              <w:numPr>
                <w:ilvl w:val="0"/>
                <w:numId w:val="2"/>
              </w:numPr>
              <w:spacing w:after="40" w:before="40"/>
            </w:pPr>
            <w:r>
              <w:rPr>
                <w:rFonts w:ascii="Arial" w:cs="Arial" w:eastAsia="Arial" w:hAnsi="Arial"/>
                <w:color w:val="374151"/>
                <w:sz w:val="22"/>
                <w:szCs w:val="22"/>
              </w:rPr>
              <w:t xml:space="preserve">Architecture diagram in README</w:t>
            </w:r>
          </w:p>
          <w:p>
            <w:pPr>
              <w:pStyle w:val="ListParagraph"/>
              <w:numPr>
                <w:ilvl w:val="0"/>
                <w:numId w:val="2"/>
              </w:numPr>
              <w:spacing w:after="40" w:before="40"/>
            </w:pPr>
            <w:r>
              <w:rPr>
                <w:rFonts w:ascii="Arial" w:cs="Arial" w:eastAsia="Arial" w:hAnsi="Arial"/>
                <w:color w:val="374151"/>
                <w:sz w:val="22"/>
                <w:szCs w:val="22"/>
              </w:rPr>
              <w:t xml:space="preserve">This document linked in repo</w:t>
            </w:r>
          </w:p>
        </w:tc>
      </w:tr>
    </w:tbl>
    <w:p>
      <w:pPr>
        <w:spacing w:after="80" w:before="0"/>
      </w:pPr>
      <w:r>
        <w:t xml:space="preserve"/>
      </w:r>
    </w:p>
    <w:p>
      <w:pPr>
        <w:spacing w:after="100" w:before="60"/>
      </w:pPr>
      <w:r>
        <w:rPr>
          <w:rFonts w:ascii="Arial" w:cs="Arial" w:eastAsia="Arial" w:hAnsi="Arial"/>
          <w:color w:val="374151"/>
          <w:sz w:val="22"/>
          <w:szCs w:val="22"/>
        </w:rPr>
        <w:t xml:space="preserve">Target companies for Phase 1: AAPL, MSFT, AMZN, TSLA, JPM, WMT, CAT, UPS, NKE, PFE — covers tech, financials, retail, industrials, consumer, pharma.</w:t>
      </w:r>
    </w:p>
    <w:p>
      <w:pPr>
        <w:spacing w:after="120" w:before="0"/>
      </w:pPr>
      <w:r>
        <w:t xml:space="preserve"/>
      </w:r>
    </w:p>
    <w:p>
      <w:pPr>
        <w:pBdr>
          <w:bottom w:val="single" w:color="E5E7EB"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40"/>
              <w:left w:type="dxa" w:w="200"/>
              <w:bottom w:type="dxa" w:w="140"/>
              <w:right w:type="dxa" w:w="200"/>
            </w:tcMar>
          </w:tcPr>
          <w:p>
            <w:pPr>
              <w:jc w:val="left"/>
            </w:pPr>
            <w:r>
              <w:rPr>
                <w:rFonts w:ascii="Arial" w:cs="Arial" w:eastAsia="Arial" w:hAnsi="Arial"/>
                <w:b/>
                <w:bCs/>
                <w:color w:val="FFFFFF"/>
                <w:sz w:val="28"/>
                <w:szCs w:val="28"/>
              </w:rPr>
              <w:t xml:space="preserve">PHASE 2  </w:t>
            </w:r>
            <w:r>
              <w:rPr>
                <w:rFonts w:ascii="Arial" w:cs="Arial" w:eastAsia="Arial" w:hAnsi="Arial"/>
                <w:b/>
                <w:bCs/>
                <w:color w:val="FFFFFF"/>
                <w:sz w:val="28"/>
                <w:szCs w:val="28"/>
              </w:rPr>
              <w:t xml:space="preserve">Depth  —  Insight Layer</w:t>
            </w:r>
            <w:r>
              <w:rPr>
                <w:rFonts w:ascii="Arial" w:cs="Arial" w:eastAsia="Arial" w:hAnsi="Arial"/>
                <w:i/>
                <w:iCs/>
                <w:color w:val="FFFFFF"/>
                <w:sz w:val="20"/>
                <w:szCs w:val="20"/>
              </w:rPr>
              <w:t xml:space="preserve">   Months 3–4</w:t>
            </w:r>
          </w:p>
        </w:tc>
      </w:tr>
    </w:tbl>
    <w:p>
      <w:pPr>
        <w:spacing w:after="80" w:before="0"/>
      </w:pPr>
      <w:r>
        <w:t xml:space="preserve"/>
      </w:r>
    </w:p>
    <w:p>
      <w:pPr>
        <w:spacing w:after="100" w:before="60"/>
      </w:pPr>
      <w:r>
        <w:rPr>
          <w:rFonts w:ascii="Arial" w:cs="Arial" w:eastAsia="Arial" w:hAnsi="Arial"/>
          <w:color w:val="374151"/>
          <w:sz w:val="22"/>
          <w:szCs w:val="22"/>
        </w:rPr>
        <w:t xml:space="preserve">Goal: Add intelligence on top of data. The dashboard stops being a display and starts being an opinion platform.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tcPr>
          <w:p>
            <w:pPr>
              <w:spacing w:after="80" w:before="0"/>
            </w:pPr>
            <w:r>
              <w:rPr>
                <w:rFonts w:ascii="Arial" w:cs="Arial" w:eastAsia="Arial" w:hAnsi="Arial"/>
                <w:b/>
                <w:bCs/>
                <w:color w:val="166534"/>
                <w:sz w:val="22"/>
                <w:szCs w:val="22"/>
              </w:rPr>
              <w:t xml:space="preserve">Build</w:t>
            </w:r>
          </w:p>
          <w:p>
            <w:pPr>
              <w:pStyle w:val="ListParagraph"/>
              <w:numPr>
                <w:ilvl w:val="0"/>
                <w:numId w:val="2"/>
              </w:numPr>
              <w:spacing w:after="40" w:before="40"/>
            </w:pPr>
            <w:r>
              <w:rPr>
                <w:rFonts w:ascii="Arial" w:cs="Arial" w:eastAsia="Arial" w:hAnsi="Arial"/>
                <w:color w:val="374151"/>
                <w:sz w:val="22"/>
                <w:szCs w:val="22"/>
              </w:rPr>
              <w:t xml:space="preserve">Historical trends: 8 quarters of data per company</w:t>
            </w:r>
          </w:p>
          <w:p>
            <w:pPr>
              <w:pStyle w:val="ListParagraph"/>
              <w:numPr>
                <w:ilvl w:val="0"/>
                <w:numId w:val="2"/>
              </w:numPr>
              <w:spacing w:after="40" w:before="40"/>
            </w:pPr>
            <w:r>
              <w:rPr>
                <w:rFonts w:ascii="Arial" w:cs="Arial" w:eastAsia="Arial" w:hAnsi="Arial"/>
                <w:color w:val="374151"/>
                <w:sz w:val="22"/>
                <w:szCs w:val="22"/>
              </w:rPr>
              <w:t xml:space="preserve">Sparkline charts per metric (Recharts)</w:t>
            </w:r>
          </w:p>
          <w:p>
            <w:pPr>
              <w:pStyle w:val="ListParagraph"/>
              <w:numPr>
                <w:ilvl w:val="0"/>
                <w:numId w:val="2"/>
              </w:numPr>
              <w:spacing w:after="40" w:before="40"/>
            </w:pPr>
            <w:r>
              <w:rPr>
                <w:rFonts w:ascii="Arial" w:cs="Arial" w:eastAsia="Arial" w:hAnsi="Arial"/>
                <w:color w:val="374151"/>
                <w:sz w:val="22"/>
                <w:szCs w:val="22"/>
              </w:rPr>
              <w:t xml:space="preserve">Threshold flag engine: auto-flag anomalies</w:t>
            </w:r>
          </w:p>
          <w:p>
            <w:pPr>
              <w:pStyle w:val="ListParagraph"/>
              <w:numPr>
                <w:ilvl w:val="0"/>
                <w:numId w:val="2"/>
              </w:numPr>
              <w:spacing w:after="40" w:before="40"/>
            </w:pPr>
            <w:r>
              <w:rPr>
                <w:rFonts w:ascii="Arial" w:cs="Arial" w:eastAsia="Arial" w:hAnsi="Arial"/>
                <w:color w:val="374151"/>
                <w:sz w:val="22"/>
                <w:szCs w:val="22"/>
              </w:rPr>
              <w:t xml:space="preserve">Peer comparison: 2-3 tickers side by side</w:t>
            </w:r>
          </w:p>
          <w:p>
            <w:pPr>
              <w:pStyle w:val="ListParagraph"/>
              <w:numPr>
                <w:ilvl w:val="0"/>
                <w:numId w:val="2"/>
              </w:numPr>
              <w:spacing w:after="40" w:before="40"/>
            </w:pPr>
            <w:r>
              <w:rPr>
                <w:rFonts w:ascii="Arial" w:cs="Arial" w:eastAsia="Arial" w:hAnsi="Arial"/>
                <w:color w:val="374151"/>
                <w:sz w:val="22"/>
                <w:szCs w:val="22"/>
              </w:rPr>
              <w:t xml:space="preserve">Sector benchmarking: metric vs. sector median</w:t>
            </w:r>
          </w:p>
          <w:p>
            <w:pPr>
              <w:pStyle w:val="ListParagraph"/>
              <w:numPr>
                <w:ilvl w:val="0"/>
                <w:numId w:val="2"/>
              </w:numPr>
              <w:spacing w:after="40" w:before="40"/>
            </w:pPr>
            <w:r>
              <w:rPr>
                <w:rFonts w:ascii="Arial" w:cs="Arial" w:eastAsia="Arial" w:hAnsi="Arial"/>
                <w:color w:val="374151"/>
                <w:sz w:val="22"/>
                <w:szCs w:val="22"/>
              </w:rPr>
              <w:t xml:space="preserve">Export to Excel / CSV</w:t>
            </w:r>
          </w:p>
        </w:tc>
        <w:tc>
          <w:tcPr>
            <w:tcW w:type="dxa" w:w="476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pPr>
              <w:spacing w:after="80" w:before="0"/>
            </w:pPr>
            <w:r>
              <w:rPr>
                <w:rFonts w:ascii="Arial" w:cs="Arial" w:eastAsia="Arial" w:hAnsi="Arial"/>
                <w:b/>
                <w:bCs/>
                <w:color w:val="166534"/>
                <w:sz w:val="22"/>
                <w:szCs w:val="22"/>
              </w:rPr>
              <w:t xml:space="preserve">Flag Examples</w:t>
            </w:r>
          </w:p>
          <w:p>
            <w:pPr>
              <w:pStyle w:val="ListParagraph"/>
              <w:numPr>
                <w:ilvl w:val="0"/>
                <w:numId w:val="2"/>
              </w:numPr>
              <w:spacing w:after="40" w:before="40"/>
            </w:pPr>
            <w:r>
              <w:rPr>
                <w:rFonts w:ascii="Arial" w:cs="Arial" w:eastAsia="Arial" w:hAnsi="Arial"/>
                <w:color w:val="374151"/>
                <w:sz w:val="22"/>
                <w:szCs w:val="22"/>
              </w:rPr>
              <w:t xml:space="preserve">Altman Z entering grey zone</w:t>
            </w:r>
          </w:p>
          <w:p>
            <w:pPr>
              <w:pStyle w:val="ListParagraph"/>
              <w:numPr>
                <w:ilvl w:val="0"/>
                <w:numId w:val="2"/>
              </w:numPr>
              <w:spacing w:after="40" w:before="40"/>
            </w:pPr>
            <w:r>
              <w:rPr>
                <w:rFonts w:ascii="Arial" w:cs="Arial" w:eastAsia="Arial" w:hAnsi="Arial"/>
                <w:color w:val="374151"/>
                <w:sz w:val="22"/>
                <w:szCs w:val="22"/>
              </w:rPr>
              <w:t xml:space="preserve">DSO rising 3+ consecutive quarters</w:t>
            </w:r>
          </w:p>
          <w:p>
            <w:pPr>
              <w:pStyle w:val="ListParagraph"/>
              <w:numPr>
                <w:ilvl w:val="0"/>
                <w:numId w:val="2"/>
              </w:numPr>
              <w:spacing w:after="40" w:before="40"/>
            </w:pPr>
            <w:r>
              <w:rPr>
                <w:rFonts w:ascii="Arial" w:cs="Arial" w:eastAsia="Arial" w:hAnsi="Arial"/>
                <w:color w:val="374151"/>
                <w:sz w:val="22"/>
                <w:szCs w:val="22"/>
              </w:rPr>
              <w:t xml:space="preserve">Gross margin compression &gt; 200bps YoY</w:t>
            </w:r>
          </w:p>
          <w:p>
            <w:pPr>
              <w:pStyle w:val="ListParagraph"/>
              <w:numPr>
                <w:ilvl w:val="0"/>
                <w:numId w:val="2"/>
              </w:numPr>
              <w:spacing w:after="40" w:before="40"/>
            </w:pPr>
            <w:r>
              <w:rPr>
                <w:rFonts w:ascii="Arial" w:cs="Arial" w:eastAsia="Arial" w:hAnsi="Arial"/>
                <w:color w:val="374151"/>
                <w:sz w:val="22"/>
                <w:szCs w:val="22"/>
              </w:rPr>
              <w:t xml:space="preserve">Cash ratio below 0.5</w:t>
            </w:r>
          </w:p>
          <w:p>
            <w:pPr>
              <w:pStyle w:val="ListParagraph"/>
              <w:numPr>
                <w:ilvl w:val="0"/>
                <w:numId w:val="2"/>
              </w:numPr>
              <w:spacing w:after="40" w:before="40"/>
            </w:pPr>
            <w:r>
              <w:rPr>
                <w:rFonts w:ascii="Arial" w:cs="Arial" w:eastAsia="Arial" w:hAnsi="Arial"/>
                <w:color w:val="374151"/>
                <w:sz w:val="22"/>
                <w:szCs w:val="22"/>
              </w:rPr>
              <w:t xml:space="preserve">Inventory turns declining vs. sector</w:t>
            </w:r>
          </w:p>
          <w:p>
            <w:pPr>
              <w:pStyle w:val="ListParagraph"/>
              <w:numPr>
                <w:ilvl w:val="0"/>
                <w:numId w:val="2"/>
              </w:numPr>
              <w:spacing w:after="40" w:before="40"/>
            </w:pPr>
            <w:r>
              <w:rPr>
                <w:rFonts w:ascii="Arial" w:cs="Arial" w:eastAsia="Arial" w:hAnsi="Arial"/>
                <w:color w:val="374151"/>
                <w:sz w:val="22"/>
                <w:szCs w:val="22"/>
              </w:rPr>
              <w:t xml:space="preserve">ROIC below WACC estimate</w:t>
            </w:r>
          </w:p>
        </w:tc>
      </w:tr>
    </w:tbl>
    <w:p>
      <w:pPr>
        <w:spacing w:after="120" w:before="0"/>
      </w:pPr>
      <w:r>
        <w:t xml:space="preserve"/>
      </w:r>
    </w:p>
    <w:p>
      <w:pPr>
        <w:pBdr>
          <w:bottom w:val="single" w:color="E5E7EB"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40"/>
              <w:left w:type="dxa" w:w="200"/>
              <w:bottom w:type="dxa" w:w="140"/>
              <w:right w:type="dxa" w:w="200"/>
            </w:tcMar>
          </w:tcPr>
          <w:p>
            <w:pPr>
              <w:jc w:val="left"/>
            </w:pPr>
            <w:r>
              <w:rPr>
                <w:rFonts w:ascii="Arial" w:cs="Arial" w:eastAsia="Arial" w:hAnsi="Arial"/>
                <w:b/>
                <w:bCs/>
                <w:color w:val="FFFFFF"/>
                <w:sz w:val="28"/>
                <w:szCs w:val="28"/>
              </w:rPr>
              <w:t xml:space="preserve">PHASE 3  </w:t>
            </w:r>
            <w:r>
              <w:rPr>
                <w:rFonts w:ascii="Arial" w:cs="Arial" w:eastAsia="Arial" w:hAnsi="Arial"/>
                <w:b/>
                <w:bCs/>
                <w:color w:val="FFFFFF"/>
                <w:sz w:val="28"/>
                <w:szCs w:val="28"/>
              </w:rPr>
              <w:t xml:space="preserve">Scale  —  Platform &amp; Content</w:t>
            </w:r>
            <w:r>
              <w:rPr>
                <w:rFonts w:ascii="Arial" w:cs="Arial" w:eastAsia="Arial" w:hAnsi="Arial"/>
                <w:i/>
                <w:iCs/>
                <w:color w:val="FFFFFF"/>
                <w:sz w:val="20"/>
                <w:szCs w:val="20"/>
              </w:rPr>
              <w:t xml:space="preserve">   Months 5–8</w:t>
            </w:r>
          </w:p>
        </w:tc>
      </w:tr>
    </w:tbl>
    <w:p>
      <w:pPr>
        <w:spacing w:after="80" w:before="0"/>
      </w:pPr>
      <w:r>
        <w:t xml:space="preserve"/>
      </w:r>
    </w:p>
    <w:p>
      <w:pPr>
        <w:spacing w:after="100" w:before="60"/>
      </w:pPr>
      <w:r>
        <w:rPr>
          <w:rFonts w:ascii="Arial" w:cs="Arial" w:eastAsia="Arial" w:hAnsi="Arial"/>
          <w:color w:val="374151"/>
          <w:sz w:val="22"/>
          <w:szCs w:val="22"/>
        </w:rPr>
        <w:t xml:space="preserve">Goal: Expand company coverage to 500+ tickers. Launch the content flywheel. Begin building an audience.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pPr>
              <w:spacing w:after="80" w:before="0"/>
            </w:pPr>
            <w:r>
              <w:rPr>
                <w:rFonts w:ascii="Arial" w:cs="Arial" w:eastAsia="Arial" w:hAnsi="Arial"/>
                <w:b/>
                <w:bCs/>
                <w:color w:val="92400E"/>
                <w:sz w:val="22"/>
                <w:szCs w:val="22"/>
              </w:rPr>
              <w:t xml:space="preserve">Product</w:t>
            </w:r>
          </w:p>
          <w:p>
            <w:pPr>
              <w:pStyle w:val="ListParagraph"/>
              <w:numPr>
                <w:ilvl w:val="0"/>
                <w:numId w:val="2"/>
              </w:numPr>
              <w:spacing w:after="40" w:before="40"/>
            </w:pPr>
            <w:r>
              <w:rPr>
                <w:rFonts w:ascii="Arial" w:cs="Arial" w:eastAsia="Arial" w:hAnsi="Arial"/>
                <w:color w:val="374151"/>
                <w:sz w:val="22"/>
                <w:szCs w:val="22"/>
              </w:rPr>
              <w:t xml:space="preserve">Sector screener: filter by metric thresholds</w:t>
            </w:r>
          </w:p>
          <w:p>
            <w:pPr>
              <w:pStyle w:val="ListParagraph"/>
              <w:numPr>
                <w:ilvl w:val="0"/>
                <w:numId w:val="2"/>
              </w:numPr>
              <w:spacing w:after="40" w:before="40"/>
            </w:pPr>
            <w:r>
              <w:rPr>
                <w:rFonts w:ascii="Arial" w:cs="Arial" w:eastAsia="Arial" w:hAnsi="Arial"/>
                <w:color w:val="374151"/>
                <w:sz w:val="22"/>
                <w:szCs w:val="22"/>
              </w:rPr>
              <w:t xml:space="preserve">Watchlist: track a custom set of companies</w:t>
            </w:r>
          </w:p>
          <w:p>
            <w:pPr>
              <w:pStyle w:val="ListParagraph"/>
              <w:numPr>
                <w:ilvl w:val="0"/>
                <w:numId w:val="2"/>
              </w:numPr>
              <w:spacing w:after="40" w:before="40"/>
            </w:pPr>
            <w:r>
              <w:rPr>
                <w:rFonts w:ascii="Arial" w:cs="Arial" w:eastAsia="Arial" w:hAnsi="Arial"/>
                <w:color w:val="374151"/>
                <w:sz w:val="22"/>
                <w:szCs w:val="22"/>
              </w:rPr>
              <w:t xml:space="preserve">Email alerts on flag triggers</w:t>
            </w:r>
          </w:p>
          <w:p>
            <w:pPr>
              <w:pStyle w:val="ListParagraph"/>
              <w:numPr>
                <w:ilvl w:val="0"/>
                <w:numId w:val="2"/>
              </w:numPr>
              <w:spacing w:after="40" w:before="40"/>
            </w:pPr>
            <w:r>
              <w:rPr>
                <w:rFonts w:ascii="Arial" w:cs="Arial" w:eastAsia="Arial" w:hAnsi="Arial"/>
                <w:color w:val="374151"/>
                <w:sz w:val="22"/>
                <w:szCs w:val="22"/>
              </w:rPr>
              <w:t xml:space="preserve">Migrate to PostgreSQL + Railway</w:t>
            </w:r>
          </w:p>
          <w:p>
            <w:pPr>
              <w:pStyle w:val="ListParagraph"/>
              <w:numPr>
                <w:ilvl w:val="0"/>
                <w:numId w:val="2"/>
              </w:numPr>
              <w:spacing w:after="40" w:before="40"/>
            </w:pPr>
            <w:r>
              <w:rPr>
                <w:rFonts w:ascii="Arial" w:cs="Arial" w:eastAsia="Arial" w:hAnsi="Arial"/>
                <w:color w:val="374151"/>
                <w:sz w:val="22"/>
                <w:szCs w:val="22"/>
              </w:rPr>
              <w:t xml:space="preserve">Scheduled EDGAR refresh post-earnings</w:t>
            </w:r>
          </w:p>
          <w:p>
            <w:pPr>
              <w:pStyle w:val="ListParagraph"/>
              <w:numPr>
                <w:ilvl w:val="0"/>
                <w:numId w:val="2"/>
              </w:numPr>
              <w:spacing w:after="40" w:before="40"/>
            </w:pPr>
            <w:r>
              <w:rPr>
                <w:rFonts w:ascii="Arial" w:cs="Arial" w:eastAsia="Arial" w:hAnsi="Arial"/>
                <w:color w:val="374151"/>
                <w:sz w:val="22"/>
                <w:szCs w:val="22"/>
              </w:rPr>
              <w:t xml:space="preserve">Basic user accounts (Clerk)</w:t>
            </w:r>
          </w:p>
        </w:tc>
        <w:tc>
          <w:tcPr>
            <w:tcW w:type="dxa" w:w="4760"/>
            <w:tcBorders>
              <w:top w:val="single" w:color="E5E7EB" w:sz="4"/>
              <w:left w:val="single" w:color="E5E7EB" w:sz="4"/>
              <w:bottom w:val="single" w:color="E5E7EB" w:sz="4"/>
              <w:right w:val="single" w:color="E5E7EB" w:sz="4"/>
            </w:tcBorders>
            <w:shd w:fill="DBEAFE" w:val="clear"/>
            <w:tcMar>
              <w:top w:type="dxa" w:w="100"/>
              <w:left w:type="dxa" w:w="140"/>
              <w:bottom w:type="dxa" w:w="100"/>
              <w:right w:type="dxa" w:w="140"/>
            </w:tcMar>
          </w:tcPr>
          <w:p>
            <w:pPr>
              <w:spacing w:after="80" w:before="0"/>
            </w:pPr>
            <w:r>
              <w:rPr>
                <w:rFonts w:ascii="Arial" w:cs="Arial" w:eastAsia="Arial" w:hAnsi="Arial"/>
                <w:b/>
                <w:bCs/>
                <w:color w:val="92400E"/>
                <w:sz w:val="22"/>
                <w:szCs w:val="22"/>
              </w:rPr>
              <w:t xml:space="preserve">Content</w:t>
            </w:r>
          </w:p>
          <w:p>
            <w:pPr>
              <w:pStyle w:val="ListParagraph"/>
              <w:numPr>
                <w:ilvl w:val="0"/>
                <w:numId w:val="2"/>
              </w:numPr>
              <w:spacing w:after="40" w:before="40"/>
            </w:pPr>
            <w:r>
              <w:rPr>
                <w:rFonts w:ascii="Arial" w:cs="Arial" w:eastAsia="Arial" w:hAnsi="Arial"/>
                <w:color w:val="374151"/>
                <w:sz w:val="22"/>
                <w:szCs w:val="22"/>
              </w:rPr>
              <w:t xml:space="preserve">Launch Substack: 1 analysis/week using dashboard data</w:t>
            </w:r>
          </w:p>
          <w:p>
            <w:pPr>
              <w:pStyle w:val="ListParagraph"/>
              <w:numPr>
                <w:ilvl w:val="0"/>
                <w:numId w:val="2"/>
              </w:numPr>
              <w:spacing w:after="40" w:before="40"/>
            </w:pPr>
            <w:r>
              <w:rPr>
                <w:rFonts w:ascii="Arial" w:cs="Arial" w:eastAsia="Arial" w:hAnsi="Arial"/>
                <w:color w:val="374151"/>
                <w:sz w:val="22"/>
                <w:szCs w:val="22"/>
              </w:rPr>
              <w:t xml:space="preserve">LinkedIn: teaser posts linking to full analysis</w:t>
            </w:r>
          </w:p>
          <w:p>
            <w:pPr>
              <w:pStyle w:val="ListParagraph"/>
              <w:numPr>
                <w:ilvl w:val="0"/>
                <w:numId w:val="2"/>
              </w:numPr>
              <w:spacing w:after="40" w:before="40"/>
            </w:pPr>
            <w:r>
              <w:rPr>
                <w:rFonts w:ascii="Arial" w:cs="Arial" w:eastAsia="Arial" w:hAnsi="Arial"/>
                <w:color w:val="374151"/>
                <w:sz w:val="22"/>
                <w:szCs w:val="22"/>
              </w:rPr>
              <w:t xml:space="preserve">Template: Data -&gt; Flag -&gt; Interpretation -&gt; Decision</w:t>
            </w:r>
          </w:p>
          <w:p>
            <w:pPr>
              <w:pStyle w:val="ListParagraph"/>
              <w:numPr>
                <w:ilvl w:val="0"/>
                <w:numId w:val="2"/>
              </w:numPr>
              <w:spacing w:after="40" w:before="40"/>
            </w:pPr>
            <w:r>
              <w:rPr>
                <w:rFonts w:ascii="Arial" w:cs="Arial" w:eastAsia="Arial" w:hAnsi="Arial"/>
                <w:color w:val="374151"/>
                <w:sz w:val="22"/>
                <w:szCs w:val="22"/>
              </w:rPr>
              <w:t xml:space="preserve">First sector deep-dive (pick one you know)</w:t>
            </w:r>
          </w:p>
          <w:p>
            <w:pPr>
              <w:pStyle w:val="ListParagraph"/>
              <w:numPr>
                <w:ilvl w:val="0"/>
                <w:numId w:val="2"/>
              </w:numPr>
              <w:spacing w:after="40" w:before="40"/>
            </w:pPr>
            <w:r>
              <w:rPr>
                <w:rFonts w:ascii="Arial" w:cs="Arial" w:eastAsia="Arial" w:hAnsi="Arial"/>
                <w:color w:val="374151"/>
                <w:sz w:val="22"/>
                <w:szCs w:val="22"/>
              </w:rPr>
              <w:t xml:space="preserve">Share dashboard link in every post</w:t>
            </w:r>
          </w:p>
        </w:tc>
      </w:tr>
    </w:tbl>
    <w:p>
      <w:pPr>
        <w:spacing w:after="120" w:before="0"/>
      </w:pPr>
      <w:r>
        <w:t xml:space="preserve"/>
      </w:r>
    </w:p>
    <w:p>
      <w:pPr>
        <w:pBdr>
          <w:bottom w:val="single" w:color="E5E7EB"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40"/>
              <w:left w:type="dxa" w:w="200"/>
              <w:bottom w:type="dxa" w:w="140"/>
              <w:right w:type="dxa" w:w="200"/>
            </w:tcMar>
          </w:tcPr>
          <w:p>
            <w:pPr>
              <w:jc w:val="left"/>
            </w:pPr>
            <w:r>
              <w:rPr>
                <w:rFonts w:ascii="Arial" w:cs="Arial" w:eastAsia="Arial" w:hAnsi="Arial"/>
                <w:b/>
                <w:bCs/>
                <w:color w:val="FFFFFF"/>
                <w:sz w:val="28"/>
                <w:szCs w:val="28"/>
              </w:rPr>
              <w:t xml:space="preserve">PHASE 4  </w:t>
            </w:r>
            <w:r>
              <w:rPr>
                <w:rFonts w:ascii="Arial" w:cs="Arial" w:eastAsia="Arial" w:hAnsi="Arial"/>
                <w:b/>
                <w:bCs/>
                <w:color w:val="FFFFFF"/>
                <w:sz w:val="28"/>
                <w:szCs w:val="28"/>
              </w:rPr>
              <w:t xml:space="preserve">Monetize  —  Freemium SaaS</w:t>
            </w:r>
            <w:r>
              <w:rPr>
                <w:rFonts w:ascii="Arial" w:cs="Arial" w:eastAsia="Arial" w:hAnsi="Arial"/>
                <w:i/>
                <w:iCs/>
                <w:color w:val="FFFFFF"/>
                <w:sz w:val="20"/>
                <w:szCs w:val="20"/>
              </w:rPr>
              <w:t xml:space="preserve">   Months 9–12</w:t>
            </w:r>
          </w:p>
        </w:tc>
      </w:tr>
    </w:tbl>
    <w:p>
      <w:pPr>
        <w:spacing w:after="80" w:before="0"/>
      </w:pPr>
      <w:r>
        <w:t xml:space="preserve"/>
      </w:r>
    </w:p>
    <w:p>
      <w:pPr>
        <w:spacing w:after="100" w:before="60"/>
      </w:pPr>
      <w:r>
        <w:rPr>
          <w:rFonts w:ascii="Arial" w:cs="Arial" w:eastAsia="Arial" w:hAnsi="Arial"/>
          <w:color w:val="374151"/>
          <w:sz w:val="22"/>
          <w:szCs w:val="22"/>
        </w:rPr>
        <w:t xml:space="preserve">Goal: Convert audience into paying users. The product gates premium features, not the core metric display.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416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c>
          <w:tcPr>
            <w:tcW w:type="dxa" w:w="30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Target Price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Free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Current snapshot, 5 tickers, all 55 metrics, dashboard access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Free forever</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Pro — Individual</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Unlimited tickers, 8-quarter history, peer comparison, CSV export, alerts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$19/month</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Pro — Team</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API access, 5 seats, custom watchlists, priority refresh, Slack alerts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$79/month</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Enterprise</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White-label, custom metrics, data API, dedicated support</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Custom / $500+/month</w:t>
            </w:r>
          </w:p>
        </w:tc>
      </w:tr>
    </w:tbl>
    <w:p>
      <w:pPr>
        <w:spacing w:after="80" w:before="0"/>
      </w:pPr>
      <w:r>
        <w:t xml:space="preserve"/>
      </w:r>
    </w:p>
    <w:p>
      <w:pPr>
        <w:spacing w:after="100" w:before="60"/>
      </w:pPr>
      <w:r>
        <w:rPr>
          <w:rFonts w:ascii="Arial" w:cs="Arial" w:eastAsia="Arial" w:hAnsi="Arial"/>
          <w:color w:val="374151"/>
          <w:sz w:val="22"/>
          <w:szCs w:val="22"/>
        </w:rPr>
        <w:t xml:space="preserve">Stripe integration for billing. Clerk for auth. Feature flags gate free vs. paid. Conservative Year 1 target: 100 Pro subscribers = $1,900 MRR.</w:t>
      </w:r>
    </w:p>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Analyst Career Pathway</w:t>
      </w:r>
    </w:p>
    <w:p>
      <w:pPr>
        <w:spacing w:after="100" w:before="60"/>
      </w:pPr>
      <w:r>
        <w:rPr>
          <w:rFonts w:ascii="Arial" w:cs="Arial" w:eastAsia="Arial" w:hAnsi="Arial"/>
          <w:color w:val="374151"/>
          <w:sz w:val="22"/>
          <w:szCs w:val="22"/>
        </w:rPr>
        <w:t xml:space="preserve">The product is not separate from the career — it is the career evidence. Each phase produces artifacts that map directly to what hiring managers at buy-side and sell-side firms evaluate.</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The Analyst Toolkit You're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Skill Domain</w:t>
            </w:r>
          </w:p>
        </w:tc>
        <w:tc>
          <w:tcPr>
            <w:tcW w:type="dxa" w:w="4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How FinMetrics Demonstrates It</w:t>
            </w:r>
          </w:p>
        </w:tc>
        <w:tc>
          <w:tcPr>
            <w:tcW w:type="dxa" w:w="3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Relevant Role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Financial Modeling</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55-metric framework with XBRL source mapping and formula logic</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Equity Research, FP&amp;A, Corp Dev</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Data Engineering</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EDGAR pipeline, PostgreSQL schema, API design</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Quant Analyst, Data Analyst, Fintech</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Python / pandas / SQL</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Production code in public GitHub repo with real data</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All modern analyst roles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Valuation Awareness</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Altman Z, ROIC vs. WACC, EV-adjacent metrics built in</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Buy-side, IB, PE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Sector Analysis</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Published Substack pieces using your own tool as source</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Equity Research, Strategy</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Product Thinking</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You built a tool people use — roadmap, UX, monetization</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Corp Dev, Strategy, VC</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Communication</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Business decision framing on every metric; public writing</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All analyst roles</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Industry Tool Awareness</w:t>
      </w:r>
    </w:p>
    <w:p>
      <w:pPr>
        <w:spacing w:after="100" w:before="60"/>
      </w:pPr>
      <w:r>
        <w:rPr>
          <w:rFonts w:ascii="Arial" w:cs="Arial" w:eastAsia="Arial" w:hAnsi="Arial"/>
          <w:color w:val="374151"/>
          <w:sz w:val="22"/>
          <w:szCs w:val="22"/>
        </w:rPr>
        <w:t xml:space="preserve">The tools you will encounter across analyst roles — and how FinMetrics compares: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4160"/>
            <w:tcBorders>
              <w:top w:val="single" w:color="E5E7EB" w:sz="4"/>
              <w:left w:val="single" w:color="E5E7EB" w:sz="4"/>
              <w:bottom w:val="single" w:color="E5E7EB" w:sz="4"/>
              <w:right w:val="single" w:color="E5E7EB" w:sz="4"/>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Used At</w:t>
            </w:r>
          </w:p>
        </w:tc>
        <w:tc>
          <w:tcPr>
            <w:tcW w:type="dxa" w:w="3000"/>
            <w:tcBorders>
              <w:top w:val="single" w:color="E5E7EB" w:sz="4"/>
              <w:left w:val="single" w:color="E5E7EB" w:sz="4"/>
              <w:bottom w:val="single" w:color="E5E7EB" w:sz="4"/>
              <w:right w:val="single" w:color="E5E7EB" w:sz="4"/>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FinMetrics Overlap</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Bloomberg Terminal</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Buy-side, sell-side, fixed income — ~$24K/yr</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Replaces fundamental data retrieval; not real-time pricing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FactSet</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Buy-side portfolio managers, equity research — ~$12K/yr</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Strong overlap on fundamental screening and metrics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S&amp;P Capital IQ</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IB, PE, corp dev — ~$15K/yr</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Overlaps on company comps, ratio analysis, EDGAR data</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Excel + VBA</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Universal across all finance roles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FinMetrics exports to Excel; pipeline can feed models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Python / pandas</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Quant funds, fintech, data-forward firms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This is your entire stack — direct signal</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SEC EDGAR</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Research analysts, compliance, credit</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You know the raw data source better than most Bloomberg users</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Career Sequencing</w:t>
      </w:r>
    </w:p>
    <w:p>
      <w:pPr>
        <w:spacing w:after="100" w:before="60"/>
      </w:pPr>
      <w:r>
        <w:rPr>
          <w:rFonts w:ascii="Arial" w:cs="Arial" w:eastAsia="Arial" w:hAnsi="Arial"/>
          <w:color w:val="374151"/>
          <w:sz w:val="22"/>
          <w:szCs w:val="22"/>
        </w:rPr>
        <w:t xml:space="preserve">Three parallel tracks emerge from this project. You pursue whichever opens first, and they reinforce each other: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DBEAFE" w:val="clear"/>
            <w:tcMar>
              <w:top w:type="dxa" w:w="100"/>
              <w:left w:type="dxa" w:w="140"/>
              <w:bottom w:type="dxa" w:w="100"/>
              <w:right w:type="dxa" w:w="140"/>
            </w:tcMar>
          </w:tcPr>
          <w:p>
            <w:pPr>
              <w:spacing w:after="80" w:before="0"/>
            </w:pPr>
            <w:r>
              <w:rPr>
                <w:rFonts w:ascii="Arial" w:cs="Arial" w:eastAsia="Arial" w:hAnsi="Arial"/>
                <w:b/>
                <w:bCs/>
                <w:color w:val="2563EB"/>
                <w:sz w:val="22"/>
                <w:szCs w:val="22"/>
              </w:rPr>
              <w:t xml:space="preserve">Track A  |  Traditional Analyst</w:t>
            </w:r>
          </w:p>
          <w:p>
            <w:pPr>
              <w:pStyle w:val="ListParagraph"/>
              <w:numPr>
                <w:ilvl w:val="0"/>
                <w:numId w:val="2"/>
              </w:numPr>
              <w:spacing w:after="40" w:before="40"/>
            </w:pPr>
            <w:r>
              <w:rPr>
                <w:rFonts w:ascii="Arial" w:cs="Arial" w:eastAsia="Arial" w:hAnsi="Arial"/>
                <w:color w:val="374151"/>
                <w:sz w:val="22"/>
                <w:szCs w:val="22"/>
              </w:rPr>
              <w:t xml:space="preserve">Equity Research Associate at sell-side firm</w:t>
            </w:r>
          </w:p>
          <w:p>
            <w:pPr>
              <w:pStyle w:val="ListParagraph"/>
              <w:numPr>
                <w:ilvl w:val="0"/>
                <w:numId w:val="2"/>
              </w:numPr>
              <w:spacing w:after="40" w:before="40"/>
            </w:pPr>
            <w:r>
              <w:rPr>
                <w:rFonts w:ascii="Arial" w:cs="Arial" w:eastAsia="Arial" w:hAnsi="Arial"/>
                <w:color w:val="374151"/>
                <w:sz w:val="22"/>
                <w:szCs w:val="22"/>
              </w:rPr>
              <w:t xml:space="preserve">Junior Analyst at buy-side / hedge fund</w:t>
            </w:r>
          </w:p>
          <w:p>
            <w:pPr>
              <w:pStyle w:val="ListParagraph"/>
              <w:numPr>
                <w:ilvl w:val="0"/>
                <w:numId w:val="2"/>
              </w:numPr>
              <w:spacing w:after="40" w:before="40"/>
            </w:pPr>
            <w:r>
              <w:rPr>
                <w:rFonts w:ascii="Arial" w:cs="Arial" w:eastAsia="Arial" w:hAnsi="Arial"/>
                <w:color w:val="374151"/>
                <w:sz w:val="22"/>
                <w:szCs w:val="22"/>
              </w:rPr>
              <w:t xml:space="preserve">FP&amp;A Analyst at public company</w:t>
            </w:r>
          </w:p>
          <w:p>
            <w:pPr>
              <w:pStyle w:val="ListParagraph"/>
              <w:numPr>
                <w:ilvl w:val="0"/>
                <w:numId w:val="2"/>
              </w:numPr>
              <w:spacing w:after="40" w:before="40"/>
            </w:pPr>
            <w:r>
              <w:rPr>
                <w:rFonts w:ascii="Arial" w:cs="Arial" w:eastAsia="Arial" w:hAnsi="Arial"/>
                <w:color w:val="374151"/>
                <w:sz w:val="22"/>
                <w:szCs w:val="22"/>
              </w:rPr>
              <w:t xml:space="preserve">Corporate Development Analyst</w:t>
            </w:r>
          </w:p>
          <w:p>
            <w:pPr>
              <w:spacing w:after="60" w:before="0"/>
            </w:pPr>
            <w:r>
              <w:t xml:space="preserve"/>
            </w:r>
          </w:p>
          <w:p>
            <w:pPr>
              <w:spacing w:after="60" w:before="0"/>
            </w:pPr>
            <w:r>
              <w:rPr>
                <w:rFonts w:ascii="Arial" w:cs="Arial" w:eastAsia="Arial" w:hAnsi="Arial"/>
                <w:i/>
                <w:iCs/>
                <w:color w:val="9CA3AF"/>
                <w:sz w:val="20"/>
                <w:szCs w:val="20"/>
              </w:rPr>
              <w:t xml:space="preserve">How FinMetrics helps:</w:t>
            </w:r>
          </w:p>
          <w:p>
            <w:pPr>
              <w:pStyle w:val="ListParagraph"/>
              <w:numPr>
                <w:ilvl w:val="0"/>
                <w:numId w:val="2"/>
              </w:numPr>
              <w:spacing w:after="40" w:before="40"/>
            </w:pPr>
            <w:r>
              <w:rPr>
                <w:rFonts w:ascii="Arial" w:cs="Arial" w:eastAsia="Arial" w:hAnsi="Arial"/>
                <w:color w:val="374151"/>
                <w:sz w:val="22"/>
                <w:szCs w:val="22"/>
              </w:rPr>
              <w:t xml:space="preserve">Send personalized company analysis to target firm before interview</w:t>
            </w:r>
          </w:p>
          <w:p>
            <w:pPr>
              <w:pStyle w:val="ListParagraph"/>
              <w:numPr>
                <w:ilvl w:val="0"/>
                <w:numId w:val="2"/>
              </w:numPr>
              <w:spacing w:after="40" w:before="40"/>
            </w:pPr>
            <w:r>
              <w:rPr>
                <w:rFonts w:ascii="Arial" w:cs="Arial" w:eastAsia="Arial" w:hAnsi="Arial"/>
                <w:color w:val="374151"/>
                <w:sz w:val="22"/>
                <w:szCs w:val="22"/>
              </w:rPr>
              <w:t xml:space="preserve">Demonstrate tool fluency without terminal access</w:t>
            </w:r>
          </w:p>
          <w:p>
            <w:pPr>
              <w:pStyle w:val="ListParagraph"/>
              <w:numPr>
                <w:ilvl w:val="0"/>
                <w:numId w:val="2"/>
              </w:numPr>
              <w:spacing w:after="40" w:before="40"/>
            </w:pPr>
            <w:r>
              <w:rPr>
                <w:rFonts w:ascii="Arial" w:cs="Arial" w:eastAsia="Arial" w:hAnsi="Arial"/>
                <w:color w:val="374151"/>
                <w:sz w:val="22"/>
                <w:szCs w:val="22"/>
              </w:rPr>
              <w:t xml:space="preserve">Case studies already done — pull from your own data</w:t>
            </w:r>
          </w:p>
        </w:tc>
        <w:tc>
          <w:tcPr>
            <w:tcW w:type="dxa" w:w="476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tcPr>
          <w:p>
            <w:pPr>
              <w:spacing w:after="80" w:before="0"/>
            </w:pPr>
            <w:r>
              <w:rPr>
                <w:rFonts w:ascii="Arial" w:cs="Arial" w:eastAsia="Arial" w:hAnsi="Arial"/>
                <w:b/>
                <w:bCs/>
                <w:color w:val="166534"/>
                <w:sz w:val="22"/>
                <w:szCs w:val="22"/>
              </w:rPr>
              <w:t xml:space="preserve">Track B  |  Fintech / Data Analyst</w:t>
            </w:r>
          </w:p>
          <w:p>
            <w:pPr>
              <w:pStyle w:val="ListParagraph"/>
              <w:numPr>
                <w:ilvl w:val="0"/>
                <w:numId w:val="2"/>
              </w:numPr>
              <w:spacing w:after="40" w:before="40"/>
            </w:pPr>
            <w:r>
              <w:rPr>
                <w:rFonts w:ascii="Arial" w:cs="Arial" w:eastAsia="Arial" w:hAnsi="Arial"/>
                <w:color w:val="374151"/>
                <w:sz w:val="22"/>
                <w:szCs w:val="22"/>
              </w:rPr>
              <w:t xml:space="preserve">Financial Data Analyst at data vendor</w:t>
            </w:r>
          </w:p>
          <w:p>
            <w:pPr>
              <w:pStyle w:val="ListParagraph"/>
              <w:numPr>
                <w:ilvl w:val="0"/>
                <w:numId w:val="2"/>
              </w:numPr>
              <w:spacing w:after="40" w:before="40"/>
            </w:pPr>
            <w:r>
              <w:rPr>
                <w:rFonts w:ascii="Arial" w:cs="Arial" w:eastAsia="Arial" w:hAnsi="Arial"/>
                <w:color w:val="374151"/>
                <w:sz w:val="22"/>
                <w:szCs w:val="22"/>
              </w:rPr>
              <w:t xml:space="preserve">Quant Analyst at systematic fund</w:t>
            </w:r>
          </w:p>
          <w:p>
            <w:pPr>
              <w:pStyle w:val="ListParagraph"/>
              <w:numPr>
                <w:ilvl w:val="0"/>
                <w:numId w:val="2"/>
              </w:numPr>
              <w:spacing w:after="40" w:before="40"/>
            </w:pPr>
            <w:r>
              <w:rPr>
                <w:rFonts w:ascii="Arial" w:cs="Arial" w:eastAsia="Arial" w:hAnsi="Arial"/>
                <w:color w:val="374151"/>
                <w:sz w:val="22"/>
                <w:szCs w:val="22"/>
              </w:rPr>
              <w:t xml:space="preserve">Product Analyst at fintech firm</w:t>
            </w:r>
          </w:p>
          <w:p>
            <w:pPr>
              <w:pStyle w:val="ListParagraph"/>
              <w:numPr>
                <w:ilvl w:val="0"/>
                <w:numId w:val="2"/>
              </w:numPr>
              <w:spacing w:after="40" w:before="40"/>
            </w:pPr>
            <w:r>
              <w:rPr>
                <w:rFonts w:ascii="Arial" w:cs="Arial" w:eastAsia="Arial" w:hAnsi="Arial"/>
                <w:color w:val="374151"/>
                <w:sz w:val="22"/>
                <w:szCs w:val="22"/>
              </w:rPr>
              <w:t xml:space="preserve">Data Engineer at financial services firm</w:t>
            </w:r>
          </w:p>
          <w:p>
            <w:pPr>
              <w:spacing w:after="60" w:before="0"/>
            </w:pPr>
            <w:r>
              <w:t xml:space="preserve"/>
            </w:r>
          </w:p>
          <w:p>
            <w:pPr>
              <w:spacing w:after="60" w:before="0"/>
            </w:pPr>
            <w:r>
              <w:rPr>
                <w:rFonts w:ascii="Arial" w:cs="Arial" w:eastAsia="Arial" w:hAnsi="Arial"/>
                <w:i/>
                <w:iCs/>
                <w:color w:val="9CA3AF"/>
                <w:sz w:val="20"/>
                <w:szCs w:val="20"/>
              </w:rPr>
              <w:t xml:space="preserve">How FinMetrics helps:</w:t>
            </w:r>
          </w:p>
          <w:p>
            <w:pPr>
              <w:pStyle w:val="ListParagraph"/>
              <w:numPr>
                <w:ilvl w:val="0"/>
                <w:numId w:val="2"/>
              </w:numPr>
              <w:spacing w:after="40" w:before="40"/>
            </w:pPr>
            <w:r>
              <w:rPr>
                <w:rFonts w:ascii="Arial" w:cs="Arial" w:eastAsia="Arial" w:hAnsi="Arial"/>
                <w:color w:val="374151"/>
                <w:sz w:val="22"/>
                <w:szCs w:val="22"/>
              </w:rPr>
              <w:t xml:space="preserve">GitHub repo is the resume — working production code</w:t>
            </w:r>
          </w:p>
          <w:p>
            <w:pPr>
              <w:pStyle w:val="ListParagraph"/>
              <w:numPr>
                <w:ilvl w:val="0"/>
                <w:numId w:val="2"/>
              </w:numPr>
              <w:spacing w:after="40" w:before="40"/>
            </w:pPr>
            <w:r>
              <w:rPr>
                <w:rFonts w:ascii="Arial" w:cs="Arial" w:eastAsia="Arial" w:hAnsi="Arial"/>
                <w:color w:val="374151"/>
                <w:sz w:val="22"/>
                <w:szCs w:val="22"/>
              </w:rPr>
              <w:t xml:space="preserve">EDGAR pipeline shows data engineering capability</w:t>
            </w:r>
          </w:p>
          <w:p>
            <w:pPr>
              <w:pStyle w:val="ListParagraph"/>
              <w:numPr>
                <w:ilvl w:val="0"/>
                <w:numId w:val="2"/>
              </w:numPr>
              <w:spacing w:after="40" w:before="40"/>
            </w:pPr>
            <w:r>
              <w:rPr>
                <w:rFonts w:ascii="Arial" w:cs="Arial" w:eastAsia="Arial" w:hAnsi="Arial"/>
                <w:color w:val="374151"/>
                <w:sz w:val="22"/>
                <w:szCs w:val="22"/>
              </w:rPr>
              <w:t xml:space="preserve">FastAPI shows backend awareness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200"/>
              <w:bottom w:type="dxa" w:w="140"/>
              <w:right w:type="dxa" w:w="200"/>
            </w:tcMar>
          </w:tcPr>
          <w:p>
            <w:pPr>
              <w:spacing w:after="80" w:before="0"/>
            </w:pPr>
            <w:r>
              <w:rPr>
                <w:rFonts w:ascii="Arial" w:cs="Arial" w:eastAsia="Arial" w:hAnsi="Arial"/>
                <w:b/>
                <w:bCs/>
                <w:color w:val="5B21B6"/>
                <w:sz w:val="22"/>
                <w:szCs w:val="22"/>
              </w:rPr>
              <w:t xml:space="preserve">Track C  |  Analyst-Entrepreneur</w:t>
            </w:r>
          </w:p>
          <w:p>
            <w:pPr>
              <w:spacing w:after="60" w:before="0"/>
            </w:pPr>
            <w:r>
              <w:rPr>
                <w:rFonts w:ascii="Arial" w:cs="Arial" w:eastAsia="Arial" w:hAnsi="Arial"/>
                <w:color w:val="374151"/>
                <w:sz w:val="22"/>
                <w:szCs w:val="22"/>
              </w:rPr>
              <w:t xml:space="preserve">The product becomes the business. Substack grows into paid subscribers. FinMetrics becomes a recognized tool in the independent research community. Consulting engagements follow from inbound interest. This track does not require a job offer — it creates its own legitimacy.</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Content &amp; Distribution Strategy</w:t>
      </w:r>
    </w:p>
    <w:p>
      <w:pPr>
        <w:spacing w:after="100" w:before="60"/>
      </w:pPr>
      <w:r>
        <w:rPr>
          <w:rFonts w:ascii="Arial" w:cs="Arial" w:eastAsia="Arial" w:hAnsi="Arial"/>
          <w:color w:val="374151"/>
          <w:sz w:val="22"/>
          <w:szCs w:val="22"/>
        </w:rPr>
        <w:t xml:space="preserve">The content strategy is not marketing. It is the analyst work itself, done in public. Every piece of analysis published proves you can do the job before you are hired to do it.</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The Content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DBEAFE" w:val="clear"/>
            <w:tcMar>
              <w:top w:type="dxa" w:w="100"/>
              <w:left w:type="dxa" w:w="140"/>
              <w:bottom w:type="dxa" w:w="100"/>
              <w:right w:type="dxa" w:w="140"/>
            </w:tcMar>
          </w:tcPr>
          <w:p>
            <w:pPr>
              <w:spacing w:after="80" w:before="0"/>
            </w:pPr>
            <w:r>
              <w:rPr>
                <w:rFonts w:ascii="Arial" w:cs="Arial" w:eastAsia="Arial" w:hAnsi="Arial"/>
                <w:b/>
                <w:bCs/>
                <w:color w:val="2563EB"/>
                <w:sz w:val="22"/>
                <w:szCs w:val="22"/>
              </w:rPr>
              <w:t xml:space="preserve">LinkedIn  —  Discovery</w:t>
            </w:r>
          </w:p>
          <w:p>
            <w:pPr>
              <w:pStyle w:val="ListParagraph"/>
              <w:numPr>
                <w:ilvl w:val="0"/>
                <w:numId w:val="2"/>
              </w:numPr>
              <w:spacing w:after="40" w:before="40"/>
            </w:pPr>
            <w:r>
              <w:rPr>
                <w:rFonts w:ascii="Arial" w:cs="Arial" w:eastAsia="Arial" w:hAnsi="Arial"/>
                <w:color w:val="374151"/>
                <w:sz w:val="22"/>
                <w:szCs w:val="22"/>
              </w:rPr>
              <w:t xml:space="preserve">Short-form: 1 metric insight per post, 3x per week</w:t>
            </w:r>
          </w:p>
          <w:p>
            <w:pPr>
              <w:pStyle w:val="ListParagraph"/>
              <w:numPr>
                <w:ilvl w:val="0"/>
                <w:numId w:val="2"/>
              </w:numPr>
              <w:spacing w:after="40" w:before="40"/>
            </w:pPr>
            <w:r>
              <w:rPr>
                <w:rFonts w:ascii="Arial" w:cs="Arial" w:eastAsia="Arial" w:hAnsi="Arial"/>
                <w:color w:val="374151"/>
                <w:sz w:val="22"/>
                <w:szCs w:val="22"/>
              </w:rPr>
              <w:t xml:space="preserve">Format: Data point -&gt; What it means -&gt; Link to full analysis</w:t>
            </w:r>
          </w:p>
          <w:p>
            <w:pPr>
              <w:pStyle w:val="ListParagraph"/>
              <w:numPr>
                <w:ilvl w:val="0"/>
                <w:numId w:val="2"/>
              </w:numPr>
              <w:spacing w:after="40" w:before="40"/>
            </w:pPr>
            <w:r>
              <w:rPr>
                <w:rFonts w:ascii="Arial" w:cs="Arial" w:eastAsia="Arial" w:hAnsi="Arial"/>
                <w:color w:val="374151"/>
                <w:sz w:val="22"/>
                <w:szCs w:val="22"/>
              </w:rPr>
              <w:t xml:space="preserve">Example: 'Apple DSO rose 8 days QoQ. Here is what that signals about their services business...'</w:t>
            </w:r>
          </w:p>
          <w:p>
            <w:pPr>
              <w:pStyle w:val="ListParagraph"/>
              <w:numPr>
                <w:ilvl w:val="0"/>
                <w:numId w:val="2"/>
              </w:numPr>
              <w:spacing w:after="40" w:before="40"/>
            </w:pPr>
            <w:r>
              <w:rPr>
                <w:rFonts w:ascii="Arial" w:cs="Arial" w:eastAsia="Arial" w:hAnsi="Arial"/>
                <w:color w:val="374151"/>
                <w:sz w:val="22"/>
                <w:szCs w:val="22"/>
              </w:rPr>
              <w:t xml:space="preserve">Tag companies, sectors, relevant analysts</w:t>
            </w:r>
          </w:p>
          <w:p>
            <w:pPr>
              <w:pStyle w:val="ListParagraph"/>
              <w:numPr>
                <w:ilvl w:val="0"/>
                <w:numId w:val="2"/>
              </w:numPr>
              <w:spacing w:after="40" w:before="40"/>
            </w:pPr>
            <w:r>
              <w:rPr>
                <w:rFonts w:ascii="Arial" w:cs="Arial" w:eastAsia="Arial" w:hAnsi="Arial"/>
                <w:color w:val="374151"/>
                <w:sz w:val="22"/>
                <w:szCs w:val="22"/>
              </w:rPr>
              <w:t xml:space="preserve">LinkedIn is the top of funnel — drives Substack signups</w:t>
            </w:r>
          </w:p>
        </w:tc>
        <w:tc>
          <w:tcPr>
            <w:tcW w:type="dxa" w:w="476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80" w:before="0"/>
            </w:pPr>
            <w:r>
              <w:rPr>
                <w:rFonts w:ascii="Arial" w:cs="Arial" w:eastAsia="Arial" w:hAnsi="Arial"/>
                <w:b/>
                <w:bCs/>
                <w:color w:val="5B21B6"/>
                <w:sz w:val="22"/>
                <w:szCs w:val="22"/>
              </w:rPr>
              <w:t xml:space="preserve">Substack  —  Depth</w:t>
            </w:r>
          </w:p>
          <w:p>
            <w:pPr>
              <w:pStyle w:val="ListParagraph"/>
              <w:numPr>
                <w:ilvl w:val="0"/>
                <w:numId w:val="2"/>
              </w:numPr>
              <w:spacing w:after="40" w:before="40"/>
            </w:pPr>
            <w:r>
              <w:rPr>
                <w:rFonts w:ascii="Arial" w:cs="Arial" w:eastAsia="Arial" w:hAnsi="Arial"/>
                <w:color w:val="374151"/>
                <w:sz w:val="22"/>
                <w:szCs w:val="22"/>
              </w:rPr>
              <w:t xml:space="preserve">Long-form: 1 full company or sector analysis per week</w:t>
            </w:r>
          </w:p>
          <w:p>
            <w:pPr>
              <w:pStyle w:val="ListParagraph"/>
              <w:numPr>
                <w:ilvl w:val="0"/>
                <w:numId w:val="2"/>
              </w:numPr>
              <w:spacing w:after="40" w:before="40"/>
            </w:pPr>
            <w:r>
              <w:rPr>
                <w:rFonts w:ascii="Arial" w:cs="Arial" w:eastAsia="Arial" w:hAnsi="Arial"/>
                <w:color w:val="374151"/>
                <w:sz w:val="22"/>
                <w:szCs w:val="22"/>
              </w:rPr>
              <w:t xml:space="preserve">Structure: Overview -&gt; 4 category deep-dive -&gt; Flags -&gt; Verdict</w:t>
            </w:r>
          </w:p>
          <w:p>
            <w:pPr>
              <w:pStyle w:val="ListParagraph"/>
              <w:numPr>
                <w:ilvl w:val="0"/>
                <w:numId w:val="2"/>
              </w:numPr>
              <w:spacing w:after="40" w:before="40"/>
            </w:pPr>
            <w:r>
              <w:rPr>
                <w:rFonts w:ascii="Arial" w:cs="Arial" w:eastAsia="Arial" w:hAnsi="Arial"/>
                <w:color w:val="374151"/>
                <w:sz w:val="22"/>
                <w:szCs w:val="22"/>
              </w:rPr>
              <w:t xml:space="preserve">Always link to the live dashboard</w:t>
            </w:r>
          </w:p>
          <w:p>
            <w:pPr>
              <w:pStyle w:val="ListParagraph"/>
              <w:numPr>
                <w:ilvl w:val="0"/>
                <w:numId w:val="2"/>
              </w:numPr>
              <w:spacing w:after="40" w:before="40"/>
            </w:pPr>
            <w:r>
              <w:rPr>
                <w:rFonts w:ascii="Arial" w:cs="Arial" w:eastAsia="Arial" w:hAnsi="Arial"/>
                <w:color w:val="374151"/>
                <w:sz w:val="22"/>
                <w:szCs w:val="22"/>
              </w:rPr>
              <w:t xml:space="preserve">You own the subscriber list — algorithmic independence</w:t>
            </w:r>
          </w:p>
          <w:p>
            <w:pPr>
              <w:pStyle w:val="ListParagraph"/>
              <w:numPr>
                <w:ilvl w:val="0"/>
                <w:numId w:val="2"/>
              </w:numPr>
              <w:spacing w:after="40" w:before="40"/>
            </w:pPr>
            <w:r>
              <w:rPr>
                <w:rFonts w:ascii="Arial" w:cs="Arial" w:eastAsia="Arial" w:hAnsi="Arial"/>
                <w:color w:val="374151"/>
                <w:sz w:val="22"/>
                <w:szCs w:val="22"/>
              </w:rPr>
              <w:t xml:space="preserve">Free tier builds audience; paid tier monetizes it</w:t>
            </w:r>
          </w:p>
        </w:tc>
      </w:tr>
    </w:tbl>
    <w:p>
      <w:pPr>
        <w:spacing w:after="80" w:before="0"/>
      </w:pPr>
      <w:r>
        <w:t xml:space="preserve"/>
      </w:r>
    </w:p>
    <w:p>
      <w:pPr>
        <w:spacing w:after="100" w:before="60"/>
      </w:pPr>
      <w:r>
        <w:rPr>
          <w:rFonts w:ascii="Arial" w:cs="Arial" w:eastAsia="Arial" w:hAnsi="Arial"/>
          <w:b/>
          <w:bCs/>
          <w:color w:val="0D1B2A"/>
          <w:sz w:val="22"/>
          <w:szCs w:val="22"/>
        </w:rPr>
        <w:t xml:space="preserve">Content template for every analysis:</w:t>
      </w:r>
    </w:p>
    <w:p>
      <w:pPr>
        <w:pStyle w:val="ListParagraph"/>
        <w:numPr>
          <w:ilvl w:val="0"/>
          <w:numId w:val="2"/>
        </w:numPr>
        <w:spacing w:after="40" w:before="40"/>
      </w:pPr>
      <w:r>
        <w:rPr>
          <w:rFonts w:ascii="Arial" w:cs="Arial" w:eastAsia="Arial" w:hAnsi="Arial"/>
          <w:color w:val="374151"/>
          <w:sz w:val="22"/>
          <w:szCs w:val="22"/>
        </w:rPr>
        <w:t xml:space="preserve">1  Overview: What does this company do and why does it matter now</w:t>
      </w:r>
    </w:p>
    <w:p>
      <w:pPr>
        <w:pStyle w:val="ListParagraph"/>
        <w:numPr>
          <w:ilvl w:val="0"/>
          <w:numId w:val="2"/>
        </w:numPr>
        <w:spacing w:after="40" w:before="40"/>
      </w:pPr>
      <w:r>
        <w:rPr>
          <w:rFonts w:ascii="Arial" w:cs="Arial" w:eastAsia="Arial" w:hAnsi="Arial"/>
          <w:color w:val="374151"/>
          <w:sz w:val="22"/>
          <w:szCs w:val="22"/>
        </w:rPr>
        <w:t xml:space="preserve">2  Growth metrics: Revenue trajectory, R&amp;D investment, headcount signals</w:t>
      </w:r>
    </w:p>
    <w:p>
      <w:pPr>
        <w:pStyle w:val="ListParagraph"/>
        <w:numPr>
          <w:ilvl w:val="0"/>
          <w:numId w:val="2"/>
        </w:numPr>
        <w:spacing w:after="40" w:before="40"/>
      </w:pPr>
      <w:r>
        <w:rPr>
          <w:rFonts w:ascii="Arial" w:cs="Arial" w:eastAsia="Arial" w:hAnsi="Arial"/>
          <w:color w:val="374151"/>
          <w:sz w:val="22"/>
          <w:szCs w:val="22"/>
        </w:rPr>
        <w:t xml:space="preserve">3  Profitability metrics: Margin trends, cash generation, EBITDA quality</w:t>
      </w:r>
    </w:p>
    <w:p>
      <w:pPr>
        <w:pStyle w:val="ListParagraph"/>
        <w:numPr>
          <w:ilvl w:val="0"/>
          <w:numId w:val="2"/>
        </w:numPr>
        <w:spacing w:after="40" w:before="40"/>
      </w:pPr>
      <w:r>
        <w:rPr>
          <w:rFonts w:ascii="Arial" w:cs="Arial" w:eastAsia="Arial" w:hAnsi="Arial"/>
          <w:color w:val="374151"/>
          <w:sz w:val="22"/>
          <w:szCs w:val="22"/>
        </w:rPr>
        <w:t xml:space="preserve">4  Cycle metrics: Working capital efficiency, inventory and receivables health</w:t>
      </w:r>
    </w:p>
    <w:p>
      <w:pPr>
        <w:pStyle w:val="ListParagraph"/>
        <w:numPr>
          <w:ilvl w:val="0"/>
          <w:numId w:val="2"/>
        </w:numPr>
        <w:spacing w:after="40" w:before="40"/>
      </w:pPr>
      <w:r>
        <w:rPr>
          <w:rFonts w:ascii="Arial" w:cs="Arial" w:eastAsia="Arial" w:hAnsi="Arial"/>
          <w:color w:val="374151"/>
          <w:sz w:val="22"/>
          <w:szCs w:val="22"/>
        </w:rPr>
        <w:t xml:space="preserve">5  Complexity metrics: Balance sheet strength, return quality, Altman Z</w:t>
      </w:r>
    </w:p>
    <w:p>
      <w:pPr>
        <w:pStyle w:val="ListParagraph"/>
        <w:numPr>
          <w:ilvl w:val="0"/>
          <w:numId w:val="2"/>
        </w:numPr>
        <w:spacing w:after="40" w:before="40"/>
      </w:pPr>
      <w:r>
        <w:rPr>
          <w:rFonts w:ascii="Arial" w:cs="Arial" w:eastAsia="Arial" w:hAnsi="Arial"/>
          <w:color w:val="374151"/>
          <w:sz w:val="22"/>
          <w:szCs w:val="22"/>
        </w:rPr>
        <w:t xml:space="preserve">6  Flags: What the data is warning about</w:t>
      </w:r>
    </w:p>
    <w:p>
      <w:pPr>
        <w:pStyle w:val="ListParagraph"/>
        <w:numPr>
          <w:ilvl w:val="0"/>
          <w:numId w:val="2"/>
        </w:numPr>
        <w:spacing w:after="40" w:before="40"/>
      </w:pPr>
      <w:r>
        <w:rPr>
          <w:rFonts w:ascii="Arial" w:cs="Arial" w:eastAsia="Arial" w:hAnsi="Arial"/>
          <w:color w:val="374151"/>
          <w:sz w:val="22"/>
          <w:szCs w:val="22"/>
        </w:rPr>
        <w:t xml:space="preserve">7  Business decision: What would you do with this information</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Promotion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4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Goal</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1</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Launch GitHub repo with README, architecture diagram, this roadmap</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Credibility anchor</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2</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Deploy dashboard with 10 tickers live on Vercel. Post the link on LinkedIn</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First public proof</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3</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Publish first Substack analysis using your own dashboard data</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Content credibility</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4</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Post LinkedIn teaser referencing Substack. Cross-link everything</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Flywheel begins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6</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DM 10 analysts or hiring managers with personalized company analysis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Direct outreach with proof</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8</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Pitch guest post or data collaboration to a finance Substack with &gt; 5K subscribers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Audience acceleration</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12</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Launch freemium with Stripe. Announce on LinkedIn and Substack</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First revenue signal</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Success Metrics &amp; Milestones</w:t>
      </w:r>
    </w:p>
    <w:p>
      <w:pPr>
        <w:spacing w:after="100" w:before="60"/>
      </w:pPr>
      <w:r>
        <w:rPr>
          <w:rFonts w:ascii="Arial" w:cs="Arial" w:eastAsia="Arial" w:hAnsi="Arial"/>
          <w:color w:val="374151"/>
          <w:sz w:val="22"/>
          <w:szCs w:val="22"/>
        </w:rPr>
        <w:t xml:space="preserve">Each milestone is a concrete, verifiable output — not a soft goal. These are the checkpoints that tell you the strategy is working.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416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30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Target Date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Dashboard live with real data</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Engineering signal: you shipped something real</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Month 2</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First Substack analysis published</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Conviction signal: you put your name on an opinion</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Month 3</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100 GitHub stars or 50 Substack subscribers</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Market signal: others find this valuable</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Month 4</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First job interview referencing the tool</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Career signal: it is working as a portfolio</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Month 5</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500 tickers in the database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Scale signal: pipeline is robust</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Month 6</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First paying subscriber</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Business signal: strangers value this enough to pay</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Month 9</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100 paying subscribers ($1,900 MRR)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Sustainability signal: product is real</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2"/>
                <w:szCs w:val="22"/>
              </w:rPr>
              <w:t xml:space="preserve">Month 12</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2"/>
                <w:szCs w:val="22"/>
              </w:rPr>
              <w:t xml:space="preserve">Analyst role offer or $2K+/month revenue</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Strategy validated</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2"/>
                <w:szCs w:val="22"/>
              </w:rPr>
              <w:t xml:space="preserve">Month 12-15</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The Core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2563EB" w:sz="4"/>
              <w:right w:val="none" w:color="FFFFFF" w:sz="0"/>
            </w:tcBorders>
            <w:shd w:fill="F0F7FF" w:val="clear"/>
            <w:tcMar>
              <w:top w:type="dxa" w:w="160"/>
              <w:left w:type="dxa" w:w="240"/>
              <w:bottom w:type="dxa" w:w="160"/>
              <w:right w:type="dxa" w:w="240"/>
            </w:tcMar>
          </w:tcPr>
          <w:p>
            <w:pPr>
              <w:spacing w:after="80" w:before="0"/>
            </w:pPr>
            <w:r>
              <w:rPr>
                <w:rFonts w:ascii="Arial" w:cs="Arial" w:eastAsia="Arial" w:hAnsi="Arial"/>
                <w:i/>
                <w:iCs/>
                <w:color w:val="0D1B2A"/>
                <w:sz w:val="22"/>
                <w:szCs w:val="22"/>
              </w:rPr>
              <w:t xml:space="preserve">Most analysts spend years earning the right to form opinions. FinMetrics compresses that timeline by showing — not claiming — four things at once: that you can build data infrastructure, that you can select and apply the metrics that matter, that you can communicate findings to an audience, and that you can ship a product people use. Each of those four things describes a senior analyst. Doing all four before you have the title is the entire strategic bet.</w:t>
            </w:r>
          </w:p>
        </w:tc>
      </w:tr>
    </w:tbl>
    <w:p>
      <w:pPr>
        <w:spacing w:after="200" w:before="0"/>
      </w:pPr>
      <w:r>
        <w:t xml:space="preserve"/>
      </w:r>
    </w:p>
    <w:p>
      <w:pPr>
        <w:spacing w:after="0" w:before="80"/>
        <w:jc w:val="center"/>
      </w:pPr>
      <w:r>
        <w:rPr>
          <w:rFonts w:ascii="Arial" w:cs="Arial" w:eastAsia="Arial" w:hAnsi="Arial"/>
          <w:i/>
          <w:iCs/>
          <w:color w:val="9CA3AF"/>
          <w:sz w:val="18"/>
          <w:szCs w:val="18"/>
        </w:rPr>
        <w:t xml:space="preserve">FinMetrics  |  Built on SEC EDGAR  |  Open Source Foundation  |  Analyst-Owned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before="0"/>
    </w:pPr>
    <w:r>
      <w:rPr>
        <w:rFonts w:ascii="Arial" w:cs="Arial" w:eastAsia="Arial" w:hAnsi="Arial"/>
        <w:color w:val="9CA3AF"/>
        <w:sz w:val="16"/>
        <w:szCs w:val="16"/>
      </w:rPr>
      <w:t xml:space="preserve">Confidential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0"/>
    </w:pPr>
    <w:r>
      <w:rPr>
        <w:rFonts w:ascii="Arial" w:cs="Arial" w:eastAsia="Arial" w:hAnsi="Arial"/>
        <w:b/>
        <w:bCs/>
        <w:color w:val="2563EB"/>
        <w:sz w:val="18"/>
        <w:szCs w:val="18"/>
      </w:rPr>
      <w:t xml:space="preserve">FINMETRICS  </w:t>
    </w:r>
    <w:r>
      <w:rPr>
        <w:rFonts w:ascii="Arial" w:cs="Arial" w:eastAsia="Arial" w:hAnsi="Arial"/>
        <w:color w:val="9CA3AF"/>
        <w:sz w:val="18"/>
        <w:szCs w:val="18"/>
      </w:rPr>
      <w:t xml:space="preserve">Product &amp; Career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2026-06-02T10:52:47.699Z</dcterms:created>
  <dcterms:modified xsi:type="dcterms:W3CDTF">2026-06-02T10:52:47.700Z</dcterms:modified>
</cp:coreProperties>
</file>

<file path=docProps/custom.xml><?xml version="1.0" encoding="utf-8"?>
<Properties xmlns="http://schemas.openxmlformats.org/officeDocument/2006/custom-properties" xmlns:vt="http://schemas.openxmlformats.org/officeDocument/2006/docPropsVTypes"/>
</file>