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40" w:before="0"/>
        <w:jc w:val="center"/>
      </w:pPr>
      <w:r>
        <w:rPr>
          <w:rFonts w:ascii="Arial" w:cs="Arial" w:eastAsia="Arial" w:hAnsi="Arial"/>
          <w:b/>
          <w:bCs/>
          <w:color w:val="1E40AF"/>
          <w:sz w:val="40"/>
          <w:szCs w:val="40"/>
        </w:rPr>
        <w:t xml:space="preserve">BOROWY CONSULTING</w:t>
      </w:r>
    </w:p>
    <w:p>
      <w:pPr>
        <w:spacing w:after="80" w:before="0"/>
        <w:jc w:val="center"/>
      </w:pPr>
      <w:r>
        <w:rPr>
          <w:rFonts w:ascii="Arial" w:cs="Arial" w:eastAsia="Arial" w:hAnsi="Arial"/>
          <w:i/>
          <w:iCs/>
          <w:color w:val="9CA3AF"/>
          <w:sz w:val="22"/>
          <w:szCs w:val="22"/>
        </w:rPr>
        <w:t xml:space="preserve">borowyconsulting.com</w:t>
      </w:r>
    </w:p>
    <w:p>
      <w:pPr>
        <w:pBdr>
          <w:top w:val="single" w:color="2563EB" w:sz="4" w:space="6"/>
          <w:bottom w:val="single" w:color="2563EB" w:sz="4" w:space="6"/>
        </w:pBdr>
        <w:spacing w:after="80" w:before="80"/>
        <w:jc w:val="center"/>
      </w:pPr>
      <w:r>
        <w:rPr>
          <w:rFonts w:ascii="Arial" w:cs="Arial" w:eastAsia="Arial" w:hAnsi="Arial"/>
          <w:b/>
          <w:bCs/>
          <w:color w:val="0D1B2A"/>
          <w:sz w:val="28"/>
          <w:szCs w:val="28"/>
        </w:rPr>
        <w:t xml:space="preserve">FINMETRICS  —  APPENDIX A</w:t>
      </w:r>
    </w:p>
    <w:p>
      <w:pPr>
        <w:spacing w:after="200" w:before="80"/>
        <w:jc w:val="center"/>
      </w:pPr>
      <w:r>
        <w:rPr>
          <w:rFonts w:ascii="Arial" w:cs="Arial" w:eastAsia="Arial" w:hAnsi="Arial"/>
          <w:b/>
          <w:bCs/>
          <w:color w:val="0D1B2A"/>
          <w:sz w:val="32"/>
          <w:szCs w:val="32"/>
        </w:rPr>
        <w:t xml:space="preserve">Private Business Analysis Framework</w:t>
      </w:r>
    </w:p>
    <w:p>
      <w:pPr>
        <w:spacing w:after="40" w:before="0"/>
        <w:jc w:val="center"/>
      </w:pPr>
      <w:r>
        <w:rPr>
          <w:rFonts w:ascii="Arial" w:cs="Arial" w:eastAsia="Arial" w:hAnsi="Arial"/>
          <w:i/>
          <w:iCs/>
          <w:color w:val="9CA3AF"/>
          <w:sz w:val="22"/>
          <w:szCs w:val="22"/>
        </w:rPr>
        <w:t xml:space="preserve">Origin, Methodology, and Forward Architecture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PHASE 0</w:t>
            </w:r>
          </w:p>
        </w:tc>
        <w:tc>
          <w:tcPr>
            <w:tcW w:type="dxa" w:w="234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40"/>
            </w:tcMar>
          </w:tcPr>
          <w:p>
            <w:r>
              <w:rPr>
                <w:rFonts w:ascii="Arial" w:cs="Arial" w:eastAsia="Arial" w:hAnsi="Arial"/>
                <w:b/>
                <w:bCs/>
                <w:color w:val="FFFFFF"/>
                <w:sz w:val="19"/>
                <w:szCs w:val="19"/>
              </w:rPr>
              <w:t xml:space="preserve">STATUS</w:t>
            </w:r>
          </w:p>
        </w:tc>
        <w:tc>
          <w:tcPr>
            <w:tcW w:type="dxa" w:w="2340"/>
            <w:tcBorders>
              <w:top w:val="single" w:color="E5E7EB" w:sz="4"/>
              <w:left w:val="single" w:color="E5E7EB" w:sz="4"/>
              <w:bottom w:val="single" w:color="E5E7EB" w:sz="4"/>
              <w:right w:val="single" w:color="E5E7EB" w:sz="4"/>
            </w:tcBorders>
            <w:shd w:fill="92400E" w:val="clear"/>
            <w:tcMar>
              <w:top w:type="dxa" w:w="100"/>
              <w:left w:type="dxa" w:w="140"/>
              <w:bottom w:type="dxa" w:w="100"/>
              <w:right w:type="dxa" w:w="140"/>
            </w:tcMar>
          </w:tcPr>
          <w:p>
            <w:r>
              <w:rPr>
                <w:rFonts w:ascii="Arial" w:cs="Arial" w:eastAsia="Arial" w:hAnsi="Arial"/>
                <w:b/>
                <w:bCs/>
                <w:color w:val="FFFFFF"/>
                <w:sz w:val="19"/>
                <w:szCs w:val="19"/>
              </w:rPr>
              <w:t xml:space="preserve">MODELS</w:t>
            </w:r>
          </w:p>
        </w:tc>
        <w:tc>
          <w:tcPr>
            <w:tcW w:type="dxa" w:w="234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SCOPE</w:t>
            </w:r>
          </w:p>
        </w:tc>
      </w:tr>
      <w:tr>
        <w:tc>
          <w:tcPr>
            <w:tcW w:type="dxa" w:w="23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Origin</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Parked / Active</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20 synthetic</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companies</w:t>
            </w:r>
          </w:p>
        </w:tc>
      </w:tr>
      <w:tr>
        <w:tc>
          <w:tcPr>
            <w:tcW w:type="dxa" w:w="23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5 years</w:t>
            </w:r>
          </w:p>
        </w:tc>
        <w:tc>
          <w:tcPr>
            <w:tcW w:type="dxa" w:w="23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Infrastructure building</w:t>
            </w:r>
          </w:p>
        </w:tc>
        <w:tc>
          <w:tcPr>
            <w:tcW w:type="dxa" w:w="23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Multiple industries</w:t>
            </w:r>
          </w:p>
        </w:tc>
        <w:tc>
          <w:tcPr>
            <w:tcW w:type="dxa" w:w="23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Onboarding ETL</w:t>
            </w:r>
          </w:p>
        </w:tc>
      </w:tr>
      <w:tr>
        <w:tc>
          <w:tcPr>
            <w:tcW w:type="dxa" w:w="23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Borowy Consulting</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Awaiting FinMetrics</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Synthetic data</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Full pipeline</w:t>
            </w:r>
          </w:p>
        </w:tc>
      </w:tr>
      <w:tr>
        <w:tc>
          <w:tcPr>
            <w:tcW w:type="dxa" w:w="23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VS Code / Python</w:t>
            </w:r>
          </w:p>
        </w:tc>
        <w:tc>
          <w:tcPr>
            <w:tcW w:type="dxa" w:w="23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 activation</w:t>
            </w:r>
          </w:p>
        </w:tc>
        <w:tc>
          <w:tcPr>
            <w:tcW w:type="dxa" w:w="23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Hundreds of docs</w:t>
            </w:r>
          </w:p>
        </w:tc>
        <w:tc>
          <w:tcPr>
            <w:tcW w:type="dxa" w:w="23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Consulting practice</w:t>
            </w:r>
          </w:p>
        </w:tc>
      </w:tr>
    </w:tbl>
    <w:p>
      <w:pPr>
        <w:spacing w:after="200" w:before="0"/>
      </w:pPr>
      <w:r>
        <w:t xml:space="preserve"/>
      </w:r>
    </w:p>
    <w:p>
      <w:pPr>
        <w:spacing w:after="0" w:before="0"/>
        <w:jc w:val="center"/>
      </w:pPr>
      <w:r>
        <w:rPr>
          <w:rFonts w:ascii="Arial" w:cs="Arial" w:eastAsia="Arial" w:hAnsi="Arial"/>
          <w:i/>
          <w:iCs/>
          <w:color w:val="374151"/>
          <w:sz w:val="20"/>
          <w:szCs w:val="20"/>
        </w:rPr>
        <w:t xml:space="preserve">This appendix documents the Borowy Consulting private business analysis framework — the origin of the entire FinMetrics methodology. It is parked here formally while the public infrastructure is built, and activates as Phase 3 of the consulting practice.</w:t>
      </w:r>
    </w:p>
    <w:p>
      <w:pPr>
        <w:spacing w:after="40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1 — Intellectual Lineage</w:t>
      </w:r>
    </w:p>
    <w:p>
      <w:pPr>
        <w:spacing w:after="100" w:before="60"/>
      </w:pPr>
      <w:r>
        <w:rPr>
          <w:rFonts w:ascii="Arial" w:cs="Arial" w:eastAsia="Arial" w:hAnsi="Arial"/>
          <w:color w:val="374151"/>
          <w:sz w:val="22"/>
          <w:szCs w:val="22"/>
        </w:rPr>
        <w:t xml:space="preserve">The Borowy Consulting private business analysis framework did not emerge from a textbook. It emerged from a problem — the recognition that small and mid-sized private businesses make decisions without the analytical infrastructure that public companies and their investors take for granted. The framework was built bottom-up, from the data, over five years of iterative prototype development.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none" w:color="FFFFFF" w:sz="0"/>
            </w:tcBorders>
            <w:shd w:fill="F0F7FF" w:val="clear"/>
            <w:tcMar>
              <w:top w:type="dxa" w:w="160"/>
              <w:left w:type="dxa" w:w="240"/>
              <w:bottom w:type="dxa" w:w="160"/>
              <w:right w:type="dxa" w:w="240"/>
            </w:tcMar>
          </w:tcPr>
          <w:p>
            <w:r>
              <w:rPr>
                <w:rFonts w:ascii="Arial" w:cs="Arial" w:eastAsia="Arial" w:hAnsi="Arial"/>
                <w:i/>
                <w:iCs/>
                <w:color w:val="0D1B2A"/>
                <w:sz w:val="22"/>
                <w:szCs w:val="22"/>
              </w:rPr>
              <w:t xml:space="preserve">The methodology you are reading was not designed. It was discovered — by building 20 synthetic business models, running them through a prototype ETL pipeline, hitting every data quality problem that real private business financials produce, and documenting the solutions. This appendix is the record of that discovery process.</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The Full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2800"/>
      </w:tblGrid>
      <w:tr>
        <w:tc>
          <w:tcPr>
            <w:tcW w:type="dxa" w:w="16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24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Project</w:t>
            </w:r>
          </w:p>
        </w:tc>
        <w:tc>
          <w:tcPr>
            <w:tcW w:type="dxa" w:w="25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What Was Built</w:t>
            </w:r>
          </w:p>
        </w:tc>
        <w:tc>
          <w:tcPr>
            <w:tcW w:type="dxa" w:w="28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What Was Learned</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0
(5 years)</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Borowy Consulting
Private ETL Pipeline</w:t>
            </w:r>
          </w:p>
        </w:tc>
        <w:tc>
          <w:tcPr>
            <w:tcW w:type="dxa" w:w="2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20 synthetic company models, onboarding ETL pipeline, system architecture, hundreds of specification documents — all in VS Code / Python</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financial data is structurally different from public data in ways that break naive analysis. Owner compensation, chart of accounts variance, cash/accrual mixing, related party transactions — all documented through failure.</w:t>
            </w:r>
          </w:p>
        </w:tc>
      </w:tr>
      <w:tr>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1</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HEMM
(Higher Education
Master Model)</w:t>
            </w:r>
          </w:p>
        </w:tc>
        <w:tc>
          <w:tcPr>
            <w:tcW w:type="dxa" w:w="2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Multi-source IPEDS pipeline, Power BI architecture, 14M+ rows, ETL workflow standard, known gap registry, SQL integration layer</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How to build rigorous pipelines on real data with era breaks, coverage gaps, and format changes. The diagnostic-first methodology. Documentation as a trust mechanism.</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2</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FinMetrics
(Public Companies)</w:t>
            </w:r>
          </w:p>
        </w:tc>
        <w:tc>
          <w:tcPr>
            <w:tcW w:type="dxa" w:w="2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Global semiconductor + cross-sector benchmark database, 5 filing systems, 4 accounting standards, 55 canonical metrics, normalization layer</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How to make financial data from different standards comparable. Tag synonym resolution. Accounting adjustment flags. The canonical metric framework that applies to both public and private companies.</w:t>
            </w:r>
          </w:p>
        </w:tc>
      </w:tr>
      <w:tr>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
(Forward)</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Borowy Consulting
Private Practice</w:t>
            </w:r>
          </w:p>
        </w:tc>
        <w:tc>
          <w:tcPr>
            <w:tcW w:type="dxa" w:w="2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Apply the full methodology to real private clients — onboarding ETL, normalization adjustments, FinMetrics benchmark comparison, Power BI deliverables</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The consulting practice. Each engagement deepens the methodology and expands the private company knowledge base.</w:t>
            </w:r>
          </w:p>
        </w:tc>
      </w:tr>
    </w:tbl>
    <w:p>
      <w:pPr>
        <w:spacing w:after="120" w:before="0"/>
      </w:pPr>
      <w:r>
        <w:t xml:space="preserve"/>
      </w:r>
    </w:p>
    <w:p>
      <w:pPr>
        <w:spacing w:after="100" w:before="60"/>
      </w:pPr>
      <w:r>
        <w:rPr>
          <w:rFonts w:ascii="Arial" w:cs="Arial" w:eastAsia="Arial" w:hAnsi="Arial"/>
          <w:color w:val="374151"/>
          <w:sz w:val="22"/>
          <w:szCs w:val="22"/>
        </w:rPr>
        <w:t xml:space="preserve">Each phase solved a problem the next phase required. The private ETL work (Phase 0) identified the data quality problems. The HEMM (Phase 1) established the pipeline discipline. FinMetrics (Phase 2) builds the benchmark reference database that makes private company analysis contextually meaningful. The consulting practice (Phase 3) applies all of it to real decisions with real consequences.</w:t>
      </w:r>
    </w:p>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2 — What Was Built in Phase 0</w:t>
      </w:r>
    </w:p>
    <w:p>
      <w:pPr>
        <w:spacing w:after="100" w:before="60"/>
      </w:pPr>
      <w:r>
        <w:rPr>
          <w:rFonts w:ascii="Arial" w:cs="Arial" w:eastAsia="Arial" w:hAnsi="Arial"/>
          <w:color w:val="374151"/>
          <w:sz w:val="22"/>
          <w:szCs w:val="22"/>
        </w:rPr>
        <w:t xml:space="preserve">The Borowy Consulting private ETL pipeline was built over five years in VS Code with Python, operating under the Borowy Consulting professional infrastructure. It consisted of 20 synthetic company models running concurrently, a complete onboarding process, an ETL pipeline, and hundreds of specification and architecture documents. This section inventories what exists and what it represents.</w:t>
      </w:r>
    </w:p>
    <w:p>
      <w:pPr>
        <w:spacing w:after="120" w:before="0"/>
      </w:pPr>
      <w:r>
        <w:t xml:space="preserve"/>
      </w:r>
    </w:p>
    <w:p>
      <w:pPr>
        <w:pStyle w:val="Heading2"/>
        <w:spacing w:after="100" w:before="280"/>
      </w:pPr>
      <w:r>
        <w:rPr>
          <w:rFonts w:ascii="Arial" w:cs="Arial" w:eastAsia="Arial" w:hAnsi="Arial"/>
          <w:b/>
          <w:bCs/>
          <w:color w:val="1B3A5C"/>
          <w:sz w:val="28"/>
          <w:szCs w:val="28"/>
        </w:rPr>
        <w:t xml:space="preserve">The 20 Synthetic Company Models</w:t>
      </w:r>
    </w:p>
    <w:p>
      <w:pPr>
        <w:spacing w:after="100" w:before="60"/>
      </w:pPr>
      <w:r>
        <w:rPr>
          <w:rFonts w:ascii="Arial" w:cs="Arial" w:eastAsia="Arial" w:hAnsi="Arial"/>
          <w:color w:val="374151"/>
          <w:sz w:val="22"/>
          <w:szCs w:val="22"/>
        </w:rPr>
        <w:t xml:space="preserve">The synthetic company library was not arbitrary. Each model was designed to stress-test a specific aspect of the methodology — a different industry, a different data quality problem, a different ownership structure. Together they constitute a validation suite for the private business normalization layer.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160"/>
      </w:tblGrid>
      <w:tr>
        <w:tc>
          <w:tcPr>
            <w:tcW w:type="dxa" w:w="140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Model Type</w:t>
            </w:r>
          </w:p>
        </w:tc>
        <w:tc>
          <w:tcPr>
            <w:tcW w:type="dxa" w:w="200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Industry</w:t>
            </w:r>
          </w:p>
        </w:tc>
        <w:tc>
          <w:tcPr>
            <w:tcW w:type="dxa" w:w="280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Data Problem Modeled</w:t>
            </w:r>
          </w:p>
        </w:tc>
        <w:tc>
          <w:tcPr>
            <w:tcW w:type="dxa" w:w="316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Methodology Tested</w:t>
            </w:r>
          </w:p>
        </w:tc>
      </w:tr>
      <w:tr>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Prototype A</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Manufacturing</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LIFO inventory, owner compensation distortion, capital-intensive cycle metrics</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Inventory normalization, D&amp;A treatment, working capital analysis</w:t>
            </w:r>
          </w:p>
        </w:tc>
      </w:tr>
      <w:tr>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Prototype B</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Retail / Distribution</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 basis accounting, thin margins, seasonal inventory swings</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Cash-to-accrual conversion, seasonal TTM adjustment, DPO/DSO analysis</w:t>
            </w:r>
          </w:p>
        </w:tc>
      </w:tr>
      <w:tr>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Prototype C</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Professional Services</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 inventory, high owner comp, project-based revenue recognition</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normalization, R&amp;D-equivalent investment, employee productivity</w:t>
            </w:r>
          </w:p>
        </w:tc>
      </w:tr>
      <w:tr>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Prototype D</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Construction</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Percentage-of-completion revenue, retainage receivables, equipment-heavy</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Non-standard receivables, capital asset treatment, cash flow timing</w:t>
            </w:r>
          </w:p>
        </w:tc>
      </w:tr>
      <w:tr>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Prototype E</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Food &amp; Beverage</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Perishable inventory, franchise structure, related party rent</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Inventory turn normalization, lease adjustment, related party identification</w:t>
            </w:r>
          </w:p>
        </w:tc>
      </w:tr>
      <w:tr>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Prototype F</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Healthcare Services</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Insurance receivables, regulatory compliance costs, credentialing overhead</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Receivables quality assessment, opex structure, Altman Z applicability</w:t>
            </w:r>
          </w:p>
        </w:tc>
      </w:tr>
      <w:tr>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Prototype G</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Technology / SaaS</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Deferred revenue, R&amp;D capitalization question, stock compensation</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timing, development cost treatment, equity-based comp normalization</w:t>
            </w:r>
          </w:p>
        </w:tc>
      </w:tr>
      <w:tr>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Prototype H</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Real Estate Services</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Commission-based revenue, minimal COGS, high SG&amp;A, agent comp</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Gross margin inapplicability, operating leverage, headcount productivity</w:t>
            </w:r>
          </w:p>
        </w:tc>
      </w:tr>
      <w:tr>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Prototypes I–T</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Multiple industries</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Combination of above problems plus edge cases discovered during builds</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Comprehensive validation across ownership structures, sizes, and accounting practices</w:t>
            </w:r>
          </w:p>
        </w:tc>
      </w:tr>
    </w:tbl>
    <w:p>
      <w:pPr>
        <w:spacing w:after="80" w:before="0"/>
      </w:pPr>
      <w:r>
        <w:t xml:space="preserve"/>
      </w:r>
    </w:p>
    <w:p>
      <w:pPr>
        <w:spacing w:after="100" w:before="60"/>
      </w:pPr>
      <w:r>
        <w:rPr>
          <w:rFonts w:ascii="Arial" w:cs="Arial" w:eastAsia="Arial" w:hAnsi="Arial"/>
          <w:color w:val="374151"/>
          <w:sz w:val="22"/>
          <w:szCs w:val="22"/>
        </w:rPr>
        <w:t xml:space="preserve">Every model that broke the early methodology — and many did — produced a documented failure mode. Those failure modes are the most valuable output of Phase 0. They are the reason the Phase 3 methodology will work on real client data.</w:t>
      </w:r>
    </w:p>
    <w:p>
      <w:pPr>
        <w:spacing w:after="120" w:before="0"/>
      </w:pPr>
      <w:r>
        <w:t xml:space="preserve"/>
      </w:r>
    </w:p>
    <w:p>
      <w:pPr>
        <w:pStyle w:val="Heading2"/>
        <w:spacing w:after="100" w:before="280"/>
      </w:pPr>
      <w:r>
        <w:rPr>
          <w:rFonts w:ascii="Arial" w:cs="Arial" w:eastAsia="Arial" w:hAnsi="Arial"/>
          <w:b/>
          <w:bCs/>
          <w:color w:val="1B3A5C"/>
          <w:sz w:val="28"/>
          <w:szCs w:val="28"/>
        </w:rPr>
        <w:t xml:space="preserve">The Onboarding Process</w:t>
      </w:r>
    </w:p>
    <w:p>
      <w:pPr>
        <w:spacing w:after="100" w:before="60"/>
      </w:pPr>
      <w:r>
        <w:rPr>
          <w:rFonts w:ascii="Arial" w:cs="Arial" w:eastAsia="Arial" w:hAnsi="Arial"/>
          <w:color w:val="374151"/>
          <w:sz w:val="22"/>
          <w:szCs w:val="22"/>
        </w:rPr>
        <w:t xml:space="preserve">One of the most important outputs of the Phase 0 work is the client onboarding process — the structured workflow for receiving a private company's financial data, validating it, and preparing it for analysis. Private business data arrives in formats that vary widely: QuickBooks exports, Excel-based books, accountant-prepared statements, and in some cases handwritten ledgers converted to spreadsheets.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360"/>
        <w:gridCol w:w="2600"/>
      </w:tblGrid>
      <w:tr>
        <w:tc>
          <w:tcPr>
            <w:tcW w:type="dxa" w:w="6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Step</w:t>
            </w:r>
          </w:p>
        </w:tc>
        <w:tc>
          <w:tcPr>
            <w:tcW w:type="dxa" w:w="24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Stage</w:t>
            </w:r>
          </w:p>
        </w:tc>
        <w:tc>
          <w:tcPr>
            <w:tcW w:type="dxa" w:w="33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What Happens</w:t>
            </w:r>
          </w:p>
        </w:tc>
        <w:tc>
          <w:tcPr>
            <w:tcW w:type="dxa" w:w="26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Output</w:t>
            </w:r>
          </w:p>
        </w:tc>
      </w:tr>
      <w:tr>
        <w:tc>
          <w:tcPr>
            <w:tcW w:type="dxa" w:w="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Data Request</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Structured request package sent to client — specific files, formats, and time periods required. Minimum: 3 years P&amp;L, 2 years balance sheet, most recent cash flow statement.</w:t>
            </w:r>
          </w:p>
        </w:tc>
        <w:tc>
          <w:tcPr>
            <w:tcW w:type="dxa" w:w="2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Completed data request checklist</w:t>
            </w:r>
          </w:p>
        </w:tc>
      </w:tr>
      <w:tr>
        <w:tc>
          <w:tcPr>
            <w:tcW w:type="dxa" w:w="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2</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Receipt &amp; Validation</w:t>
            </w:r>
          </w:p>
        </w:tc>
        <w:tc>
          <w:tcPr>
            <w:tcW w:type="dxa" w:w="33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Incoming data checked against request. Format identified: QuickBooks export, accountant-prepared, Excel-based, hybrid. Missing items flagged.</w:t>
            </w:r>
          </w:p>
        </w:tc>
        <w:tc>
          <w:tcPr>
            <w:tcW w:type="dxa" w:w="2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Data receipt log with gap identification</w:t>
            </w:r>
          </w:p>
        </w:tc>
      </w:tr>
      <w:tr>
        <w:tc>
          <w:tcPr>
            <w:tcW w:type="dxa" w:w="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3</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Format Normalization</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Source data mapped to canonical chart of accounts. QuickBooks category structure harmonized to standard metric inputs. Era breaks and format changes documented.</w:t>
            </w:r>
          </w:p>
        </w:tc>
        <w:tc>
          <w:tcPr>
            <w:tcW w:type="dxa" w:w="2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Normalized input file in standard format</w:t>
            </w:r>
          </w:p>
        </w:tc>
      </w:tr>
      <w:tr>
        <w:tc>
          <w:tcPr>
            <w:tcW w:type="dxa" w:w="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4</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Owner Compensation Review</w:t>
            </w:r>
          </w:p>
        </w:tc>
        <w:tc>
          <w:tcPr>
            <w:tcW w:type="dxa" w:w="33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Owner draw, salary, distributions, and benefits identified. Market-rate compensation benchmark applied. Adjustment documented with rationale.</w:t>
            </w:r>
          </w:p>
        </w:tc>
        <w:tc>
          <w:tcPr>
            <w:tcW w:type="dxa" w:w="2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Owner comp adjustment memo</w:t>
            </w:r>
          </w:p>
        </w:tc>
      </w:tr>
      <w:tr>
        <w:tc>
          <w:tcPr>
            <w:tcW w:type="dxa" w:w="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5</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Related Party Identification</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Rent to related entities, family payroll, inter-company loans, personal expenses in business accounts — all identified and flagged.</w:t>
            </w:r>
          </w:p>
        </w:tc>
        <w:tc>
          <w:tcPr>
            <w:tcW w:type="dxa" w:w="2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Related party transaction log</w:t>
            </w:r>
          </w:p>
        </w:tc>
      </w:tr>
      <w:tr>
        <w:tc>
          <w:tcPr>
            <w:tcW w:type="dxa" w:w="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6</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Cash-to-Accrual Assessment</w:t>
            </w:r>
          </w:p>
        </w:tc>
        <w:tc>
          <w:tcPr>
            <w:tcW w:type="dxa" w:w="33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 cash basis: assess whether accrual conversion is necessary for meaningful analysis. Document decision and method.</w:t>
            </w:r>
          </w:p>
        </w:tc>
        <w:tc>
          <w:tcPr>
            <w:tcW w:type="dxa" w:w="2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Accounting basis assessment</w:t>
            </w:r>
          </w:p>
        </w:tc>
      </w:tr>
      <w:tr>
        <w:tc>
          <w:tcPr>
            <w:tcW w:type="dxa" w:w="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7</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Metric Calculation</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All applicable metrics from the 55-metric framework calculated on normalized data. Flags applied where adjustments were made.</w:t>
            </w:r>
          </w:p>
        </w:tc>
        <w:tc>
          <w:tcPr>
            <w:tcW w:type="dxa" w:w="2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Metrics output with flag registry</w:t>
            </w:r>
          </w:p>
        </w:tc>
      </w:tr>
      <w:tr>
        <w:tc>
          <w:tcPr>
            <w:tcW w:type="dxa" w:w="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8</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Benchmark Comparison</w:t>
            </w:r>
          </w:p>
        </w:tc>
        <w:tc>
          <w:tcPr>
            <w:tcW w:type="dxa" w:w="33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 metrics compared against FinMetrics public peer set for the relevant sector. Positioning documented.</w:t>
            </w:r>
          </w:p>
        </w:tc>
        <w:tc>
          <w:tcPr>
            <w:tcW w:type="dxa" w:w="2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Benchmark comparison report</w:t>
            </w:r>
          </w:p>
        </w:tc>
      </w:tr>
      <w:tr>
        <w:tc>
          <w:tcPr>
            <w:tcW w:type="dxa" w:w="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9</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Deliverable</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Power BI report in standard format. Written narrative. Client walkthrough session.</w:t>
            </w:r>
          </w:p>
        </w:tc>
        <w:tc>
          <w:tcPr>
            <w:tcW w:type="dxa" w:w="2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Final client deliverable</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The ETL Pipeline Architecture</w:t>
      </w:r>
    </w:p>
    <w:p>
      <w:pPr>
        <w:spacing w:after="100" w:before="60"/>
      </w:pPr>
      <w:r>
        <w:rPr>
          <w:rFonts w:ascii="Arial" w:cs="Arial" w:eastAsia="Arial" w:hAnsi="Arial"/>
          <w:color w:val="374151"/>
          <w:sz w:val="22"/>
          <w:szCs w:val="22"/>
        </w:rPr>
        <w:t xml:space="preserve">The Phase 0 ETL pipeline was built in VS Code with Python under the Borowy Consulting environment. While the implementation was prototype-grade, the architectural decisions it embodied carry forward directly into the Phase 3 production pipeline. The pipeline addressed the same fundamental problems as FinMetrics — source data in non-standard formats, normalization to canonical metrics, quality flags for adjustments — but for private company financials rather than XBRL filings.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E5E7EB" w:sz="4"/>
              <w:left w:val="single" w:color="E5E7EB" w:sz="4"/>
              <w:bottom w:val="single" w:color="E5E7EB" w:sz="4"/>
              <w:right w:val="single" w:color="E5E7EB" w:sz="4"/>
            </w:tcBorders>
            <w:shd w:fill="DBEAFE" w:val="clear"/>
            <w:tcMar>
              <w:top w:type="dxa" w:w="100"/>
              <w:left w:type="dxa" w:w="140"/>
              <w:bottom w:type="dxa" w:w="100"/>
              <w:right w:type="dxa" w:w="140"/>
            </w:tcMar>
          </w:tcPr>
          <w:p>
            <w:pPr>
              <w:spacing w:after="80" w:before="0"/>
            </w:pPr>
            <w:r>
              <w:rPr>
                <w:rFonts w:ascii="Arial" w:cs="Arial" w:eastAsia="Arial" w:hAnsi="Arial"/>
                <w:b/>
                <w:bCs/>
                <w:color w:val="1E40AF"/>
                <w:sz w:val="22"/>
                <w:szCs w:val="22"/>
              </w:rPr>
              <w:t xml:space="preserve">What the Phase 0 Pipeline Did</w:t>
            </w:r>
          </w:p>
          <w:p>
            <w:pPr>
              <w:pStyle w:val="ListParagraph"/>
              <w:numPr>
                <w:ilvl w:val="0"/>
                <w:numId w:val="2"/>
              </w:numPr>
              <w:spacing w:after="40" w:before="40"/>
            </w:pPr>
            <w:r>
              <w:rPr>
                <w:rFonts w:ascii="Arial" w:cs="Arial" w:eastAsia="Arial" w:hAnsi="Arial"/>
                <w:color w:val="374151"/>
                <w:sz w:val="22"/>
                <w:szCs w:val="22"/>
              </w:rPr>
              <w:t xml:space="preserve">Ingested synthetic financial data from multiple source formats</w:t>
            </w:r>
          </w:p>
          <w:p>
            <w:pPr>
              <w:pStyle w:val="ListParagraph"/>
              <w:numPr>
                <w:ilvl w:val="0"/>
                <w:numId w:val="2"/>
              </w:numPr>
              <w:spacing w:after="40" w:before="40"/>
            </w:pPr>
            <w:r>
              <w:rPr>
                <w:rFonts w:ascii="Arial" w:cs="Arial" w:eastAsia="Arial" w:hAnsi="Arial"/>
                <w:color w:val="374151"/>
                <w:sz w:val="22"/>
                <w:szCs w:val="22"/>
              </w:rPr>
              <w:t xml:space="preserve">Mapped non-standard chart of accounts to canonical metric inputs</w:t>
            </w:r>
          </w:p>
          <w:p>
            <w:pPr>
              <w:pStyle w:val="ListParagraph"/>
              <w:numPr>
                <w:ilvl w:val="0"/>
                <w:numId w:val="2"/>
              </w:numPr>
              <w:spacing w:after="40" w:before="40"/>
            </w:pPr>
            <w:r>
              <w:rPr>
                <w:rFonts w:ascii="Arial" w:cs="Arial" w:eastAsia="Arial" w:hAnsi="Arial"/>
                <w:color w:val="374151"/>
                <w:sz w:val="22"/>
                <w:szCs w:val="22"/>
              </w:rPr>
              <w:t xml:space="preserve">Applied owner compensation normalization rules</w:t>
            </w:r>
          </w:p>
          <w:p>
            <w:pPr>
              <w:pStyle w:val="ListParagraph"/>
              <w:numPr>
                <w:ilvl w:val="0"/>
                <w:numId w:val="2"/>
              </w:numPr>
              <w:spacing w:after="40" w:before="40"/>
            </w:pPr>
            <w:r>
              <w:rPr>
                <w:rFonts w:ascii="Arial" w:cs="Arial" w:eastAsia="Arial" w:hAnsi="Arial"/>
                <w:color w:val="374151"/>
                <w:sz w:val="22"/>
                <w:szCs w:val="22"/>
              </w:rPr>
              <w:t xml:space="preserve">Detected and flagged related party transactions</w:t>
            </w:r>
          </w:p>
          <w:p>
            <w:pPr>
              <w:pStyle w:val="ListParagraph"/>
              <w:numPr>
                <w:ilvl w:val="0"/>
                <w:numId w:val="2"/>
              </w:numPr>
              <w:spacing w:after="40" w:before="40"/>
            </w:pPr>
            <w:r>
              <w:rPr>
                <w:rFonts w:ascii="Arial" w:cs="Arial" w:eastAsia="Arial" w:hAnsi="Arial"/>
                <w:color w:val="374151"/>
                <w:sz w:val="22"/>
                <w:szCs w:val="22"/>
              </w:rPr>
              <w:t xml:space="preserve">Calculated all applicable metrics from the 55-metric framework</w:t>
            </w:r>
          </w:p>
          <w:p>
            <w:pPr>
              <w:pStyle w:val="ListParagraph"/>
              <w:numPr>
                <w:ilvl w:val="0"/>
                <w:numId w:val="2"/>
              </w:numPr>
              <w:spacing w:after="40" w:before="40"/>
            </w:pPr>
            <w:r>
              <w:rPr>
                <w:rFonts w:ascii="Arial" w:cs="Arial" w:eastAsia="Arial" w:hAnsi="Arial"/>
                <w:color w:val="374151"/>
                <w:sz w:val="22"/>
                <w:szCs w:val="22"/>
              </w:rPr>
              <w:t xml:space="preserve">Generated company-level quality scores</w:t>
            </w:r>
          </w:p>
          <w:p>
            <w:pPr>
              <w:pStyle w:val="ListParagraph"/>
              <w:numPr>
                <w:ilvl w:val="0"/>
                <w:numId w:val="2"/>
              </w:numPr>
              <w:spacing w:after="40" w:before="40"/>
            </w:pPr>
            <w:r>
              <w:rPr>
                <w:rFonts w:ascii="Arial" w:cs="Arial" w:eastAsia="Arial" w:hAnsi="Arial"/>
                <w:color w:val="374151"/>
                <w:sz w:val="22"/>
                <w:szCs w:val="22"/>
              </w:rPr>
              <w:t xml:space="preserve">Ran 20 models concurrently for cross-company comparison</w:t>
            </w:r>
          </w:p>
          <w:p>
            <w:pPr>
              <w:pStyle w:val="ListParagraph"/>
              <w:numPr>
                <w:ilvl w:val="0"/>
                <w:numId w:val="2"/>
              </w:numPr>
              <w:spacing w:after="40" w:before="40"/>
            </w:pPr>
            <w:r>
              <w:rPr>
                <w:rFonts w:ascii="Arial" w:cs="Arial" w:eastAsia="Arial" w:hAnsi="Arial"/>
                <w:color w:val="374151"/>
                <w:sz w:val="22"/>
                <w:szCs w:val="22"/>
              </w:rPr>
              <w:t xml:space="preserve">Produced structured output ready for visualization</w:t>
            </w:r>
          </w:p>
        </w:tc>
        <w:tc>
          <w:tcPr>
            <w:tcW w:type="dxa" w:w="4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80" w:before="0"/>
            </w:pPr>
            <w:r>
              <w:rPr>
                <w:rFonts w:ascii="Arial" w:cs="Arial" w:eastAsia="Arial" w:hAnsi="Arial"/>
                <w:b/>
                <w:bCs/>
                <w:color w:val="0D1B2A"/>
                <w:sz w:val="22"/>
                <w:szCs w:val="22"/>
              </w:rPr>
              <w:t xml:space="preserve">What the Phase 3 Pipeline Inherits</w:t>
            </w:r>
          </w:p>
          <w:p>
            <w:pPr>
              <w:pStyle w:val="ListParagraph"/>
              <w:numPr>
                <w:ilvl w:val="0"/>
                <w:numId w:val="2"/>
              </w:numPr>
              <w:spacing w:after="40" w:before="40"/>
            </w:pPr>
            <w:r>
              <w:rPr>
                <w:rFonts w:ascii="Arial" w:cs="Arial" w:eastAsia="Arial" w:hAnsi="Arial"/>
                <w:color w:val="374151"/>
                <w:sz w:val="22"/>
                <w:szCs w:val="22"/>
              </w:rPr>
              <w:t xml:space="preserve">Same canonical metric framework (55 metrics, 4 categories)</w:t>
            </w:r>
          </w:p>
          <w:p>
            <w:pPr>
              <w:pStyle w:val="ListParagraph"/>
              <w:numPr>
                <w:ilvl w:val="0"/>
                <w:numId w:val="2"/>
              </w:numPr>
              <w:spacing w:after="40" w:before="40"/>
            </w:pPr>
            <w:r>
              <w:rPr>
                <w:rFonts w:ascii="Arial" w:cs="Arial" w:eastAsia="Arial" w:hAnsi="Arial"/>
                <w:color w:val="374151"/>
                <w:sz w:val="22"/>
                <w:szCs w:val="22"/>
              </w:rPr>
              <w:t xml:space="preserve">Same normalization flag architecture (expanded)</w:t>
            </w:r>
          </w:p>
          <w:p>
            <w:pPr>
              <w:pStyle w:val="ListParagraph"/>
              <w:numPr>
                <w:ilvl w:val="0"/>
                <w:numId w:val="2"/>
              </w:numPr>
              <w:spacing w:after="40" w:before="40"/>
            </w:pPr>
            <w:r>
              <w:rPr>
                <w:rFonts w:ascii="Arial" w:cs="Arial" w:eastAsia="Arial" w:hAnsi="Arial"/>
                <w:color w:val="374151"/>
                <w:sz w:val="22"/>
                <w:szCs w:val="22"/>
              </w:rPr>
              <w:t xml:space="preserve">Same onboarding process structure</w:t>
            </w:r>
          </w:p>
          <w:p>
            <w:pPr>
              <w:pStyle w:val="ListParagraph"/>
              <w:numPr>
                <w:ilvl w:val="0"/>
                <w:numId w:val="2"/>
              </w:numPr>
              <w:spacing w:after="40" w:before="40"/>
            </w:pPr>
            <w:r>
              <w:rPr>
                <w:rFonts w:ascii="Arial" w:cs="Arial" w:eastAsia="Arial" w:hAnsi="Arial"/>
                <w:color w:val="374151"/>
                <w:sz w:val="22"/>
                <w:szCs w:val="22"/>
              </w:rPr>
              <w:t xml:space="preserve">Same quality scoring approach</w:t>
            </w:r>
          </w:p>
          <w:p>
            <w:pPr>
              <w:pStyle w:val="ListParagraph"/>
              <w:numPr>
                <w:ilvl w:val="0"/>
                <w:numId w:val="2"/>
              </w:numPr>
              <w:spacing w:after="40" w:before="40"/>
            </w:pPr>
            <w:r>
              <w:rPr>
                <w:rFonts w:ascii="Arial" w:cs="Arial" w:eastAsia="Arial" w:hAnsi="Arial"/>
                <w:color w:val="374151"/>
                <w:sz w:val="22"/>
                <w:szCs w:val="22"/>
              </w:rPr>
              <w:t xml:space="preserve">Upgraded: PostgreSQL instead of flat files</w:t>
            </w:r>
          </w:p>
          <w:p>
            <w:pPr>
              <w:pStyle w:val="ListParagraph"/>
              <w:numPr>
                <w:ilvl w:val="0"/>
                <w:numId w:val="2"/>
              </w:numPr>
              <w:spacing w:after="40" w:before="40"/>
            </w:pPr>
            <w:r>
              <w:rPr>
                <w:rFonts w:ascii="Arial" w:cs="Arial" w:eastAsia="Arial" w:hAnsi="Arial"/>
                <w:color w:val="374151"/>
                <w:sz w:val="22"/>
                <w:szCs w:val="22"/>
              </w:rPr>
              <w:t xml:space="preserve">Upgraded: Power BI DirectQuery instead of static reports</w:t>
            </w:r>
          </w:p>
          <w:p>
            <w:pPr>
              <w:pStyle w:val="ListParagraph"/>
              <w:numPr>
                <w:ilvl w:val="0"/>
                <w:numId w:val="2"/>
              </w:numPr>
              <w:spacing w:after="40" w:before="40"/>
            </w:pPr>
            <w:r>
              <w:rPr>
                <w:rFonts w:ascii="Arial" w:cs="Arial" w:eastAsia="Arial" w:hAnsi="Arial"/>
                <w:color w:val="374151"/>
                <w:sz w:val="22"/>
                <w:szCs w:val="22"/>
              </w:rPr>
              <w:t xml:space="preserve">Upgraded: FinMetrics public benchmark comparison layer</w:t>
            </w:r>
          </w:p>
          <w:p>
            <w:pPr>
              <w:pStyle w:val="ListParagraph"/>
              <w:numPr>
                <w:ilvl w:val="0"/>
                <w:numId w:val="2"/>
              </w:numPr>
              <w:spacing w:after="40" w:before="40"/>
            </w:pPr>
            <w:r>
              <w:rPr>
                <w:rFonts w:ascii="Arial" w:cs="Arial" w:eastAsia="Arial" w:hAnsi="Arial"/>
                <w:color w:val="374151"/>
                <w:sz w:val="22"/>
                <w:szCs w:val="22"/>
              </w:rPr>
              <w:t xml:space="preserve">Upgraded: Production-grade error handling and logging</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The Documentation Archive</w:t>
      </w:r>
    </w:p>
    <w:p>
      <w:pPr>
        <w:spacing w:after="100" w:before="60"/>
      </w:pPr>
      <w:r>
        <w:rPr>
          <w:rFonts w:ascii="Arial" w:cs="Arial" w:eastAsia="Arial" w:hAnsi="Arial"/>
          <w:color w:val="374151"/>
          <w:sz w:val="22"/>
          <w:szCs w:val="22"/>
        </w:rPr>
        <w:t xml:space="preserve">Hundreds of specification documents, architecture diagrams, and process flows were produced during Phase 0 under the Borowy Consulting environment. These documents represent the institutional memory of the methodology development — what was attempted, what broke, what was fixed, and why each architectural decision was made.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280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Document Category</w:t>
            </w:r>
          </w:p>
        </w:tc>
        <w:tc>
          <w:tcPr>
            <w:tcW w:type="dxa" w:w="316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What They Cover</w:t>
            </w:r>
          </w:p>
        </w:tc>
        <w:tc>
          <w:tcPr>
            <w:tcW w:type="dxa" w:w="340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Forward Use</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System Architecture Diagrams</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Pipeline flow, data model, component relationships, integration points</w:t>
            </w:r>
          </w:p>
        </w:tc>
        <w:tc>
          <w:tcPr>
            <w:tcW w:type="dxa" w:w="3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Reference architecture for Phase 3 production build</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ETL Specification Documents</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Source format mappings, transformation rules, era-specific logic, known failures</w:t>
            </w:r>
          </w:p>
        </w:tc>
        <w:tc>
          <w:tcPr>
            <w:tcW w:type="dxa" w:w="3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ETL workflow standard for Phase 3 — extends HEMM pattern</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Prototype Company Profiles</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Synthetic data structure, industry characteristics, data quality problems modeled</w:t>
            </w:r>
          </w:p>
        </w:tc>
        <w:tc>
          <w:tcPr>
            <w:tcW w:type="dxa" w:w="3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Test case library for Phase 3 methodology validation</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Failure Mode Registry</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Every methodology failure encountered, root cause, and resolution</w:t>
            </w:r>
          </w:p>
        </w:tc>
        <w:tc>
          <w:tcPr>
            <w:tcW w:type="dxa" w:w="3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Pre-built known gaps registry for Phase 3</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Onboarding Process Flows</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Step-by-step client data intake, validation, and normalization workflows</w:t>
            </w:r>
          </w:p>
        </w:tc>
        <w:tc>
          <w:tcPr>
            <w:tcW w:type="dxa" w:w="3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Client-facing onboarding process for Phase 3 practice</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Metric Applicability Matrix</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Which of the 55 metrics apply to which business types — and which do not</w:t>
            </w:r>
          </w:p>
        </w:tc>
        <w:tc>
          <w:tcPr>
            <w:tcW w:type="dxa" w:w="3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Drives Phase 3 completeness scoring by industry</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Chart of Accounts Mapping Library</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QuickBooks and common accounting software categories mapped to canonical inputs</w:t>
            </w:r>
          </w:p>
        </w:tc>
        <w:tc>
          <w:tcPr>
            <w:tcW w:type="dxa" w:w="3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Core IP of the private normalization layer</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3 — The Private Data Problem</w:t>
      </w:r>
    </w:p>
    <w:p>
      <w:pPr>
        <w:spacing w:after="100" w:before="60"/>
      </w:pPr>
      <w:r>
        <w:rPr>
          <w:rFonts w:ascii="Arial" w:cs="Arial" w:eastAsia="Arial" w:hAnsi="Arial"/>
          <w:color w:val="374151"/>
          <w:sz w:val="22"/>
          <w:szCs w:val="22"/>
        </w:rPr>
        <w:t xml:space="preserve">Private business financials are structurally different from public company financials in ways that matter analytically. This is not a minor data quality issue — it is a fundamental difference in what the numbers represent and what they require before analysis means anything. The Phase 0 work exists precisely because these differences were encountered, documented, and solved.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6"/>
              <w:bottom w:val="single" w:color="166534" w:sz="4"/>
              <w:right w:val="none" w:color="FFFFFF" w:sz="0"/>
            </w:tcBorders>
            <w:shd w:fill="F0F7FF" w:val="clear"/>
            <w:tcMar>
              <w:top w:type="dxa" w:w="160"/>
              <w:left w:type="dxa" w:w="240"/>
              <w:bottom w:type="dxa" w:w="160"/>
              <w:right w:type="dxa" w:w="240"/>
            </w:tcMar>
          </w:tcPr>
          <w:p>
            <w:r>
              <w:rPr>
                <w:rFonts w:ascii="Arial" w:cs="Arial" w:eastAsia="Arial" w:hAnsi="Arial"/>
                <w:i/>
                <w:iCs/>
                <w:color w:val="0D1B2A"/>
                <w:sz w:val="22"/>
                <w:szCs w:val="22"/>
              </w:rPr>
              <w:t xml:space="preserve">Every experienced accountant knows that two private businesses in the same industry with the same revenue can have completely different financial statements — because the owner's compensation decision, the lease structure, the accounting method, and the related party relationships are all invisible in the numbers without knowing to look for them. The methodology documented here makes the invisible visible.</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The Five Structural Differences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40"/>
              <w:left w:type="dxa" w:w="200"/>
              <w:bottom w:type="dxa" w:w="140"/>
              <w:right w:type="dxa" w:w="200"/>
            </w:tcMar>
          </w:tcPr>
          <w:p>
            <w:r>
              <w:rPr>
                <w:rFonts w:ascii="Arial" w:cs="Arial" w:eastAsia="Arial" w:hAnsi="Arial"/>
                <w:b/>
                <w:bCs/>
                <w:color w:val="FFFFFF"/>
                <w:sz w:val="26"/>
                <w:szCs w:val="26"/>
              </w:rPr>
              <w:t xml:space="preserve">DIFFERENCE 1  —  Owner Compensation</w:t>
            </w:r>
          </w:p>
        </w:tc>
      </w:tr>
    </w:tbl>
    <w:p>
      <w:pPr>
        <w:spacing w:after="80" w:before="0"/>
      </w:pPr>
      <w:r>
        <w:t xml:space="preserve"/>
      </w:r>
    </w:p>
    <w:p>
      <w:pPr>
        <w:spacing w:after="100" w:before="60"/>
      </w:pPr>
      <w:r>
        <w:rPr>
          <w:rFonts w:ascii="Arial" w:cs="Arial" w:eastAsia="Arial" w:hAnsi="Arial"/>
          <w:color w:val="374151"/>
          <w:sz w:val="22"/>
          <w:szCs w:val="22"/>
        </w:rPr>
        <w:t xml:space="preserve">The single most distorting variable in private business analysis. Unlike public companies where executive compensation is disclosed and benchmarked to market rates, private business owners have complete discretion over their compensation. An owner paying himself $80K while working 80-hour weeks has fundamentally different economics than one paying himself $400K for the same role — but the income statements can look superficially similar everywhere else.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What It Looks Like</w:t>
            </w:r>
          </w:p>
        </w:tc>
        <w:tc>
          <w:tcPr>
            <w:tcW w:type="dxa" w:w="318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Why It Matters</w:t>
            </w:r>
          </w:p>
        </w:tc>
        <w:tc>
          <w:tcPr>
            <w:tcW w:type="dxa" w:w="318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Normalization Approach</w:t>
            </w:r>
          </w:p>
        </w:tc>
      </w:tr>
      <w:tr>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Owner draws $150K from a $500K revenue business</w:t>
            </w:r>
          </w:p>
        </w:tc>
        <w:tc>
          <w:tcPr>
            <w:tcW w:type="dxa" w:w="31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Operating margin appears healthy but reflects underpayment of labor</w:t>
            </w:r>
          </w:p>
        </w:tc>
        <w:tc>
          <w:tcPr>
            <w:tcW w:type="dxa" w:w="31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Identify market-rate compensation for equivalent role; adjust to market; document delta</w:t>
            </w:r>
          </w:p>
        </w:tc>
      </w:tr>
      <w:tr>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Owner pays himself $400K from a $2M business</w:t>
            </w:r>
          </w:p>
        </w:tc>
        <w:tc>
          <w:tcPr>
            <w:tcW w:type="dxa" w:w="31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EBITDA suppressed; business appears less profitable than operations justify</w:t>
            </w:r>
          </w:p>
        </w:tc>
        <w:tc>
          <w:tcPr>
            <w:tcW w:type="dxa" w:w="31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Same approach — normalize to market rate; document upward adjustment</w:t>
            </w:r>
          </w:p>
        </w:tc>
      </w:tr>
      <w:tr>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Multiple family members on payroll at non-market rates</w:t>
            </w:r>
          </w:p>
        </w:tc>
        <w:tc>
          <w:tcPr>
            <w:tcW w:type="dxa" w:w="31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SG&amp;A inflated or deflated depending on over/under payment</w:t>
            </w:r>
          </w:p>
        </w:tc>
        <w:tc>
          <w:tcPr>
            <w:tcW w:type="dxa" w:w="31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Identify each related-party payroll item; assess market rate; adjust each separately</w:t>
            </w:r>
          </w:p>
        </w:tc>
      </w:tr>
      <w:tr>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Owner takes no salary — all profit extraction via distribution</w:t>
            </w:r>
          </w:p>
        </w:tc>
        <w:tc>
          <w:tcPr>
            <w:tcW w:type="dxa" w:w="31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COGS and SG&amp;A understated; profitability overstated</w:t>
            </w:r>
          </w:p>
        </w:tc>
        <w:tc>
          <w:tcPr>
            <w:tcW w:type="dxa" w:w="31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Impute market-rate compensation; reduce reported profit accordingly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40"/>
              <w:left w:type="dxa" w:w="200"/>
              <w:bottom w:type="dxa" w:w="140"/>
              <w:right w:type="dxa" w:w="200"/>
            </w:tcMar>
          </w:tcPr>
          <w:p>
            <w:r>
              <w:rPr>
                <w:rFonts w:ascii="Arial" w:cs="Arial" w:eastAsia="Arial" w:hAnsi="Arial"/>
                <w:b/>
                <w:bCs/>
                <w:color w:val="FFFFFF"/>
                <w:sz w:val="26"/>
                <w:szCs w:val="26"/>
              </w:rPr>
              <w:t xml:space="preserve">DIFFERENCE 2  —  Chart of Accounts Variance</w:t>
            </w:r>
          </w:p>
        </w:tc>
      </w:tr>
    </w:tbl>
    <w:p>
      <w:pPr>
        <w:spacing w:after="80" w:before="0"/>
      </w:pPr>
      <w:r>
        <w:t xml:space="preserve"/>
      </w:r>
    </w:p>
    <w:p>
      <w:pPr>
        <w:spacing w:after="100" w:before="60"/>
      </w:pPr>
      <w:r>
        <w:rPr>
          <w:rFonts w:ascii="Arial" w:cs="Arial" w:eastAsia="Arial" w:hAnsi="Arial"/>
          <w:color w:val="374151"/>
          <w:sz w:val="22"/>
          <w:szCs w:val="22"/>
        </w:rPr>
        <w:t xml:space="preserve">Public companies use standardized reporting frameworks (US-GAAP, IFRS) that produce comparable line items. Private businesses use whatever chart of accounts their accountant or accounting software established — often years ago, sometimes modified inconsistently, occasionally structured around tax optimization rather than analytical clarity.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40"/>
            </w:tcMar>
          </w:tcPr>
          <w:p>
            <w:r>
              <w:rPr>
                <w:rFonts w:ascii="Arial" w:cs="Arial" w:eastAsia="Arial" w:hAnsi="Arial"/>
                <w:b/>
                <w:bCs/>
                <w:color w:val="FFFFFF"/>
                <w:sz w:val="19"/>
                <w:szCs w:val="19"/>
              </w:rPr>
              <w:t xml:space="preserve">Problem</w:t>
            </w:r>
          </w:p>
        </w:tc>
        <w:tc>
          <w:tcPr>
            <w:tcW w:type="dxa" w:w="328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40"/>
            </w:tcMar>
          </w:tcPr>
          <w:p>
            <w:r>
              <w:rPr>
                <w:rFonts w:ascii="Arial" w:cs="Arial" w:eastAsia="Arial" w:hAnsi="Arial"/>
                <w:b/>
                <w:bCs/>
                <w:color w:val="FFFFFF"/>
                <w:sz w:val="19"/>
                <w:szCs w:val="19"/>
              </w:rPr>
              <w:t xml:space="preserve">Example</w:t>
            </w:r>
          </w:p>
        </w:tc>
        <w:tc>
          <w:tcPr>
            <w:tcW w:type="dxa" w:w="328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40"/>
            </w:tcMar>
          </w:tcPr>
          <w:p>
            <w:r>
              <w:rPr>
                <w:rFonts w:ascii="Arial" w:cs="Arial" w:eastAsia="Arial" w:hAnsi="Arial"/>
                <w:b/>
                <w:bCs/>
                <w:color w:val="FFFFFF"/>
                <w:sz w:val="19"/>
                <w:szCs w:val="19"/>
              </w:rPr>
              <w:t xml:space="preserve">Normalization Approach</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Non-standard category names</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Two HVAC companies: one uses 'Direct Labor', other uses 'Field Technician Costs' — both are COGS but labeled differently</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Chart of accounts mapping library maps source categories to canonical inputs</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Category boundary misplacement</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Vehicle expenses in COGS for a delivery business, in SG&amp;A for a service business — both defensible but incomparable</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Document classification decision; apply consistently across peer comparison</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Mixed COGS/SG&amp;A</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Owner's accountant put rent in COGS; peer benchmark rent is in SG&amp;A</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Reclassify with documentation; affects gross margin and operating margin differently</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Granularity mismatch</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One company has 40 expense categories; comparable peer has 8</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Consolidate to canonical categories before metric calculation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140"/>
              <w:left w:type="dxa" w:w="200"/>
              <w:bottom w:type="dxa" w:w="140"/>
              <w:right w:type="dxa" w:w="200"/>
            </w:tcMar>
          </w:tcPr>
          <w:p>
            <w:r>
              <w:rPr>
                <w:rFonts w:ascii="Arial" w:cs="Arial" w:eastAsia="Arial" w:hAnsi="Arial"/>
                <w:b/>
                <w:bCs/>
                <w:color w:val="FFFFFF"/>
                <w:sz w:val="26"/>
                <w:szCs w:val="26"/>
              </w:rPr>
              <w:t xml:space="preserve">DIFFERENCE 3  —  Cash vs. Accrual Accounting</w:t>
            </w:r>
          </w:p>
        </w:tc>
      </w:tr>
    </w:tbl>
    <w:p>
      <w:pPr>
        <w:spacing w:after="80" w:before="0"/>
      </w:pPr>
      <w:r>
        <w:t xml:space="preserve"/>
      </w:r>
    </w:p>
    <w:p>
      <w:pPr>
        <w:spacing w:after="100" w:before="60"/>
      </w:pPr>
      <w:r>
        <w:rPr>
          <w:rFonts w:ascii="Arial" w:cs="Arial" w:eastAsia="Arial" w:hAnsi="Arial"/>
          <w:color w:val="374151"/>
          <w:sz w:val="22"/>
          <w:szCs w:val="22"/>
        </w:rPr>
        <w:t xml:space="preserve">Many small businesses file taxes on a cash basis and maintain only cash-basis books. Cash-basis financials record revenue when received and expenses when paid — not when earned or incurred. This is fine for tax purposes but produces misleading metrics. A business with $500K in outstanding receivables looks like it earned less than it did. A business that prepaid a year of insurance looks like it spent more in one month than it actually consumed.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4"/>
              <w:left w:val="single" w:color="E5E7EB" w:sz="4"/>
              <w:bottom w:val="single" w:color="E5E7EB" w:sz="4"/>
              <w:right w:val="single" w:color="E5E7EB" w:sz="4"/>
            </w:tcBorders>
            <w:shd w:fill="92400E" w:val="clear"/>
            <w:tcMar>
              <w:top w:type="dxa" w:w="100"/>
              <w:left w:type="dxa" w:w="140"/>
              <w:bottom w:type="dxa" w:w="100"/>
              <w:right w:type="dxa" w:w="140"/>
            </w:tcMar>
          </w:tcPr>
          <w:p>
            <w:r>
              <w:rPr>
                <w:rFonts w:ascii="Arial" w:cs="Arial" w:eastAsia="Arial" w:hAnsi="Arial"/>
                <w:b/>
                <w:bCs/>
                <w:color w:val="FFFFFF"/>
                <w:sz w:val="19"/>
                <w:szCs w:val="19"/>
              </w:rPr>
              <w:t xml:space="preserve">Cash Basis Issue</w:t>
            </w:r>
          </w:p>
        </w:tc>
        <w:tc>
          <w:tcPr>
            <w:tcW w:type="dxa" w:w="3480"/>
            <w:tcBorders>
              <w:top w:val="single" w:color="E5E7EB" w:sz="4"/>
              <w:left w:val="single" w:color="E5E7EB" w:sz="4"/>
              <w:bottom w:val="single" w:color="E5E7EB" w:sz="4"/>
              <w:right w:val="single" w:color="E5E7EB" w:sz="4"/>
            </w:tcBorders>
            <w:shd w:fill="92400E" w:val="clear"/>
            <w:tcMar>
              <w:top w:type="dxa" w:w="100"/>
              <w:left w:type="dxa" w:w="140"/>
              <w:bottom w:type="dxa" w:w="100"/>
              <w:right w:type="dxa" w:w="140"/>
            </w:tcMar>
          </w:tcPr>
          <w:p>
            <w:r>
              <w:rPr>
                <w:rFonts w:ascii="Arial" w:cs="Arial" w:eastAsia="Arial" w:hAnsi="Arial"/>
                <w:b/>
                <w:bCs/>
                <w:color w:val="FFFFFF"/>
                <w:sz w:val="19"/>
                <w:szCs w:val="19"/>
              </w:rPr>
              <w:t xml:space="preserve">Metric Distortion</w:t>
            </w:r>
          </w:p>
        </w:tc>
        <w:tc>
          <w:tcPr>
            <w:tcW w:type="dxa" w:w="3480"/>
            <w:tcBorders>
              <w:top w:val="single" w:color="E5E7EB" w:sz="4"/>
              <w:left w:val="single" w:color="E5E7EB" w:sz="4"/>
              <w:bottom w:val="single" w:color="E5E7EB" w:sz="4"/>
              <w:right w:val="single" w:color="E5E7EB" w:sz="4"/>
            </w:tcBorders>
            <w:shd w:fill="92400E" w:val="clear"/>
            <w:tcMar>
              <w:top w:type="dxa" w:w="100"/>
              <w:left w:type="dxa" w:w="140"/>
              <w:bottom w:type="dxa" w:w="100"/>
              <w:right w:type="dxa" w:w="140"/>
            </w:tcMar>
          </w:tcPr>
          <w:p>
            <w:r>
              <w:rPr>
                <w:rFonts w:ascii="Arial" w:cs="Arial" w:eastAsia="Arial" w:hAnsi="Arial"/>
                <w:b/>
                <w:bCs/>
                <w:color w:val="FFFFFF"/>
                <w:sz w:val="19"/>
                <w:szCs w:val="19"/>
              </w:rPr>
              <w:t xml:space="preserve">Resolution</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recorded when collected, not earned</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timing distortion — particularly for project-based businesses</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Accrue unbilled/uncollected revenue; document timing delta</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Expenses recorded when paid, not incurred</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Expense timing distortion — prepaid items inflate one period, deflate next</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Identify and reclassify prepaid items; document accrual adjustments</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 accounts receivable on balance sheet</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Working capital understated; DSO cannot be calculated</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Reconstruct AR from invoicing records if available; flag gap if not</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 accounts payable on balance sheet</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DPO cannot be calculated; cash-to-cash cycle incomplete</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Same approach; document metric gaps where reconstruction impossible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1B1B" w:val="clear"/>
            <w:tcMar>
              <w:top w:type="dxa" w:w="140"/>
              <w:left w:type="dxa" w:w="200"/>
              <w:bottom w:type="dxa" w:w="140"/>
              <w:right w:type="dxa" w:w="200"/>
            </w:tcMar>
          </w:tcPr>
          <w:p>
            <w:r>
              <w:rPr>
                <w:rFonts w:ascii="Arial" w:cs="Arial" w:eastAsia="Arial" w:hAnsi="Arial"/>
                <w:b/>
                <w:bCs/>
                <w:color w:val="FFFFFF"/>
                <w:sz w:val="26"/>
                <w:szCs w:val="26"/>
              </w:rPr>
              <w:t xml:space="preserve">DIFFERENCE 4  —  Related Party Transactions</w:t>
            </w:r>
          </w:p>
        </w:tc>
      </w:tr>
    </w:tbl>
    <w:p>
      <w:pPr>
        <w:spacing w:after="80" w:before="0"/>
      </w:pPr>
      <w:r>
        <w:t xml:space="preserve"/>
      </w:r>
    </w:p>
    <w:p>
      <w:pPr>
        <w:spacing w:after="100" w:before="60"/>
      </w:pPr>
      <w:r>
        <w:rPr>
          <w:rFonts w:ascii="Arial" w:cs="Arial" w:eastAsia="Arial" w:hAnsi="Arial"/>
          <w:color w:val="374151"/>
          <w:sz w:val="22"/>
          <w:szCs w:val="22"/>
        </w:rPr>
        <w:t xml:space="preserve">Related party transactions are the most trust-sensitive issue in private business analysis. When an owner rents their business premises from a company they personally own, pays family members at above or below market rates, or transacts with supplier companies they have an ownership interest in — all of these create apparent financial results that don't reflect arm's-length economics. Identifying and documenting them is not about finding fraud. It is about understanding what the numbers actually represent.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4"/>
              <w:left w:val="single" w:color="E5E7EB" w:sz="4"/>
              <w:bottom w:val="single" w:color="E5E7EB" w:sz="4"/>
              <w:right w:val="single" w:color="E5E7EB" w:sz="4"/>
            </w:tcBorders>
            <w:shd w:fill="991B1B" w:val="clear"/>
            <w:tcMar>
              <w:top w:type="dxa" w:w="100"/>
              <w:left w:type="dxa" w:w="140"/>
              <w:bottom w:type="dxa" w:w="100"/>
              <w:right w:type="dxa" w:w="140"/>
            </w:tcMar>
          </w:tcPr>
          <w:p>
            <w:r>
              <w:rPr>
                <w:rFonts w:ascii="Arial" w:cs="Arial" w:eastAsia="Arial" w:hAnsi="Arial"/>
                <w:b/>
                <w:bCs/>
                <w:color w:val="FFFFFF"/>
                <w:sz w:val="19"/>
                <w:szCs w:val="19"/>
              </w:rPr>
              <w:t xml:space="preserve">Transaction Type</w:t>
            </w:r>
          </w:p>
        </w:tc>
        <w:tc>
          <w:tcPr>
            <w:tcW w:type="dxa" w:w="3480"/>
            <w:tcBorders>
              <w:top w:val="single" w:color="E5E7EB" w:sz="4"/>
              <w:left w:val="single" w:color="E5E7EB" w:sz="4"/>
              <w:bottom w:val="single" w:color="E5E7EB" w:sz="4"/>
              <w:right w:val="single" w:color="E5E7EB" w:sz="4"/>
            </w:tcBorders>
            <w:shd w:fill="991B1B" w:val="clear"/>
            <w:tcMar>
              <w:top w:type="dxa" w:w="100"/>
              <w:left w:type="dxa" w:w="140"/>
              <w:bottom w:type="dxa" w:w="100"/>
              <w:right w:type="dxa" w:w="140"/>
            </w:tcMar>
          </w:tcPr>
          <w:p>
            <w:r>
              <w:rPr>
                <w:rFonts w:ascii="Arial" w:cs="Arial" w:eastAsia="Arial" w:hAnsi="Arial"/>
                <w:b/>
                <w:bCs/>
                <w:color w:val="FFFFFF"/>
                <w:sz w:val="19"/>
                <w:szCs w:val="19"/>
              </w:rPr>
              <w:t xml:space="preserve">Analytical Impact</w:t>
            </w:r>
          </w:p>
        </w:tc>
        <w:tc>
          <w:tcPr>
            <w:tcW w:type="dxa" w:w="3480"/>
            <w:tcBorders>
              <w:top w:val="single" w:color="E5E7EB" w:sz="4"/>
              <w:left w:val="single" w:color="E5E7EB" w:sz="4"/>
              <w:bottom w:val="single" w:color="E5E7EB" w:sz="4"/>
              <w:right w:val="single" w:color="E5E7EB" w:sz="4"/>
            </w:tcBorders>
            <w:shd w:fill="991B1B" w:val="clear"/>
            <w:tcMar>
              <w:top w:type="dxa" w:w="100"/>
              <w:left w:type="dxa" w:w="140"/>
              <w:bottom w:type="dxa" w:w="100"/>
              <w:right w:type="dxa" w:w="140"/>
            </w:tcMar>
          </w:tcPr>
          <w:p>
            <w:r>
              <w:rPr>
                <w:rFonts w:ascii="Arial" w:cs="Arial" w:eastAsia="Arial" w:hAnsi="Arial"/>
                <w:b/>
                <w:bCs/>
                <w:color w:val="FFFFFF"/>
                <w:sz w:val="19"/>
                <w:szCs w:val="19"/>
              </w:rPr>
              <w:t xml:space="preserve">Documentation Standard</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Owner-controlled entity as landlord</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Rent expense may be above or below market — distorts occupancy cost and EBITDA</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Identify entity relationship; compare rent to market rate; document delta; flag in report</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Owner loans classified as equity or vice versa</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Debt and equity structure misrepresented; leverage ratios meaningless</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Classify correctly based on terms; document reclassification rationale</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Supplier or customer with ownership overlap</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Pricing may not reflect market — COGS or revenue distorted</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Identify transaction; note relationship; assess pricing reasonableness</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Personal expenses in business accounts</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SG&amp;A inflated; profitability understated</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Identify and remove with documentation; flag in quality report</w:t>
            </w:r>
          </w:p>
        </w:tc>
      </w:tr>
    </w:tbl>
    <w:p>
      <w:pPr>
        <w:spacing w:after="80" w:before="0"/>
      </w:pPr>
      <w:r>
        <w:t xml:space="preserve"/>
      </w:r>
    </w:p>
    <w:p>
      <w:pPr>
        <w:spacing w:after="100" w:before="60"/>
      </w:pPr>
      <w:r>
        <w:rPr>
          <w:rFonts w:ascii="Arial" w:cs="Arial" w:eastAsia="Arial" w:hAnsi="Arial"/>
          <w:color w:val="374151"/>
          <w:sz w:val="22"/>
          <w:szCs w:val="22"/>
        </w:rPr>
        <w:t xml:space="preserve">Every related party transaction identified is documented in the client report — not hidden, not adjusted silently. The client sees exactly what was found, what was done with it, and why. This transparency is the foundation of the trust relationship that consulting work requires.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40"/>
              <w:left w:type="dxa" w:w="200"/>
              <w:bottom w:type="dxa" w:w="140"/>
              <w:right w:type="dxa" w:w="200"/>
            </w:tcMar>
          </w:tcPr>
          <w:p>
            <w:r>
              <w:rPr>
                <w:rFonts w:ascii="Arial" w:cs="Arial" w:eastAsia="Arial" w:hAnsi="Arial"/>
                <w:b/>
                <w:bCs/>
                <w:color w:val="FFFFFF"/>
                <w:sz w:val="26"/>
                <w:szCs w:val="26"/>
              </w:rPr>
              <w:t xml:space="preserve">DIFFERENCE 5  —  Non-Standard Revenue Recognition</w:t>
            </w:r>
          </w:p>
        </w:tc>
      </w:tr>
    </w:tbl>
    <w:p>
      <w:pPr>
        <w:spacing w:after="80" w:before="0"/>
      </w:pPr>
      <w:r>
        <w:t xml:space="preserve"/>
      </w:r>
    </w:p>
    <w:p>
      <w:pPr>
        <w:spacing w:after="100" w:before="60"/>
      </w:pPr>
      <w:r>
        <w:rPr>
          <w:rFonts w:ascii="Arial" w:cs="Arial" w:eastAsia="Arial" w:hAnsi="Arial"/>
          <w:color w:val="374151"/>
          <w:sz w:val="22"/>
          <w:szCs w:val="22"/>
        </w:rPr>
        <w:t xml:space="preserve">Private businesses recognize revenue in ways that reflect their operational reality but often don't align with accrual principles. Deposits taken at contract signing, retainers billed in advance, progress billings on long-term projects, and subscription renewals all create timing differences between cash received and revenue earned. Without understanding the revenue recognition approach, revenue trend analysis can be completely misleading.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Revenue Pattern</w:t>
            </w:r>
          </w:p>
        </w:tc>
        <w:tc>
          <w:tcPr>
            <w:tcW w:type="dxa" w:w="348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Distortion</w:t>
            </w:r>
          </w:p>
        </w:tc>
        <w:tc>
          <w:tcPr>
            <w:tcW w:type="dxa" w:w="348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Resolution</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Large deposit at contract signing</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spike in signing period; completion period appears weak</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Identify deferred revenue; spread across performance period</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Annual retainer billed in advance</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Q1 revenue inflated; Q2-Q4 understated if cash basis</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Reclassify to earned revenue per period; document adjustment</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Percentage-of-completion (construction)</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tied to completion milestones — may not match cash flow</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Verify completion percentage methodology; assess consistency</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Subscription renewal timing</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Renewal month inflated vs. churn month — needs smoothing for trend analysis</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Identify renewal pattern; apply TTM smoothing; document approach</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4 — The Normalization Methodology</w:t>
      </w:r>
    </w:p>
    <w:p>
      <w:pPr>
        <w:spacing w:after="100" w:before="60"/>
      </w:pPr>
      <w:r>
        <w:rPr>
          <w:rFonts w:ascii="Arial" w:cs="Arial" w:eastAsia="Arial" w:hAnsi="Arial"/>
          <w:color w:val="374151"/>
          <w:sz w:val="22"/>
          <w:szCs w:val="22"/>
        </w:rPr>
        <w:t xml:space="preserve">The normalization methodology is the process that transforms raw private business financials into analytically comparable data. It was developed through Phase 0 prototype failures — every normalization rule in this section exists because a prototype company's data broke an earlier version of it.</w:t>
      </w:r>
    </w:p>
    <w:p>
      <w:pPr>
        <w:spacing w:after="120" w:before="0"/>
      </w:pPr>
      <w:r>
        <w:t xml:space="preserve"/>
      </w:r>
    </w:p>
    <w:p>
      <w:pPr>
        <w:spacing w:after="100" w:before="60"/>
      </w:pPr>
      <w:r>
        <w:rPr>
          <w:rFonts w:ascii="Arial" w:cs="Arial" w:eastAsia="Arial" w:hAnsi="Arial"/>
          <w:b/>
          <w:bCs/>
          <w:color w:val="0D1B2A"/>
          <w:sz w:val="22"/>
          <w:szCs w:val="22"/>
        </w:rPr>
        <w:t xml:space="preserve">The methodology has one governing principle: every adjustment is documented before it is made, shown to the client, and applied consistently across all engagements. There are no silent adjustments. No judgment calls that vary case to case. The documentation is not administrative overhead — it is the product.</w:t>
      </w:r>
    </w:p>
    <w:p>
      <w:pPr>
        <w:spacing w:after="120" w:before="0"/>
      </w:pPr>
      <w:r>
        <w:t xml:space="preserve"/>
      </w:r>
    </w:p>
    <w:p>
      <w:pPr>
        <w:pStyle w:val="Heading2"/>
        <w:spacing w:after="100" w:before="280"/>
      </w:pPr>
      <w:r>
        <w:rPr>
          <w:rFonts w:ascii="Arial" w:cs="Arial" w:eastAsia="Arial" w:hAnsi="Arial"/>
          <w:b/>
          <w:bCs/>
          <w:color w:val="1B3A5C"/>
          <w:sz w:val="28"/>
          <w:szCs w:val="28"/>
        </w:rPr>
        <w:t xml:space="preserve">The Four Normalization Actions</w:t>
      </w:r>
    </w:p>
    <w:p>
      <w:pPr>
        <w:spacing w:after="100" w:before="60"/>
      </w:pPr>
      <w:r>
        <w:rPr>
          <w:rFonts w:ascii="Arial" w:cs="Arial" w:eastAsia="Arial" w:hAnsi="Arial"/>
          <w:color w:val="374151"/>
          <w:sz w:val="22"/>
          <w:szCs w:val="22"/>
        </w:rPr>
        <w:t xml:space="preserve">Mirrors the FinMetrics public data normalization framework — same four actions, different adjustment types: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Action</w:t>
            </w:r>
          </w:p>
        </w:tc>
        <w:tc>
          <w:tcPr>
            <w:tcW w:type="dxa" w:w="28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Definition</w:t>
            </w:r>
          </w:p>
        </w:tc>
        <w:tc>
          <w:tcPr>
            <w:tcW w:type="dxa" w:w="24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Examples</w:t>
            </w:r>
          </w:p>
        </w:tc>
        <w:tc>
          <w:tcPr>
            <w:tcW w:type="dxa" w:w="23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Documentation Required</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Direct use</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Line item maps cleanly to canonical metric — no adjustment needed</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(accrual basis), Total Assets, Cash</w:t>
            </w:r>
          </w:p>
        </w:tc>
        <w:tc>
          <w:tcPr>
            <w:tcW w:type="dxa" w:w="2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 — confirmed clean in onboarding checklist</w:t>
            </w:r>
          </w:p>
        </w:tc>
      </w:tr>
      <w:tr>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Reclassification</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Item exists but is in wrong category — moved to correct canonical input</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Rent moved from COGS to SG&amp;A; personal auto from SG&amp;A to excluded</w:t>
            </w:r>
          </w:p>
        </w:tc>
        <w:tc>
          <w:tcPr>
            <w:tcW w:type="dxa" w:w="23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Reclassification memo: original category, destination, amount, rationale</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Adjustment</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Value exists but requires normalization to arm's-length / market terms</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Owner comp adjusted to market rate; related party rent adjusted to market</w:t>
            </w:r>
          </w:p>
        </w:tc>
        <w:tc>
          <w:tcPr>
            <w:tcW w:type="dxa" w:w="2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Adjustment memo: reported value, market reference, adjusted value, source</w:t>
            </w:r>
          </w:p>
        </w:tc>
      </w:tr>
      <w:tr>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Gap — flagged</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Item cannot be calculated from available data — metric unavailable</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DSO when no AR records; inventory detail when single inventory line</w:t>
            </w:r>
          </w:p>
        </w:tc>
        <w:tc>
          <w:tcPr>
            <w:tcW w:type="dxa" w:w="23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Gap flag: metric name, reason unavailable, workaround if any</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Owner Compensation Normalization Standard</w:t>
      </w:r>
    </w:p>
    <w:p>
      <w:pPr>
        <w:spacing w:after="100" w:before="60"/>
      </w:pPr>
      <w:r>
        <w:rPr>
          <w:rFonts w:ascii="Arial" w:cs="Arial" w:eastAsia="Arial" w:hAnsi="Arial"/>
          <w:color w:val="374151"/>
          <w:sz w:val="22"/>
          <w:szCs w:val="22"/>
        </w:rPr>
        <w:t xml:space="preserve">The most frequently applied and most analytically significant adjustment. Applied consistently across all engagements using the following documented standard: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Step</w:t>
            </w:r>
          </w:p>
        </w:tc>
        <w:tc>
          <w:tcPr>
            <w:tcW w:type="dxa" w:w="368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Action</w:t>
            </w:r>
          </w:p>
        </w:tc>
        <w:tc>
          <w:tcPr>
            <w:tcW w:type="dxa" w:w="368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Documentation</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 — Identify</w:t>
            </w:r>
          </w:p>
        </w:tc>
        <w:tc>
          <w:tcPr>
            <w:tcW w:type="dxa" w:w="3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Locate all owner compensation: salary, draws, distributions, benefits, personal expenses paid by business</w:t>
            </w:r>
          </w:p>
        </w:tc>
        <w:tc>
          <w:tcPr>
            <w:tcW w:type="dxa" w:w="3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Owner compensation identification log: each item, amount, category</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2 — Assess role</w:t>
            </w:r>
          </w:p>
        </w:tc>
        <w:tc>
          <w:tcPr>
            <w:tcW w:type="dxa" w:w="36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Define what the owner actually does operationally — CEO equivalent? Working manager? Passive investor?</w:t>
            </w:r>
          </w:p>
        </w:tc>
        <w:tc>
          <w:tcPr>
            <w:tcW w:type="dxa" w:w="36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Role assessment: title equivalent, hours worked, responsibilities</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3 — Benchmark</w:t>
            </w:r>
          </w:p>
        </w:tc>
        <w:tc>
          <w:tcPr>
            <w:tcW w:type="dxa" w:w="3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Pull market-rate compensation for equivalent role in equivalent-size business in same geography</w:t>
            </w:r>
          </w:p>
        </w:tc>
        <w:tc>
          <w:tcPr>
            <w:tcW w:type="dxa" w:w="3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Benchmark source: BLS Occupational Outlook, industry surveys, LinkedIn salary data</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4 — Calculate delta</w:t>
            </w:r>
          </w:p>
        </w:tc>
        <w:tc>
          <w:tcPr>
            <w:tcW w:type="dxa" w:w="36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Reported total compensation vs. market-rate benchmark — note direction (over/under)</w:t>
            </w:r>
          </w:p>
        </w:tc>
        <w:tc>
          <w:tcPr>
            <w:tcW w:type="dxa" w:w="36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Delta table: reported comp, market comp, adjustment, direction</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5 — Apply adjustment</w:t>
            </w:r>
          </w:p>
        </w:tc>
        <w:tc>
          <w:tcPr>
            <w:tcW w:type="dxa" w:w="3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Normalize reported compensation to market rate in analytical model</w:t>
            </w:r>
          </w:p>
        </w:tc>
        <w:tc>
          <w:tcPr>
            <w:tcW w:type="dxa" w:w="3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Adjustment memo: before/after P&amp;L, metrics affected, rationale</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6 — Disclose</w:t>
            </w:r>
          </w:p>
        </w:tc>
        <w:tc>
          <w:tcPr>
            <w:tcW w:type="dxa" w:w="36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Show adjustment explicitly in client report — reported vs. normalized</w:t>
            </w:r>
          </w:p>
        </w:tc>
        <w:tc>
          <w:tcPr>
            <w:tcW w:type="dxa" w:w="36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Client report section: 'Owner Compensation Normalization'</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Metric Applicability by Business Type</w:t>
      </w:r>
    </w:p>
    <w:p>
      <w:pPr>
        <w:spacing w:after="100" w:before="60"/>
      </w:pPr>
      <w:r>
        <w:rPr>
          <w:rFonts w:ascii="Arial" w:cs="Arial" w:eastAsia="Arial" w:hAnsi="Arial"/>
          <w:color w:val="374151"/>
          <w:sz w:val="22"/>
          <w:szCs w:val="22"/>
        </w:rPr>
        <w:t xml:space="preserve">Not all 55 metrics apply to all private businesses. A professional services firm has no inventory — cycle metrics requiring inventory are inapplicable. A cash-basis business without AR records cannot calculate DSO. The Phase 0 work produced a metric applicability matrix that prevents the methodology from generating meaningless zeros or blanks without explanation.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400"/>
        <w:gridCol w:w="1760"/>
      </w:tblGrid>
      <w:tr>
        <w:tc>
          <w:tcPr>
            <w:tcW w:type="dxa" w:w="2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Metric Category</w:t>
            </w:r>
          </w:p>
        </w:tc>
        <w:tc>
          <w:tcPr>
            <w:tcW w:type="dxa" w:w="14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Manufacturing</w:t>
            </w:r>
          </w:p>
        </w:tc>
        <w:tc>
          <w:tcPr>
            <w:tcW w:type="dxa" w:w="14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Services</w:t>
            </w:r>
          </w:p>
        </w:tc>
        <w:tc>
          <w:tcPr>
            <w:tcW w:type="dxa" w:w="14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Retail</w:t>
            </w:r>
          </w:p>
        </w:tc>
        <w:tc>
          <w:tcPr>
            <w:tcW w:type="dxa" w:w="14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Construction</w:t>
            </w:r>
          </w:p>
        </w:tc>
        <w:tc>
          <w:tcPr>
            <w:tcW w:type="dxa" w:w="17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 Growth metrics</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recognition method documented</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Profitability metrics</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Partial</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Partial</w:t>
            </w:r>
          </w:p>
        </w:tc>
        <w:tc>
          <w:tcPr>
            <w:tcW w:type="dxa" w:w="1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Services: COGS thin or absent; adjust gross margin interpretation</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Inventory cycle metrics</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N/A</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Partial</w:t>
            </w:r>
          </w:p>
        </w:tc>
        <w:tc>
          <w:tcPr>
            <w:tcW w:type="dxa" w:w="1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Services: flag as N/A; Construction: WIP applicable</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AR/AP cycle metrics</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Partial</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Retail: AP strong; AR depends on B2B vs B2C</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Cash-to-Cash cycle</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Partial</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Partial</w:t>
            </w:r>
          </w:p>
        </w:tc>
        <w:tc>
          <w:tcPr>
            <w:tcW w:type="dxa" w:w="1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Services: cash-to-cash simplified without inventory</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Complexity / Return metrics</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Altman Z: validate applicability for asset-light businesses</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Employee metrics</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Full</w:t>
            </w:r>
          </w:p>
        </w:tc>
        <w:tc>
          <w:tcPr>
            <w:tcW w:type="dxa" w:w="1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per employee highly relevant across all types</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5 — The FinMetrics Benchmark Connection</w:t>
      </w:r>
    </w:p>
    <w:p>
      <w:pPr>
        <w:spacing w:after="100" w:before="60"/>
      </w:pPr>
      <w:r>
        <w:rPr>
          <w:rFonts w:ascii="Arial" w:cs="Arial" w:eastAsia="Arial" w:hAnsi="Arial"/>
          <w:color w:val="374151"/>
          <w:sz w:val="22"/>
          <w:szCs w:val="22"/>
        </w:rPr>
        <w:t xml:space="preserve">The most analytically powerful aspect of the private business methodology is the ability to benchmark against public peers. This is only possible because FinMetrics provides a pre-calculated, normalized, quality-flagged database of 55 metrics for ~285 global public companies — including sector benchmarks across every major GICS category.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none" w:color="FFFFFF" w:sz="0"/>
            </w:tcBorders>
            <w:shd w:fill="F0F7FF" w:val="clear"/>
            <w:tcMar>
              <w:top w:type="dxa" w:w="160"/>
              <w:left w:type="dxa" w:w="240"/>
              <w:bottom w:type="dxa" w:w="160"/>
              <w:right w:type="dxa" w:w="240"/>
            </w:tcMar>
          </w:tcPr>
          <w:p>
            <w:r>
              <w:rPr>
                <w:rFonts w:ascii="Arial" w:cs="Arial" w:eastAsia="Arial" w:hAnsi="Arial"/>
                <w:i/>
                <w:iCs/>
                <w:color w:val="0D1B2A"/>
                <w:sz w:val="22"/>
                <w:szCs w:val="22"/>
              </w:rPr>
              <w:t xml:space="preserve">A private HVAC business owner has never seen their gross margin compared to Comfort Systems USA or IBF Industries. A private software company has never seen their revenue per employee compared to Salesforce or ServiceNow. FinMetrics makes these comparisons possible, systematic, and defensible. That is what transforms this from a standard accounting engagement into genuine business intelligence.</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How the Benchmark Comparison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160"/>
        <w:gridCol w:w="2800"/>
      </w:tblGrid>
      <w:tr>
        <w:tc>
          <w:tcPr>
            <w:tcW w:type="dxa" w:w="60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Step</w:t>
            </w:r>
          </w:p>
        </w:tc>
        <w:tc>
          <w:tcPr>
            <w:tcW w:type="dxa" w:w="280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Action</w:t>
            </w:r>
          </w:p>
        </w:tc>
        <w:tc>
          <w:tcPr>
            <w:tcW w:type="dxa" w:w="316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Data Source</w:t>
            </w:r>
          </w:p>
        </w:tc>
        <w:tc>
          <w:tcPr>
            <w:tcW w:type="dxa" w:w="280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Output</w:t>
            </w:r>
          </w:p>
        </w:tc>
      </w:tr>
      <w:tr>
        <w:tc>
          <w:tcPr>
            <w:tcW w:type="dxa" w:w="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Identify client's GICS sector and sub-sector equivalent</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Client onboarding — industry classification</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Sector tag for benchmark selection</w:t>
            </w:r>
          </w:p>
        </w:tc>
      </w:tr>
      <w:tr>
        <w:tc>
          <w:tcPr>
            <w:tcW w:type="dxa" w:w="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2</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Pull public peer set from FinMetrics for that sector</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FinMetrics metrics table — filtered by sector and sub-sector</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Peer set: median, P25, P75 for all 55 metrics</w:t>
            </w:r>
          </w:p>
        </w:tc>
      </w:tr>
      <w:tr>
        <w:tc>
          <w:tcPr>
            <w:tcW w:type="dxa" w:w="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3</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Apply cross-sector benchmark comparison</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FinMetrics 11 benchmark companies — one per GICS sector</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Absolute positioning: where does this business sit in the broader economy</w:t>
            </w:r>
          </w:p>
        </w:tc>
      </w:tr>
      <w:tr>
        <w:tc>
          <w:tcPr>
            <w:tcW w:type="dxa" w:w="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4</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 client's percentile position for each metric</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Client normalized metrics vs. peer distribution</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Percentile rank table: client vs. peer set per metric</w:t>
            </w:r>
          </w:p>
        </w:tc>
      </w:tr>
      <w:tr>
        <w:tc>
          <w:tcPr>
            <w:tcW w:type="dxa" w:w="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5</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Flag outlier metrics</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Metrics below P25 or above P75 — positive and negative</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Outlier flag registry: priority areas for analysis</w:t>
            </w:r>
          </w:p>
        </w:tc>
      </w:tr>
      <w:tr>
        <w:tc>
          <w:tcPr>
            <w:tcW w:type="dxa" w:w="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6</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Narrative interpretation</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Analyst judgment applied to flag patterns</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Business intelligence: what the data means for this business</w:t>
            </w:r>
          </w:p>
        </w:tc>
      </w:tr>
    </w:tbl>
    <w:p>
      <w:pPr>
        <w:spacing w:after="80" w:before="0"/>
      </w:pPr>
      <w:r>
        <w:t xml:space="preserve"/>
      </w:r>
    </w:p>
    <w:p>
      <w:pPr>
        <w:spacing w:after="100" w:before="60"/>
      </w:pPr>
      <w:r>
        <w:rPr>
          <w:rFonts w:ascii="Arial" w:cs="Arial" w:eastAsia="Arial" w:hAnsi="Arial"/>
          <w:color w:val="374151"/>
          <w:sz w:val="22"/>
          <w:szCs w:val="22"/>
        </w:rPr>
        <w:t xml:space="preserve">The benchmark comparison is not the deliverable. The interpretation is the deliverable. The metrics tell you where the business stands. The analyst tells you what that means, why it matters, and what to do about it. That combination — rigorous data plus judgment — is what justifies the consulting relationship.</w:t>
      </w:r>
    </w:p>
    <w:p>
      <w:pPr>
        <w:spacing w:after="120" w:before="0"/>
      </w:pPr>
      <w:r>
        <w:t xml:space="preserve"/>
      </w:r>
    </w:p>
    <w:p>
      <w:pPr>
        <w:pStyle w:val="Heading2"/>
        <w:spacing w:after="100" w:before="280"/>
      </w:pPr>
      <w:r>
        <w:rPr>
          <w:rFonts w:ascii="Arial" w:cs="Arial" w:eastAsia="Arial" w:hAnsi="Arial"/>
          <w:b/>
          <w:bCs/>
          <w:color w:val="1B3A5C"/>
          <w:sz w:val="28"/>
          <w:szCs w:val="28"/>
        </w:rPr>
        <w:t xml:space="preserve">Private vs. Public — Interpretation Adjustments</w:t>
      </w:r>
    </w:p>
    <w:p>
      <w:pPr>
        <w:spacing w:after="100" w:before="60"/>
      </w:pPr>
      <w:r>
        <w:rPr>
          <w:rFonts w:ascii="Arial" w:cs="Arial" w:eastAsia="Arial" w:hAnsi="Arial"/>
          <w:color w:val="374151"/>
          <w:sz w:val="22"/>
          <w:szCs w:val="22"/>
        </w:rPr>
        <w:t xml:space="preserve">Public company benchmarks require adjustment when applied to private companies. A private business owner who takes $300K in compensation instead of $100K will show lower EBITDA margin than a comparable public company — but the economics are the same. Every benchmark comparison explicitly documents these structural differences so the client understands what they're seeing.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Structural Difference</w:t>
            </w:r>
          </w:p>
        </w:tc>
        <w:tc>
          <w:tcPr>
            <w:tcW w:type="dxa" w:w="348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Effect on Benchmark Comparison</w:t>
            </w:r>
          </w:p>
        </w:tc>
        <w:tc>
          <w:tcPr>
            <w:tcW w:type="dxa" w:w="348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How It's Handled</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Owner compensation normalization</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Increases apparent profitability vs. pre-normalized; may shift percentile rank</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Report shows both pre- and post-normalization percentile position</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Tax structure differences</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S-corp/LLC private vs. C-corp public — effective tax treatment differs</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Pretax margin comparison used; note structural difference in report</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Scale effects</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Public companies benefit from economies of scale; small business operating at disadvantage is expected</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Flag scale-adjusted metrics; compare to small-cap public peers where available</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Growth stage</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business may be growing faster or slower than mature public peer</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Show trend direction alongside absolute level; note growth stage context</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Asset ownership structure</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Owner may own real estate personally; business has no PP&amp;E on balance sheet</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Note asset structure; adjust capital-intensive metrics accordingly</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6 — The Client Deliverable</w:t>
      </w:r>
    </w:p>
    <w:p>
      <w:pPr>
        <w:spacing w:after="100" w:before="60"/>
      </w:pPr>
      <w:r>
        <w:rPr>
          <w:rFonts w:ascii="Arial" w:cs="Arial" w:eastAsia="Arial" w:hAnsi="Arial"/>
          <w:color w:val="374151"/>
          <w:sz w:val="22"/>
          <w:szCs w:val="22"/>
        </w:rPr>
        <w:t xml:space="preserve">The client deliverable is a Power BI report in the same format as the FinMetrics public company reports — consistent structure, consistent metrics, consistent flag system. A private business owner receiving a FinMetrics-format report is receiving the same analytical framework that institutional investors apply to public companies. That parity is intentional and is part of the value proposition.</w:t>
      </w:r>
    </w:p>
    <w:p>
      <w:pPr>
        <w:spacing w:after="120" w:before="0"/>
      </w:pPr>
      <w:r>
        <w:t xml:space="preserve"/>
      </w:r>
    </w:p>
    <w:p>
      <w:pPr>
        <w:pStyle w:val="Heading2"/>
        <w:spacing w:after="100" w:before="280"/>
      </w:pPr>
      <w:r>
        <w:rPr>
          <w:rFonts w:ascii="Arial" w:cs="Arial" w:eastAsia="Arial" w:hAnsi="Arial"/>
          <w:b/>
          <w:bCs/>
          <w:color w:val="1B3A5C"/>
          <w:sz w:val="28"/>
          <w:szCs w:val="28"/>
        </w:rPr>
        <w:t xml:space="preserve">Report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60"/>
        <w:gridCol w:w="2800"/>
      </w:tblGrid>
      <w:tr>
        <w:tc>
          <w:tcPr>
            <w:tcW w:type="dxa" w:w="80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Page</w:t>
            </w:r>
          </w:p>
        </w:tc>
        <w:tc>
          <w:tcPr>
            <w:tcW w:type="dxa" w:w="240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Title</w:t>
            </w:r>
          </w:p>
        </w:tc>
        <w:tc>
          <w:tcPr>
            <w:tcW w:type="dxa" w:w="316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Content</w:t>
            </w:r>
          </w:p>
        </w:tc>
        <w:tc>
          <w:tcPr>
            <w:tcW w:type="dxa" w:w="280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Business Decision Supported</w:t>
            </w:r>
          </w:p>
        </w:tc>
      </w:tr>
      <w:tr>
        <w:tc>
          <w:tcPr>
            <w:tcW w:type="dxa" w:w="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Executive Summary</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4 KPI cards: Revenue, Gross Margin, EBITDA Margin, Cash-to-Cash. Normalization summary. Data quality score. Active flags.</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What is the health of this business at a glance</w:t>
            </w:r>
          </w:p>
        </w:tc>
      </w:tr>
      <w:tr>
        <w:tc>
          <w:tcPr>
            <w:tcW w:type="dxa" w:w="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2</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Growth Analysis</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trend, employee growth, R&amp;D/investment equivalent, SG&amp;A efficiency. YoY comparisons. TTM smoothed.</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Is this business growing, stable, or contracting — and why</w:t>
            </w:r>
          </w:p>
        </w:tc>
      </w:tr>
      <w:tr>
        <w:tc>
          <w:tcPr>
            <w:tcW w:type="dxa" w:w="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3</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Profitability Deep Dive</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Full margin waterfall: Gross → Operating → EBITDA → Net. Owner comp normalized P&amp;L. Trend lines. Peer benchmark overlay.</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Is this business as profitable as it should be given its sector</w:t>
            </w:r>
          </w:p>
        </w:tc>
      </w:tr>
      <w:tr>
        <w:tc>
          <w:tcPr>
            <w:tcW w:type="dxa" w:w="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4</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Working Capital &amp; Cycle</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Cash-to-Cash trend. DSO, DPO, DIO trend lines. Inventory turns. Flag indicators. Peer comparison.</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Is working capital being managed efficiently — or is cash being consumed unnecessarily</w:t>
            </w:r>
          </w:p>
        </w:tc>
      </w:tr>
      <w:tr>
        <w:tc>
          <w:tcPr>
            <w:tcW w:type="dxa" w:w="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5</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Financial Health</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Altman Z trend. Current ratio. Quick ratio. Debt structure. Equity trend.</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Is this business financially resilient — and what does a lender or buyer see</w:t>
            </w:r>
          </w:p>
        </w:tc>
      </w:tr>
      <w:tr>
        <w:tc>
          <w:tcPr>
            <w:tcW w:type="dxa" w:w="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6</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Benchmark Comparison</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Client vs. public peer percentile position for all 55 metrics. Positive and negative outliers highlighted. Cross-sector context.</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How does this business compare to the best operators in its sector</w:t>
            </w:r>
          </w:p>
        </w:tc>
      </w:tr>
      <w:tr>
        <w:tc>
          <w:tcPr>
            <w:tcW w:type="dxa" w:w="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7</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Normalization Record</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Full documentation of every adjustment made: owner comp, related parties, reclassifications, accounting basis changes.</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Audit trail — what was changed, why, and by how much</w:t>
            </w:r>
          </w:p>
        </w:tc>
      </w:tr>
    </w:tbl>
    <w:p>
      <w:pPr>
        <w:spacing w:after="80" w:before="0"/>
      </w:pPr>
      <w:r>
        <w:t xml:space="preserve"/>
      </w:r>
    </w:p>
    <w:p>
      <w:pPr>
        <w:spacing w:after="100" w:before="60"/>
      </w:pPr>
      <w:r>
        <w:rPr>
          <w:rFonts w:ascii="Arial" w:cs="Arial" w:eastAsia="Arial" w:hAnsi="Arial"/>
          <w:color w:val="374151"/>
          <w:sz w:val="22"/>
          <w:szCs w:val="22"/>
        </w:rPr>
        <w:t xml:space="preserve">Page 7 — the normalization record — is the most important page for trust. It is the page that shows the client you found things, documented them, disclosed them, and applied them consistently. No other analyst delivering a comparable report includes this level of transparency about the adjustments made. That transparency is the brand differentiator.</w:t>
      </w:r>
    </w:p>
    <w:p>
      <w:pPr>
        <w:spacing w:after="120" w:before="0"/>
      </w:pPr>
      <w:r>
        <w:t xml:space="preserve"/>
      </w:r>
    </w:p>
    <w:p>
      <w:pPr>
        <w:pStyle w:val="Heading2"/>
        <w:spacing w:after="100" w:before="280"/>
      </w:pPr>
      <w:r>
        <w:rPr>
          <w:rFonts w:ascii="Arial" w:cs="Arial" w:eastAsia="Arial" w:hAnsi="Arial"/>
          <w:b/>
          <w:bCs/>
          <w:color w:val="1B3A5C"/>
          <w:sz w:val="28"/>
          <w:szCs w:val="28"/>
        </w:rPr>
        <w:t xml:space="preserve">Engagement Types and Pricing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Engagement Type</w:t>
            </w:r>
          </w:p>
        </w:tc>
        <w:tc>
          <w:tcPr>
            <w:tcW w:type="dxa" w:w="24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What's Delivered</w:t>
            </w:r>
          </w:p>
        </w:tc>
        <w:tc>
          <w:tcPr>
            <w:tcW w:type="dxa" w:w="2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Est. Hours</w:t>
            </w:r>
          </w:p>
        </w:tc>
        <w:tc>
          <w:tcPr>
            <w:tcW w:type="dxa" w:w="25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Target Price Range</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Diagnostic Review</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Single-period analysis across all 55 metrics. Benchmark comparison. Flag identification. Verbal walkthrough.</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4–6 hours</w:t>
            </w:r>
          </w:p>
        </w:tc>
        <w:tc>
          <w:tcPr>
            <w:tcW w:type="dxa" w:w="2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$750 – $1,500</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Quarterly Monitoring</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Rolling quarterly update. Trend analysis. Flag monitoring. 30-minute review session.</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2–3 hours/quarter</w:t>
            </w:r>
          </w:p>
        </w:tc>
        <w:tc>
          <w:tcPr>
            <w:tcW w:type="dxa" w:w="2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$500 – $1,000/quarter</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Pre-Sale Preparation</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Full normalization. Buyer-perspective analysis. EBITDA quality assessment. Peer comp positioning.</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8–12 hours</w:t>
            </w:r>
          </w:p>
        </w:tc>
        <w:tc>
          <w:tcPr>
            <w:tcW w:type="dxa" w:w="2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$2,500 – $5,000</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Pre-Financing Package</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Credit-perspective analysis. Altman Z, coverage ratios, working capital adequacy. Lender narrative.</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6–10 hours</w:t>
            </w:r>
          </w:p>
        </w:tc>
        <w:tc>
          <w:tcPr>
            <w:tcW w:type="dxa" w:w="2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$1,500 – $3,500</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Annual Deep Dive</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Full year review. Strategic metric analysis. Growth driver identification. Peer repositioning.</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10–16 hours</w:t>
            </w:r>
          </w:p>
        </w:tc>
        <w:tc>
          <w:tcPr>
            <w:tcW w:type="dxa" w:w="2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$3,000 – $6,000</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Ongoing Retainer</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Monthly metrics update. Alert monitoring. On-call analysis questions. Quarterly report.</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4–6 hours/month</w:t>
            </w:r>
          </w:p>
        </w:tc>
        <w:tc>
          <w:tcPr>
            <w:tcW w:type="dxa" w:w="2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$800 – $1,500/month</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7 — Forward Architecture (Phase 3)</w:t>
      </w:r>
    </w:p>
    <w:p>
      <w:pPr>
        <w:spacing w:after="100" w:before="60"/>
      </w:pPr>
      <w:r>
        <w:rPr>
          <w:rFonts w:ascii="Arial" w:cs="Arial" w:eastAsia="Arial" w:hAnsi="Arial"/>
          <w:color w:val="374151"/>
          <w:sz w:val="22"/>
          <w:szCs w:val="22"/>
        </w:rPr>
        <w:t xml:space="preserve">Phase 3 is the production build of the private business practice. It activates when FinMetrics reaches Phase 2 completion — when the public benchmark database is live, the Power BI report suite is built, and the methodology is validated on public data. The private practice then has the infrastructure it requires and the credentialing artifact that establishes trust.</w:t>
      </w:r>
    </w:p>
    <w:p>
      <w:pPr>
        <w:spacing w:after="120" w:before="0"/>
      </w:pPr>
      <w:r>
        <w:t xml:space="preserve"/>
      </w:r>
    </w:p>
    <w:p>
      <w:pPr>
        <w:pStyle w:val="Heading2"/>
        <w:spacing w:after="100" w:before="280"/>
      </w:pPr>
      <w:r>
        <w:rPr>
          <w:rFonts w:ascii="Arial" w:cs="Arial" w:eastAsia="Arial" w:hAnsi="Arial"/>
          <w:b/>
          <w:bCs/>
          <w:color w:val="1B3A5C"/>
          <w:sz w:val="28"/>
          <w:szCs w:val="28"/>
        </w:rPr>
        <w:t xml:space="preserve">What Phase 3 Builds on Top of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E5E7EB" w:sz="4"/>
              <w:left w:val="single" w:color="E5E7EB" w:sz="4"/>
              <w:bottom w:val="single" w:color="E5E7EB" w:sz="4"/>
              <w:right w:val="single" w:color="E5E7EB" w:sz="4"/>
            </w:tcBorders>
            <w:shd w:fill="DBEAFE" w:val="clear"/>
            <w:tcMar>
              <w:top w:type="dxa" w:w="100"/>
              <w:left w:type="dxa" w:w="140"/>
              <w:bottom w:type="dxa" w:w="100"/>
              <w:right w:type="dxa" w:w="140"/>
            </w:tcMar>
          </w:tcPr>
          <w:p>
            <w:pPr>
              <w:spacing w:after="80" w:before="0"/>
            </w:pPr>
            <w:r>
              <w:rPr>
                <w:rFonts w:ascii="Arial" w:cs="Arial" w:eastAsia="Arial" w:hAnsi="Arial"/>
                <w:b/>
                <w:bCs/>
                <w:color w:val="1E40AF"/>
                <w:sz w:val="22"/>
                <w:szCs w:val="22"/>
              </w:rPr>
              <w:t xml:space="preserve">Phase 0 Foundation (Existing)</w:t>
            </w:r>
          </w:p>
          <w:p>
            <w:pPr>
              <w:pStyle w:val="ListParagraph"/>
              <w:numPr>
                <w:ilvl w:val="0"/>
                <w:numId w:val="2"/>
              </w:numPr>
              <w:spacing w:after="40" w:before="40"/>
            </w:pPr>
            <w:r>
              <w:rPr>
                <w:rFonts w:ascii="Arial" w:cs="Arial" w:eastAsia="Arial" w:hAnsi="Arial"/>
                <w:color w:val="374151"/>
                <w:sz w:val="22"/>
                <w:szCs w:val="22"/>
              </w:rPr>
              <w:t xml:space="preserve">20 synthetic company models validated</w:t>
            </w:r>
          </w:p>
          <w:p>
            <w:pPr>
              <w:pStyle w:val="ListParagraph"/>
              <w:numPr>
                <w:ilvl w:val="0"/>
                <w:numId w:val="2"/>
              </w:numPr>
              <w:spacing w:after="40" w:before="40"/>
            </w:pPr>
            <w:r>
              <w:rPr>
                <w:rFonts w:ascii="Arial" w:cs="Arial" w:eastAsia="Arial" w:hAnsi="Arial"/>
                <w:color w:val="374151"/>
                <w:sz w:val="22"/>
                <w:szCs w:val="22"/>
              </w:rPr>
              <w:t xml:space="preserve">Onboarding process designed and tested</w:t>
            </w:r>
          </w:p>
          <w:p>
            <w:pPr>
              <w:pStyle w:val="ListParagraph"/>
              <w:numPr>
                <w:ilvl w:val="0"/>
                <w:numId w:val="2"/>
              </w:numPr>
              <w:spacing w:after="40" w:before="40"/>
            </w:pPr>
            <w:r>
              <w:rPr>
                <w:rFonts w:ascii="Arial" w:cs="Arial" w:eastAsia="Arial" w:hAnsi="Arial"/>
                <w:color w:val="374151"/>
                <w:sz w:val="22"/>
                <w:szCs w:val="22"/>
              </w:rPr>
              <w:t xml:space="preserve">Chart of accounts mapping library built</w:t>
            </w:r>
          </w:p>
          <w:p>
            <w:pPr>
              <w:pStyle w:val="ListParagraph"/>
              <w:numPr>
                <w:ilvl w:val="0"/>
                <w:numId w:val="2"/>
              </w:numPr>
              <w:spacing w:after="40" w:before="40"/>
            </w:pPr>
            <w:r>
              <w:rPr>
                <w:rFonts w:ascii="Arial" w:cs="Arial" w:eastAsia="Arial" w:hAnsi="Arial"/>
                <w:color w:val="374151"/>
                <w:sz w:val="22"/>
                <w:szCs w:val="22"/>
              </w:rPr>
              <w:t xml:space="preserve">Owner compensation normalization standard</w:t>
            </w:r>
          </w:p>
          <w:p>
            <w:pPr>
              <w:pStyle w:val="ListParagraph"/>
              <w:numPr>
                <w:ilvl w:val="0"/>
                <w:numId w:val="2"/>
              </w:numPr>
              <w:spacing w:after="40" w:before="40"/>
            </w:pPr>
            <w:r>
              <w:rPr>
                <w:rFonts w:ascii="Arial" w:cs="Arial" w:eastAsia="Arial" w:hAnsi="Arial"/>
                <w:color w:val="374151"/>
                <w:sz w:val="22"/>
                <w:szCs w:val="22"/>
              </w:rPr>
              <w:t xml:space="preserve">Related party identification methodology</w:t>
            </w:r>
          </w:p>
          <w:p>
            <w:pPr>
              <w:pStyle w:val="ListParagraph"/>
              <w:numPr>
                <w:ilvl w:val="0"/>
                <w:numId w:val="2"/>
              </w:numPr>
              <w:spacing w:after="40" w:before="40"/>
            </w:pPr>
            <w:r>
              <w:rPr>
                <w:rFonts w:ascii="Arial" w:cs="Arial" w:eastAsia="Arial" w:hAnsi="Arial"/>
                <w:color w:val="374151"/>
                <w:sz w:val="22"/>
                <w:szCs w:val="22"/>
              </w:rPr>
              <w:t xml:space="preserve">Metric applicability matrix by industry</w:t>
            </w:r>
          </w:p>
          <w:p>
            <w:pPr>
              <w:pStyle w:val="ListParagraph"/>
              <w:numPr>
                <w:ilvl w:val="0"/>
                <w:numId w:val="2"/>
              </w:numPr>
              <w:spacing w:after="40" w:before="40"/>
            </w:pPr>
            <w:r>
              <w:rPr>
                <w:rFonts w:ascii="Arial" w:cs="Arial" w:eastAsia="Arial" w:hAnsi="Arial"/>
                <w:color w:val="374151"/>
                <w:sz w:val="22"/>
                <w:szCs w:val="22"/>
              </w:rPr>
              <w:t xml:space="preserve">Failure mode registry documented</w:t>
            </w:r>
          </w:p>
          <w:p>
            <w:pPr>
              <w:pStyle w:val="ListParagraph"/>
              <w:numPr>
                <w:ilvl w:val="0"/>
                <w:numId w:val="2"/>
              </w:numPr>
              <w:spacing w:after="40" w:before="40"/>
            </w:pPr>
            <w:r>
              <w:rPr>
                <w:rFonts w:ascii="Arial" w:cs="Arial" w:eastAsia="Arial" w:hAnsi="Arial"/>
                <w:color w:val="374151"/>
                <w:sz w:val="22"/>
                <w:szCs w:val="22"/>
              </w:rPr>
              <w:t xml:space="preserve">Hundreds of specification documents</w:t>
            </w:r>
          </w:p>
          <w:p>
            <w:pPr>
              <w:pStyle w:val="ListParagraph"/>
              <w:numPr>
                <w:ilvl w:val="0"/>
                <w:numId w:val="2"/>
              </w:numPr>
              <w:spacing w:after="40" w:before="40"/>
            </w:pPr>
            <w:r>
              <w:rPr>
                <w:rFonts w:ascii="Arial" w:cs="Arial" w:eastAsia="Arial" w:hAnsi="Arial"/>
                <w:color w:val="374151"/>
                <w:sz w:val="22"/>
                <w:szCs w:val="22"/>
              </w:rPr>
              <w:t xml:space="preserve">ETL pipeline prototype in Python</w:t>
            </w:r>
          </w:p>
        </w:tc>
        <w:tc>
          <w:tcPr>
            <w:tcW w:type="dxa" w:w="476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tcPr>
          <w:p>
            <w:pPr>
              <w:spacing w:after="80" w:before="0"/>
            </w:pPr>
            <w:r>
              <w:rPr>
                <w:rFonts w:ascii="Arial" w:cs="Arial" w:eastAsia="Arial" w:hAnsi="Arial"/>
                <w:b/>
                <w:bCs/>
                <w:color w:val="0D1B2A"/>
                <w:sz w:val="22"/>
                <w:szCs w:val="22"/>
              </w:rPr>
              <w:t xml:space="preserve">Phase 3 Production Additions</w:t>
            </w:r>
          </w:p>
          <w:p>
            <w:pPr>
              <w:pStyle w:val="ListParagraph"/>
              <w:numPr>
                <w:ilvl w:val="0"/>
                <w:numId w:val="2"/>
              </w:numPr>
              <w:spacing w:after="40" w:before="40"/>
            </w:pPr>
            <w:r>
              <w:rPr>
                <w:rFonts w:ascii="Arial" w:cs="Arial" w:eastAsia="Arial" w:hAnsi="Arial"/>
                <w:color w:val="374151"/>
                <w:sz w:val="22"/>
                <w:szCs w:val="22"/>
              </w:rPr>
              <w:t xml:space="preserve">PostgreSQL private client database (separate from FinMetrics)</w:t>
            </w:r>
          </w:p>
          <w:p>
            <w:pPr>
              <w:pStyle w:val="ListParagraph"/>
              <w:numPr>
                <w:ilvl w:val="0"/>
                <w:numId w:val="2"/>
              </w:numPr>
              <w:spacing w:after="40" w:before="40"/>
            </w:pPr>
            <w:r>
              <w:rPr>
                <w:rFonts w:ascii="Arial" w:cs="Arial" w:eastAsia="Arial" w:hAnsi="Arial"/>
                <w:color w:val="374151"/>
                <w:sz w:val="22"/>
                <w:szCs w:val="22"/>
              </w:rPr>
              <w:t xml:space="preserve">Production ETL pipeline — same architecture as FinMetrics</w:t>
            </w:r>
          </w:p>
          <w:p>
            <w:pPr>
              <w:pStyle w:val="ListParagraph"/>
              <w:numPr>
                <w:ilvl w:val="0"/>
                <w:numId w:val="2"/>
              </w:numPr>
              <w:spacing w:after="40" w:before="40"/>
            </w:pPr>
            <w:r>
              <w:rPr>
                <w:rFonts w:ascii="Arial" w:cs="Arial" w:eastAsia="Arial" w:hAnsi="Arial"/>
                <w:color w:val="374151"/>
                <w:sz w:val="22"/>
                <w:szCs w:val="22"/>
              </w:rPr>
              <w:t xml:space="preserve">FinMetrics benchmark query layer</w:t>
            </w:r>
          </w:p>
          <w:p>
            <w:pPr>
              <w:pStyle w:val="ListParagraph"/>
              <w:numPr>
                <w:ilvl w:val="0"/>
                <w:numId w:val="2"/>
              </w:numPr>
              <w:spacing w:after="40" w:before="40"/>
            </w:pPr>
            <w:r>
              <w:rPr>
                <w:rFonts w:ascii="Arial" w:cs="Arial" w:eastAsia="Arial" w:hAnsi="Arial"/>
                <w:color w:val="374151"/>
                <w:sz w:val="22"/>
                <w:szCs w:val="22"/>
              </w:rPr>
              <w:t xml:space="preserve">Power BI private client report template</w:t>
            </w:r>
          </w:p>
          <w:p>
            <w:pPr>
              <w:pStyle w:val="ListParagraph"/>
              <w:numPr>
                <w:ilvl w:val="0"/>
                <w:numId w:val="2"/>
              </w:numPr>
              <w:spacing w:after="40" w:before="40"/>
            </w:pPr>
            <w:r>
              <w:rPr>
                <w:rFonts w:ascii="Arial" w:cs="Arial" w:eastAsia="Arial" w:hAnsi="Arial"/>
                <w:color w:val="374151"/>
                <w:sz w:val="22"/>
                <w:szCs w:val="22"/>
              </w:rPr>
              <w:t xml:space="preserve">Client portal for data submission</w:t>
            </w:r>
          </w:p>
          <w:p>
            <w:pPr>
              <w:pStyle w:val="ListParagraph"/>
              <w:numPr>
                <w:ilvl w:val="0"/>
                <w:numId w:val="2"/>
              </w:numPr>
              <w:spacing w:after="40" w:before="40"/>
            </w:pPr>
            <w:r>
              <w:rPr>
                <w:rFonts w:ascii="Arial" w:cs="Arial" w:eastAsia="Arial" w:hAnsi="Arial"/>
                <w:color w:val="374151"/>
                <w:sz w:val="22"/>
                <w:szCs w:val="22"/>
              </w:rPr>
              <w:t xml:space="preserve">Engagement management workflow</w:t>
            </w:r>
          </w:p>
          <w:p>
            <w:pPr>
              <w:pStyle w:val="ListParagraph"/>
              <w:numPr>
                <w:ilvl w:val="0"/>
                <w:numId w:val="2"/>
              </w:numPr>
              <w:spacing w:after="40" w:before="40"/>
            </w:pPr>
            <w:r>
              <w:rPr>
                <w:rFonts w:ascii="Arial" w:cs="Arial" w:eastAsia="Arial" w:hAnsi="Arial"/>
                <w:color w:val="374151"/>
                <w:sz w:val="22"/>
                <w:szCs w:val="22"/>
              </w:rPr>
              <w:t xml:space="preserve">First real client case study</w:t>
            </w:r>
          </w:p>
          <w:p>
            <w:pPr>
              <w:pStyle w:val="ListParagraph"/>
              <w:numPr>
                <w:ilvl w:val="0"/>
                <w:numId w:val="2"/>
              </w:numPr>
              <w:spacing w:after="40" w:before="40"/>
            </w:pPr>
            <w:r>
              <w:rPr>
                <w:rFonts w:ascii="Arial" w:cs="Arial" w:eastAsia="Arial" w:hAnsi="Arial"/>
                <w:color w:val="374151"/>
                <w:sz w:val="22"/>
                <w:szCs w:val="22"/>
              </w:rPr>
              <w:t xml:space="preserve">Pricing and engagement documentation</w:t>
            </w:r>
          </w:p>
          <w:p>
            <w:pPr>
              <w:pStyle w:val="ListParagraph"/>
              <w:numPr>
                <w:ilvl w:val="0"/>
                <w:numId w:val="2"/>
              </w:numPr>
              <w:spacing w:after="40" w:before="40"/>
            </w:pPr>
            <w:r>
              <w:rPr>
                <w:rFonts w:ascii="Arial" w:cs="Arial" w:eastAsia="Arial" w:hAnsi="Arial"/>
                <w:color w:val="374151"/>
                <w:sz w:val="22"/>
                <w:szCs w:val="22"/>
              </w:rPr>
              <w:t xml:space="preserve">Borowy Consulting service offering page</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Phase 3 Activation Checklist</w:t>
      </w:r>
    </w:p>
    <w:p>
      <w:pPr>
        <w:spacing w:after="100" w:before="60"/>
      </w:pPr>
      <w:r>
        <w:rPr>
          <w:rFonts w:ascii="Arial" w:cs="Arial" w:eastAsia="Arial" w:hAnsi="Arial"/>
          <w:color w:val="374151"/>
          <w:sz w:val="22"/>
          <w:szCs w:val="22"/>
        </w:rPr>
        <w:t xml:space="preserve">Phase 3 activates when all of the following are true: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44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Condition</w:t>
            </w:r>
          </w:p>
        </w:tc>
        <w:tc>
          <w:tcPr>
            <w:tcW w:type="dxa" w:w="43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Why It Matters</w:t>
            </w:r>
          </w:p>
        </w:tc>
      </w:tr>
      <w:tr>
        <w:tc>
          <w:tcPr>
            <w:tcW w:type="dxa" w:w="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w:t>
            </w:r>
          </w:p>
        </w:tc>
        <w:tc>
          <w:tcPr>
            <w:tcW w:type="dxa" w:w="4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FinMetrics Phase 1 complete — live dashboard with 10 tickers</w:t>
            </w:r>
          </w:p>
        </w:tc>
        <w:tc>
          <w:tcPr>
            <w:tcW w:type="dxa" w:w="4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Public credentialing artifact exists — something to show prospective clients</w:t>
            </w:r>
          </w:p>
        </w:tc>
      </w:tr>
      <w:tr>
        <w:tc>
          <w:tcPr>
            <w:tcW w:type="dxa" w:w="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2</w:t>
            </w:r>
          </w:p>
        </w:tc>
        <w:tc>
          <w:tcPr>
            <w:tcW w:type="dxa" w:w="4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FinMetrics Phase 2 complete — Power BI report suite live</w:t>
            </w:r>
          </w:p>
        </w:tc>
        <w:tc>
          <w:tcPr>
            <w:tcW w:type="dxa" w:w="43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Deliverable format established — private client reports use the same template</w:t>
            </w:r>
          </w:p>
        </w:tc>
      </w:tr>
      <w:tr>
        <w:tc>
          <w:tcPr>
            <w:tcW w:type="dxa" w:w="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3</w:t>
            </w:r>
          </w:p>
        </w:tc>
        <w:tc>
          <w:tcPr>
            <w:tcW w:type="dxa" w:w="4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Semiconductor sector fully covered in FinMetrics</w:t>
            </w:r>
          </w:p>
        </w:tc>
        <w:tc>
          <w:tcPr>
            <w:tcW w:type="dxa" w:w="4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Benchmark database has sufficient depth for cross-sector comparisons</w:t>
            </w:r>
          </w:p>
        </w:tc>
      </w:tr>
      <w:tr>
        <w:tc>
          <w:tcPr>
            <w:tcW w:type="dxa" w:w="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4</w:t>
            </w:r>
          </w:p>
        </w:tc>
        <w:tc>
          <w:tcPr>
            <w:tcW w:type="dxa" w:w="4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0 documentation archived and organized in Borowy Consulting environment</w:t>
            </w:r>
          </w:p>
        </w:tc>
        <w:tc>
          <w:tcPr>
            <w:tcW w:type="dxa" w:w="43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Institutional memory preserved; onboarding process ready to deploy</w:t>
            </w:r>
          </w:p>
        </w:tc>
      </w:tr>
      <w:tr>
        <w:tc>
          <w:tcPr>
            <w:tcW w:type="dxa" w:w="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5</w:t>
            </w:r>
          </w:p>
        </w:tc>
        <w:tc>
          <w:tcPr>
            <w:tcW w:type="dxa" w:w="4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First private client identified — known contact, below market rate engagement</w:t>
            </w:r>
          </w:p>
        </w:tc>
        <w:tc>
          <w:tcPr>
            <w:tcW w:type="dxa" w:w="4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Real data required to validate methodology; synthetic validation is necessary but not sufficient</w:t>
            </w:r>
          </w:p>
        </w:tc>
      </w:tr>
      <w:tr>
        <w:tc>
          <w:tcPr>
            <w:tcW w:type="dxa" w:w="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6</w:t>
            </w:r>
          </w:p>
        </w:tc>
        <w:tc>
          <w:tcPr>
            <w:tcW w:type="dxa" w:w="4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client database schema created</w:t>
            </w:r>
          </w:p>
        </w:tc>
        <w:tc>
          <w:tcPr>
            <w:tcW w:type="dxa" w:w="43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Separate from FinMetrics — client data never touches the public pipeline</w:t>
            </w:r>
          </w:p>
        </w:tc>
      </w:tr>
      <w:tr>
        <w:tc>
          <w:tcPr>
            <w:tcW w:type="dxa" w:w="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7</w:t>
            </w:r>
          </w:p>
        </w:tc>
        <w:tc>
          <w:tcPr>
            <w:tcW w:type="dxa" w:w="4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Engagement agreement template drafted</w:t>
            </w:r>
          </w:p>
        </w:tc>
        <w:tc>
          <w:tcPr>
            <w:tcW w:type="dxa" w:w="4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Scope, pricing, data handling, confidentiality — all documented before first engagement</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The Private Client Data Architecture</w:t>
      </w:r>
    </w:p>
    <w:p>
      <w:pPr>
        <w:spacing w:after="100" w:before="60"/>
      </w:pPr>
      <w:r>
        <w:rPr>
          <w:rFonts w:ascii="Arial" w:cs="Arial" w:eastAsia="Arial" w:hAnsi="Arial"/>
          <w:color w:val="374151"/>
          <w:sz w:val="22"/>
          <w:szCs w:val="22"/>
        </w:rPr>
        <w:t xml:space="preserve">Private client data is kept architecturally separate from FinMetrics at all times. A private company's financials never enter the FinMetrics public database. The connection between the two systems is read-only — FinMetrics provides benchmark data to the private analysis engine; the private analysis engine writes nothing back.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c>
          <w:tcPr>
            <w:tcW w:type="dxa" w:w="3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System</w:t>
            </w:r>
          </w:p>
        </w:tc>
        <w:tc>
          <w:tcPr>
            <w:tcW w:type="dxa" w:w="31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What It Contains</w:t>
            </w:r>
          </w:p>
        </w:tc>
        <w:tc>
          <w:tcPr>
            <w:tcW w:type="dxa" w:w="32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Access</w:t>
            </w:r>
          </w:p>
        </w:tc>
      </w:tr>
      <w:tr>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FinMetrics Database (public)</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285 public companies, 55 metrics, benchmark data, quality flags</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Read-only by private analysis engine for benchmarking</w:t>
            </w:r>
          </w:p>
        </w:tc>
      </w:tr>
      <w:tr>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Borowy Consulting Private DB</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Client-specific normalized financials, adjustments, engagement history</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Write access by private pipeline only; no public exposure ever</w:t>
            </w:r>
          </w:p>
        </w:tc>
      </w:tr>
      <w:tr>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Power BI Private Reports</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Client-specific reports connecting to private DB + FinMetrics benchmarks</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Client-specific access only — each client sees only their own data</w:t>
            </w:r>
          </w:p>
        </w:tc>
      </w:tr>
      <w:tr>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Engagement Archive</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Onboarding documents, normalization memos, adjustment records, deliverables</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Borowy Consulting internal only — full audit trail per engagement</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8 — Current Parking Status</w:t>
      </w:r>
    </w:p>
    <w:p>
      <w:pPr>
        <w:spacing w:after="100" w:before="60"/>
      </w:pPr>
      <w:r>
        <w:rPr>
          <w:rFonts w:ascii="Arial" w:cs="Arial" w:eastAsia="Arial" w:hAnsi="Arial"/>
          <w:color w:val="374151"/>
          <w:sz w:val="22"/>
          <w:szCs w:val="22"/>
        </w:rPr>
        <w:t xml:space="preserve">This appendix documents the Borowy Consulting private business framework in its current state: fully designed, prototype-validated, and formally parked while the FinMetrics public infrastructure is built. Parking is not abandonment — it is sequencing. The private practice depends on the public infrastructure being in place first.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none" w:color="FFFFFF" w:sz="0"/>
            </w:tcBorders>
            <w:shd w:fill="F0F7FF" w:val="clear"/>
            <w:tcMar>
              <w:top w:type="dxa" w:w="160"/>
              <w:left w:type="dxa" w:w="240"/>
              <w:bottom w:type="dxa" w:w="160"/>
              <w:right w:type="dxa" w:w="240"/>
            </w:tcMar>
          </w:tcPr>
          <w:p>
            <w:r>
              <w:rPr>
                <w:rFonts w:ascii="Arial" w:cs="Arial" w:eastAsia="Arial" w:hAnsi="Arial"/>
                <w:i/>
                <w:iCs/>
                <w:color w:val="0D1B2A"/>
                <w:sz w:val="22"/>
                <w:szCs w:val="22"/>
              </w:rPr>
              <w:t xml:space="preserve">Everything documented in this appendix was built before FinMetrics existed. It will be deployed after FinMetrics is operational. The five years of Phase 0 work are not a prior project — they are the foundation that FinMetrics is being built on top of.</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What Is Parked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E5E7EB" w:sz="4"/>
              <w:left w:val="single" w:color="E5E7EB" w:sz="4"/>
              <w:bottom w:val="single" w:color="E5E7EB" w:sz="4"/>
              <w:right w:val="single" w:color="E5E7EB" w:sz="4"/>
            </w:tcBorders>
            <w:shd w:fill="92400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PARKED</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bCs/>
                <w:color w:val="92400E"/>
                <w:sz w:val="20"/>
                <w:szCs w:val="20"/>
              </w:rPr>
              <w:t xml:space="preserve">Awaiting Phase 2</w:t>
            </w:r>
          </w:p>
        </w:tc>
        <w:tc>
          <w:tcPr>
            <w:tcW w:type="dxa" w:w="5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0"/>
                <w:szCs w:val="20"/>
              </w:rPr>
              <w:t xml:space="preserve">Private ETL pipeline — prototype complete, production build scheduled for Phase 3</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E5E7EB" w:sz="4"/>
              <w:left w:val="single" w:color="E5E7EB" w:sz="4"/>
              <w:bottom w:val="single" w:color="E5E7EB" w:sz="4"/>
              <w:right w:val="single" w:color="E5E7EB" w:sz="4"/>
            </w:tcBorders>
            <w:shd w:fill="92400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PARKED</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bCs/>
                <w:color w:val="92400E"/>
                <w:sz w:val="20"/>
                <w:szCs w:val="20"/>
              </w:rPr>
              <w:t xml:space="preserve">Awaiting Phase 2</w:t>
            </w:r>
          </w:p>
        </w:tc>
        <w:tc>
          <w:tcPr>
            <w:tcW w:type="dxa" w:w="5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0"/>
                <w:szCs w:val="20"/>
              </w:rPr>
              <w:t xml:space="preserve">20 synthetic company models — preserved as validation test suite for Phase 3</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E5E7EB" w:sz="4"/>
              <w:left w:val="single" w:color="E5E7EB" w:sz="4"/>
              <w:bottom w:val="single" w:color="E5E7EB" w:sz="4"/>
              <w:right w:val="single" w:color="E5E7EB" w:sz="4"/>
            </w:tcBorders>
            <w:shd w:fill="92400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PARKED</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bCs/>
                <w:color w:val="92400E"/>
                <w:sz w:val="20"/>
                <w:szCs w:val="20"/>
              </w:rPr>
              <w:t xml:space="preserve">Awaiting Phase 1</w:t>
            </w:r>
          </w:p>
        </w:tc>
        <w:tc>
          <w:tcPr>
            <w:tcW w:type="dxa" w:w="5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0"/>
                <w:szCs w:val="20"/>
              </w:rPr>
              <w:t xml:space="preserve">Client onboarding process — designed and tested; deploy after first FinMetrics milestone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E5E7EB" w:sz="4"/>
              <w:left w:val="single" w:color="E5E7EB" w:sz="4"/>
              <w:bottom w:val="single" w:color="E5E7EB" w:sz="4"/>
              <w:right w:val="single" w:color="E5E7EB" w:sz="4"/>
            </w:tcBorders>
            <w:shd w:fill="92400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PARKED</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bCs/>
                <w:color w:val="92400E"/>
                <w:sz w:val="20"/>
                <w:szCs w:val="20"/>
              </w:rPr>
              <w:t xml:space="preserve">Awaiting Phase 2</w:t>
            </w:r>
          </w:p>
        </w:tc>
        <w:tc>
          <w:tcPr>
            <w:tcW w:type="dxa" w:w="5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0"/>
                <w:szCs w:val="20"/>
              </w:rPr>
              <w:t xml:space="preserve">Power BI private client report template — builds on FinMetrics report format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E5E7EB" w:sz="4"/>
              <w:left w:val="single" w:color="E5E7EB" w:sz="4"/>
              <w:bottom w:val="single" w:color="E5E7EB" w:sz="4"/>
              <w:right w:val="single" w:color="E5E7EB" w:sz="4"/>
            </w:tcBorders>
            <w:shd w:fill="16653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ACTIVE</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bCs/>
                <w:color w:val="166534"/>
                <w:sz w:val="20"/>
                <w:szCs w:val="20"/>
              </w:rPr>
              <w:t xml:space="preserve">In Progress</w:t>
            </w:r>
          </w:p>
        </w:tc>
        <w:tc>
          <w:tcPr>
            <w:tcW w:type="dxa" w:w="5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0"/>
                <w:szCs w:val="20"/>
              </w:rPr>
              <w:t xml:space="preserve">Documentation — this appendix and related Borowy Consulting specifications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E5E7EB" w:sz="4"/>
              <w:left w:val="single" w:color="E5E7EB" w:sz="4"/>
              <w:bottom w:val="single" w:color="E5E7EB" w:sz="4"/>
              <w:right w:val="single" w:color="E5E7EB" w:sz="4"/>
            </w:tcBorders>
            <w:shd w:fill="16653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ACTIVE</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bCs/>
                <w:color w:val="166534"/>
                <w:sz w:val="20"/>
                <w:szCs w:val="20"/>
              </w:rPr>
              <w:t xml:space="preserve">In Progress</w:t>
            </w:r>
          </w:p>
        </w:tc>
        <w:tc>
          <w:tcPr>
            <w:tcW w:type="dxa" w:w="5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0"/>
                <w:szCs w:val="20"/>
              </w:rPr>
              <w:t xml:space="preserve">FinMetrics build — the infrastructure the private practice depends 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E5E7EB" w:sz="4"/>
              <w:left w:val="single" w:color="E5E7EB" w:sz="4"/>
              <w:bottom w:val="single" w:color="E5E7EB" w:sz="4"/>
              <w:right w:val="single" w:color="E5E7EB" w:sz="4"/>
            </w:tcBorders>
            <w:shd w:fill="16653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ACTIVE</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bCs/>
                <w:color w:val="166534"/>
                <w:sz w:val="20"/>
                <w:szCs w:val="20"/>
              </w:rPr>
              <w:t xml:space="preserve">In Progress</w:t>
            </w:r>
          </w:p>
        </w:tc>
        <w:tc>
          <w:tcPr>
            <w:tcW w:type="dxa" w:w="5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0"/>
                <w:szCs w:val="20"/>
              </w:rPr>
              <w:t xml:space="preserve">Borowy Consulting professional environment — Microsoft 365, VS Code, GitHub</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What Activates First</w:t>
      </w:r>
    </w:p>
    <w:p>
      <w:pPr>
        <w:spacing w:after="100" w:before="60"/>
      </w:pPr>
      <w:r>
        <w:rPr>
          <w:rFonts w:ascii="Arial" w:cs="Arial" w:eastAsia="Arial" w:hAnsi="Arial"/>
          <w:color w:val="374151"/>
          <w:sz w:val="22"/>
          <w:szCs w:val="22"/>
        </w:rPr>
        <w:t xml:space="preserve">The first Phase 3 activation step is not the pipeline — it is the first client conversation. Before a single line of production code is written for the private practice, the methodology documentation in this appendix is the selling tool. A prospective client who reads this document understands what they would be engaging — five years of methodology development, a validated framework, complete transparency about every adjustment made to their data, and a benchmark comparison against 285 public companies.</w:t>
      </w:r>
    </w:p>
    <w:p>
      <w:pPr>
        <w:spacing w:after="80" w:before="0"/>
      </w:pPr>
      <w:r>
        <w:t xml:space="preserve"/>
      </w:r>
    </w:p>
    <w:p>
      <w:pPr>
        <w:spacing w:after="100" w:before="60"/>
      </w:pPr>
      <w:r>
        <w:rPr>
          <w:rFonts w:ascii="Arial" w:cs="Arial" w:eastAsia="Arial" w:hAnsi="Arial"/>
          <w:color w:val="374151"/>
          <w:sz w:val="22"/>
          <w:szCs w:val="22"/>
        </w:rPr>
        <w:t xml:space="preserve">The first engagement will be below market rate by design — it is a validation engagement, not a profit center. Its output is a case study. That case study, added to the FinMetrics public dashboard and this methodology documentation, becomes the complete Borowy Consulting credential package.</w:t>
      </w:r>
    </w:p>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Appendix Summary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c>
          <w:tcPr>
            <w:tcW w:type="dxa" w:w="300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Dimension</w:t>
            </w:r>
          </w:p>
        </w:tc>
        <w:tc>
          <w:tcPr>
            <w:tcW w:type="dxa" w:w="316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Current State</w:t>
            </w:r>
          </w:p>
        </w:tc>
        <w:tc>
          <w:tcPr>
            <w:tcW w:type="dxa" w:w="3200"/>
            <w:tcBorders>
              <w:top w:val="single" w:color="E5E7EB" w:sz="4"/>
              <w:left w:val="single" w:color="E5E7EB" w:sz="4"/>
              <w:bottom w:val="single" w:color="E5E7EB" w:sz="4"/>
              <w:right w:val="single" w:color="E5E7EB" w:sz="4"/>
            </w:tcBorders>
            <w:shd w:fill="1E40AF" w:val="clear"/>
            <w:tcMar>
              <w:top w:type="dxa" w:w="100"/>
              <w:left w:type="dxa" w:w="140"/>
              <w:bottom w:type="dxa" w:w="100"/>
              <w:right w:type="dxa" w:w="140"/>
            </w:tcMar>
          </w:tcPr>
          <w:p>
            <w:r>
              <w:rPr>
                <w:rFonts w:ascii="Arial" w:cs="Arial" w:eastAsia="Arial" w:hAnsi="Arial"/>
                <w:b/>
                <w:bCs/>
                <w:color w:val="FFFFFF"/>
                <w:sz w:val="19"/>
                <w:szCs w:val="19"/>
              </w:rPr>
              <w:t xml:space="preserve">Phase 3 State</w:t>
            </w:r>
          </w:p>
        </w:tc>
      </w:tr>
      <w:tr>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Development history</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5 years, 20 synthetic models, hundreds of documents</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Augmented with real client engagements</w:t>
            </w:r>
          </w:p>
        </w:tc>
      </w:tr>
      <w:tr>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Methodology status</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Designed, prototype-validated, fully documented</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Production-validated on real client data</w:t>
            </w:r>
          </w:p>
        </w:tc>
      </w:tr>
      <w:tr>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Pipeline status</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Prototype in Python / VS Code</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Production build on FinMetrics architecture</w:t>
            </w:r>
          </w:p>
        </w:tc>
      </w:tr>
      <w:tr>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Benchmark data</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Synthetic peer comparisons only</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FinMetrics 285-company public benchmark set</w:t>
            </w:r>
          </w:p>
        </w:tc>
      </w:tr>
      <w:tr>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Deliverable format</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Prototype reports</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Power BI — same format as FinMetrics public reports</w:t>
            </w:r>
          </w:p>
        </w:tc>
      </w:tr>
      <w:tr>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Client base</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Synthetic prototype companies</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Real private business clients</w:t>
            </w:r>
          </w:p>
        </w:tc>
      </w:tr>
      <w:tr>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Documentation</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Hundreds of docs in Borowy Consulting archive</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This appendix + engagement-level records</w:t>
            </w:r>
          </w:p>
        </w:tc>
      </w:tr>
      <w:tr>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Zero — development phase</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Consulting fees per engagement type table</w:t>
            </w:r>
          </w:p>
        </w:tc>
      </w:tr>
      <w:tr>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Activation trigger</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FinMetrics Phase 2 complete</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First real client conversation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6"/>
              <w:bottom w:val="single" w:color="1E40AF" w:sz="4"/>
              <w:right w:val="none" w:color="FFFFFF" w:sz="0"/>
            </w:tcBorders>
            <w:shd w:fill="F0F7FF" w:val="clear"/>
            <w:tcMar>
              <w:top w:type="dxa" w:w="160"/>
              <w:left w:type="dxa" w:w="240"/>
              <w:bottom w:type="dxa" w:w="160"/>
              <w:right w:type="dxa" w:w="240"/>
            </w:tcMar>
          </w:tcPr>
          <w:p>
            <w:r>
              <w:rPr>
                <w:rFonts w:ascii="Arial" w:cs="Arial" w:eastAsia="Arial" w:hAnsi="Arial"/>
                <w:i/>
                <w:iCs/>
                <w:color w:val="0D1B2A"/>
                <w:sz w:val="22"/>
                <w:szCs w:val="22"/>
              </w:rPr>
              <w:t xml:space="preserve">The private business practice is not a future idea. It is a five-year methodology that is being held in reserve while the infrastructure it requires is built. Everything documented in this appendix exists. The only thing that changes in Phase 3 is the data source — from synthetic to real. The methodology, the process, the deliverable format, and the analytical framework are already built.</w:t>
            </w:r>
          </w:p>
        </w:tc>
      </w:tr>
    </w:tbl>
    <w:p>
      <w:pPr>
        <w:spacing w:after="200" w:before="0"/>
      </w:pPr>
      <w:r>
        <w:t xml:space="preserve"/>
      </w:r>
    </w:p>
    <w:p>
      <w:pPr>
        <w:spacing w:after="40" w:before="80"/>
        <w:jc w:val="center"/>
      </w:pPr>
      <w:r>
        <w:rPr>
          <w:rFonts w:ascii="Arial" w:cs="Arial" w:eastAsia="Arial" w:hAnsi="Arial"/>
          <w:b/>
          <w:bCs/>
          <w:color w:val="1E40AF"/>
          <w:sz w:val="22"/>
          <w:szCs w:val="22"/>
        </w:rPr>
        <w:t xml:space="preserve">Borowy Consulting</w:t>
      </w:r>
    </w:p>
    <w:p>
      <w:pPr>
        <w:spacing w:after="0" w:before="0"/>
        <w:jc w:val="center"/>
      </w:pPr>
      <w:r>
        <w:rPr>
          <w:rFonts w:ascii="Arial" w:cs="Arial" w:eastAsia="Arial" w:hAnsi="Arial"/>
          <w:i/>
          <w:iCs/>
          <w:color w:val="9CA3AF"/>
          <w:sz w:val="18"/>
          <w:szCs w:val="18"/>
        </w:rPr>
        <w:t xml:space="preserve">FinMetrics Appendix A  —  Private Business Analysis Framework  |  Parked Phase 3 Component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spacing w:before="0"/>
    </w:pPr>
    <w:r>
      <w:rPr>
        <w:rFonts w:ascii="Arial" w:cs="Arial" w:eastAsia="Arial" w:hAnsi="Arial"/>
        <w:color w:val="9CA3AF"/>
        <w:sz w:val="16"/>
        <w:szCs w:val="16"/>
      </w:rPr>
      <w:t xml:space="preserve">Borowy Consulting  |  Confidential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after="0"/>
    </w:pPr>
    <w:r>
      <w:rPr>
        <w:rFonts w:ascii="Arial" w:cs="Arial" w:eastAsia="Arial" w:hAnsi="Arial"/>
        <w:b/>
        <w:bCs/>
        <w:color w:val="2563EB"/>
        <w:sz w:val="18"/>
        <w:szCs w:val="18"/>
      </w:rPr>
      <w:t xml:space="preserve">FINMETRICS  </w:t>
    </w:r>
    <w:r>
      <w:rPr>
        <w:rFonts w:ascii="Arial" w:cs="Arial" w:eastAsia="Arial" w:hAnsi="Arial"/>
        <w:color w:val="9CA3AF"/>
        <w:sz w:val="18"/>
        <w:szCs w:val="18"/>
      </w:rPr>
      <w:t xml:space="preserve">Appendix A  —  Borowy Consulting Private Business Analysis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2026-06-02T15:28:49.754Z</dcterms:created>
  <dcterms:modified xsi:type="dcterms:W3CDTF">2026-06-02T15:28:49.764Z</dcterms:modified>
</cp:coreProperties>
</file>

<file path=docProps/custom.xml><?xml version="1.0" encoding="utf-8"?>
<Properties xmlns="http://schemas.openxmlformats.org/officeDocument/2006/custom-properties" xmlns:vt="http://schemas.openxmlformats.org/officeDocument/2006/docPropsVTypes"/>
</file>