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8"/>
        </w:rPr>
        <w:t>Reducing Latency in Proprietary Cryptocurrency High-Frequency Trading: A Literature Review with Empirical Evidence</w:t>
      </w:r>
    </w:p>
    <w:p>
      <w:pPr>
        <w:spacing w:after="80"/>
        <w:jc w:val="center"/>
      </w:pPr>
      <w:r>
        <w:rPr>
          <w:rFonts w:ascii="Times New Roman" w:hAnsi="Times New Roman"/>
          <w:b w:val="0"/>
          <w:i w:val="0"/>
          <w:sz w:val="20"/>
        </w:rPr>
        <w:t>Ronit Bahri¹ and Jaydeep Singh¹</w:t>
      </w:r>
    </w:p>
    <w:p>
      <w:pPr>
        <w:spacing w:after="40"/>
        <w:jc w:val="center"/>
      </w:pPr>
      <w:r>
        <w:rPr>
          <w:rFonts w:ascii="Times New Roman" w:hAnsi="Times New Roman"/>
          <w:b w:val="0"/>
          <w:i w:val="0"/>
          <w:sz w:val="20"/>
        </w:rPr>
        <w:t>¹Amity University Noida, Noida, India</w:t>
      </w:r>
    </w:p>
    <w:p>
      <w:pPr>
        <w:spacing w:after="40"/>
        <w:jc w:val="center"/>
      </w:pPr>
      <w:r>
        <w:rPr>
          <w:rFonts w:ascii="Times New Roman" w:hAnsi="Times New Roman"/>
          <w:b w:val="0"/>
          <w:i w:val="0"/>
          <w:sz w:val="20"/>
        </w:rPr>
        <w:t>ronit@unitedseair.com</w:t>
      </w:r>
    </w:p>
    <w:p>
      <w:pPr>
        <w:spacing w:after="80"/>
        <w:jc w:val="center"/>
      </w:pPr>
      <w:r>
        <w:rPr>
          <w:rFonts w:ascii="Times New Roman" w:hAnsi="Times New Roman"/>
          <w:b w:val="0"/>
          <w:i w:val="0"/>
          <w:sz w:val="20"/>
        </w:rPr>
        <w:t>jaydeep.singh1@amity.edu</w:t>
      </w:r>
    </w:p>
    <w:p>
      <w:pPr>
        <w:spacing w:after="240"/>
        <w:jc w:val="center"/>
      </w:pPr>
      <w:r>
        <w:rPr>
          <w:rFonts w:ascii="Times New Roman" w:hAnsi="Times New Roman"/>
          <w:b w:val="0"/>
          <w:i w:val="0"/>
          <w:sz w:val="20"/>
        </w:rPr>
        <w:t>Class: CSIT</w:t>
      </w:r>
    </w:p>
    <w:p>
      <w:pPr>
        <w:spacing w:after="160"/>
      </w:pPr>
      <w:r>
        <w:rPr>
          <w:rFonts w:ascii="Times New Roman" w:hAnsi="Times New Roman"/>
          <w:b w:val="0"/>
          <w:i w:val="0"/>
          <w:sz w:val="20"/>
        </w:rPr>
        <w:t>Abstract. High-frequency trading firms operating in cryptocurrency markets face latency constraints that differ fundamentally from those in traditional equity venues. Where equity HFT firms co-locate hardware inside exchange data centres and compete at nanosecond resolution, crypto prop firms typically rent cloud servers near exchange API endpoints and contend with millisecond-scale network jitter that dwarfs any software-level delay. This paper reviews the academic literature on latency sources and reduction techniques, then applies the findings to a concrete scenario: a mid-tier proprietary trading firm running market-making and statistical-arbitrage strategies on Binance and Bybit from AWS cloud instances. We decompose the firm’s trading pipeline into five latency stages (network transmission, market-data parsing, order-book maintenance, inter-thread communication, and exchange execution) and evaluate optimisation techniques for each with reference to twelve peer-reviewed sources and our own microbenchmarks. The benchmarks, run on a desktop machine with GCC 16.1.0 at -O2, show that an array-indexed order book processes updates in 8–9 ns versus 91–96 ns for a balanced-tree baseline (10.7×), zero-copy fixed-point parsing handles a depth message in 466 ns versus 1,590 ns for a string-copying baseline (3.4×), and a lock-free ring buffer passes messages between threads at 30 ns versus 75 ns for a mutex queue (2.5×). A fixed-block memory pool did not beat the system allocator in our single-threaded test, which is a genuine negative result that illustrates the limits of textbook assumptions on modern toolchains. We also provide code for full-pipeline integration, TCP socket tuning, and WebSocket frame processing. These gains compound: across the full parse-to-signal pipeline, the optimised path processes a message in 528 ns (confirmed by a separate burst benchmark at 2.05 million messages per second) while the naive path takes over 2,900 ns, a 5.6× improvement. The review concludes that while these microsecond savings are individually small against the ∼2 ms co-located network round-trip reported by Albers et al. [1], they become operationally significant during burst-traffic episodes when message queues back up and the firm that drains its queue fastest recovers an accurate market view before competitors. The principal gap remains the absence of controlled latency comparisons on live cryptocurrency exchanges.</w:t>
      </w:r>
    </w:p>
    <w:p>
      <w:pPr>
        <w:spacing w:after="240"/>
      </w:pPr>
      <w:r>
        <w:rPr>
          <w:rFonts w:ascii="Times New Roman" w:hAnsi="Times New Roman"/>
          <w:b w:val="0"/>
          <w:i w:val="0"/>
          <w:sz w:val="20"/>
        </w:rPr>
        <w:t>Keywords: Cryptocurrency Trading, High-Frequency Trading, Latency Optimization, Proprietary Trading, Order Book Data Structures, Market Microstructure, Low-Latency Systems.</w:t>
      </w:r>
    </w:p>
    <w:p>
      <w:pPr>
        <w:pStyle w:val="Heading1"/>
      </w:pPr>
      <w:r>
        <w:t>1  Introduction</w:t>
      </w:r>
    </w:p>
    <w:p>
      <w:pPr>
        <w:pStyle w:val="BodyText"/>
        <w:ind w:firstLine="0"/>
      </w:pPr>
      <w:r>
        <w:rPr>
          <w:rFonts w:ascii="Times New Roman" w:hAnsi="Times New Roman"/>
          <w:sz w:val="20"/>
        </w:rPr>
        <w:t>Bitcoin trades continuously on dozens of exchanges, most of which operate electronic limit order books structurally similar to those in equity and futures markets [1]. High-frequency trading (HFT), meaning automated strategies that ingest market data, compute a decision, and transmit an order with minimal human intervention, has migrated into these venues. For such strategies, latency, the elapsed time between a trading decision and the execution of the resulting order [2], is not merely a performance metric but a direct determinant of profitability. During the delay, other participants alter the order book; an order that arrives late may fill at a worse price, fail to fill at all, or fill against a counterparty who has already revised their quote [1]. In traditional equity markets, Baron et al. [3] demonstrate that relative latency differences predict trading returns, and Budish et al. [4] show that continuous-time trading incentivises an arms race in speed.</w:t>
      </w:r>
    </w:p>
    <w:p>
      <w:pPr>
        <w:pStyle w:val="BodyText"/>
        <w:ind w:firstLine="283"/>
      </w:pPr>
      <w:r>
        <w:rPr>
          <w:rFonts w:ascii="Times New Roman" w:hAnsi="Times New Roman"/>
          <w:sz w:val="20"/>
        </w:rPr>
        <w:t>However, these findings do not transfer directly to cryptocurrency markets. Bitcoin prices on different exchanges diverge substantially and repeatedly, often along national boundaries that reflect capital controls rather than slow systems [5]. Major exchanges like Binance, Bybit, and OKX run in public cloud data centres and expose REST and WebSocket APIs rather than the co-located binary feeds used in equity markets [1]. Moving Bitcoin between exchanges requires a blockchain transfer confirmed by the consensus protocol, introducing settlement delays orders of magnitude longer than trade execution [6]. Proprietary trading firms entering crypto HFT must therefore understand which latency-reduction techniques from traditional finance carry over, which must be adapted, and which are irrelevant.</w:t>
      </w:r>
    </w:p>
    <w:p>
      <w:pPr>
        <w:pStyle w:val="BodyText"/>
        <w:ind w:firstLine="283"/>
      </w:pPr>
      <w:r>
        <w:rPr>
          <w:rFonts w:ascii="Times New Roman" w:hAnsi="Times New Roman"/>
          <w:sz w:val="20"/>
        </w:rPr>
        <w:t>This paper tries to address that question through a literature review grounded in a specific operational scenario. Instead of surveying techniques in the abstract, we frame each finding around the needs of a representative mid-tier proprietary trading firm, one running market-making and cross-exchange arbitrage strategies on Binance and Bybit from AWS cloud instances. This firm-level framing serves two purposes. First, it forces each technique to be evaluated against a concrete architecture, exposing practical trade-offs that a generic review might gloss over. Second, it lets us estimate the compound effect of multiple optimisations applied together, rather than treating each in isolation.</w:t>
      </w:r>
    </w:p>
    <w:p>
      <w:pPr>
        <w:pStyle w:val="BodyText"/>
        <w:ind w:firstLine="283"/>
      </w:pPr>
      <w:r>
        <w:rPr>
          <w:rFonts w:ascii="Times New Roman" w:hAnsi="Times New Roman"/>
          <w:sz w:val="20"/>
        </w:rPr>
        <w:t>The contribution of this paper is threefold. We synthesise twelve peer-reviewed sources spanning cryptocurrency market microstructure, traditional HFT, and low-latency systems engineering. We provide C and C++ implementations of key techniques, including order-book data structures, message parsers, lock-free queues, memory pools, and a full pipeline integration, with microbenchmarks that produce reproducible, measured evidence of improvement. And we analyse how these improvements interact when applied to a prop firm’s architecture, arguing that their compound effect is operationally meaningful even though each individual saving is small relative to network delay.</w:t>
      </w:r>
    </w:p>
    <w:p>
      <w:pPr>
        <w:pStyle w:val="BodyText"/>
        <w:ind w:firstLine="283"/>
      </w:pPr>
      <w:r>
        <w:rPr>
          <w:rFonts w:ascii="Times New Roman" w:hAnsi="Times New Roman"/>
          <w:sz w:val="20"/>
        </w:rPr>
        <w:t>Section 2 describes the representative firm’s architecture and current latency profile. Section 3 gives background on HFT in cryptocurrency markets. Section 4 decomposes latency into its constituent stages. Section 5 reviews reduction techniques for each stage with implementation code and benchmark evidence. Section 6 analyses the compound effect across the full pipeline. Section 7 compares the reviewed studies. Section 8 identifies limitations and research gaps, and Section 9 concludes.</w:t>
      </w:r>
    </w:p>
    <w:p>
      <w:pPr>
        <w:pStyle w:val="Heading1"/>
      </w:pPr>
      <w:r>
        <w:t>2  The Representative Firm</w:t>
      </w:r>
    </w:p>
    <w:p>
      <w:pPr>
        <w:pStyle w:val="BodyText"/>
        <w:ind w:firstLine="0"/>
      </w:pPr>
      <w:r>
        <w:rPr>
          <w:rFonts w:ascii="Times New Roman" w:hAnsi="Times New Roman"/>
          <w:sz w:val="20"/>
        </w:rPr>
        <w:t>To anchor the review in a specific operational context, we construct a composite profile of a mid-tier proprietary cryptocurrency trading firm drawn from publicly available descriptions of crypto prop-trading operations and the exchange architectures documented by Albers et al. [1]. The firm is not a real entity; it is a plausible configuration that lets us evaluate each technique against a concrete deployment.</w:t>
      </w:r>
    </w:p>
    <w:p>
      <w:pPr>
        <w:pStyle w:val="Heading2"/>
      </w:pPr>
      <w:r>
        <w:t>2.1  Infrastructure</w:t>
      </w:r>
    </w:p>
    <w:p>
      <w:pPr>
        <w:pStyle w:val="BodyText"/>
        <w:ind w:firstLine="0"/>
      </w:pPr>
      <w:r>
        <w:rPr>
          <w:rFonts w:ascii="Times New Roman" w:hAnsi="Times New Roman"/>
          <w:sz w:val="20"/>
        </w:rPr>
        <w:t>The firm trades BTC/USDT perpetual futures and spot pairs on Binance and Bybit. Its servers run on AWS: an EC2 instance in the Tokyo region (ap-northeast-1) for Binance, whose matching engine runs in AWS Tokyo [1], and one in Singapore (ap-southeast-1) for Bybit [1]. Each instance is a c5n.xlarge (4 vCPUs, 10.7 GB, up to 25 Gbps network), chosen for its enhanced networking support. The trading application is written in C++ compiled with GCC and links against libcurl for REST and a lightweight WebSocket library for streaming data. The strategy logic, a combination of market-making and statistical arbitrage across the two exchanges, runs on a separate thread from the market-data receiver.</w:t>
      </w:r>
    </w:p>
    <w:p>
      <w:pPr>
        <w:pStyle w:val="Heading2"/>
      </w:pPr>
      <w:r>
        <w:t>2.2  Current Latency Profile</w:t>
      </w:r>
    </w:p>
    <w:p>
      <w:pPr>
        <w:pStyle w:val="BodyText"/>
        <w:ind w:firstLine="0"/>
      </w:pPr>
      <w:r>
        <w:rPr>
          <w:rFonts w:ascii="Times New Roman" w:hAnsi="Times New Roman"/>
          <w:sz w:val="20"/>
        </w:rPr>
        <w:t>Before any optimisation, the firm’s end-to-end latency, measured from the arrival of a WebSocket depth update to the dispatch of a REST order, breaks down roughly as follows, based on the measurements of Albers et al. [1] for the network components and our own benchmarks (Section 5) for the software components:</w:t>
      </w:r>
    </w:p>
    <w:p>
      <w:pPr>
        <w:spacing w:before="160" w:after="80"/>
      </w:pPr>
      <w:r>
        <w:rPr>
          <w:rFonts w:ascii="Times New Roman" w:hAnsi="Times New Roman"/>
          <w:sz w:val="18"/>
        </w:rPr>
        <w:t>Table 1. Estimated latency breakdown for the representative firm before optimisation.</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r/>
            <w:r>
              <w:rPr>
                <w:rFonts w:ascii="Times New Roman" w:hAnsi="Times New Roman"/>
                <w:b/>
                <w:sz w:val="18"/>
              </w:rPr>
              <w:t>Component</w:t>
            </w:r>
          </w:p>
        </w:tc>
        <w:tc>
          <w:tcPr>
            <w:tcW w:type="dxa" w:w="2946"/>
          </w:tcPr>
          <w:p>
            <w:r/>
            <w:r>
              <w:rPr>
                <w:rFonts w:ascii="Times New Roman" w:hAnsi="Times New Roman"/>
                <w:b/>
                <w:sz w:val="18"/>
              </w:rPr>
              <w:t>Estimated Delay</w:t>
            </w:r>
          </w:p>
        </w:tc>
        <w:tc>
          <w:tcPr>
            <w:tcW w:type="dxa" w:w="2946"/>
          </w:tcPr>
          <w:p>
            <w:r/>
            <w:r>
              <w:rPr>
                <w:rFonts w:ascii="Times New Roman" w:hAnsi="Times New Roman"/>
                <w:b/>
                <w:sz w:val="18"/>
              </w:rPr>
              <w:t>Source</w:t>
            </w:r>
          </w:p>
        </w:tc>
      </w:tr>
      <w:tr>
        <w:tc>
          <w:tcPr>
            <w:tcW w:type="dxa" w:w="2946"/>
          </w:tcPr>
          <w:p>
            <w:r/>
            <w:r>
              <w:rPr>
                <w:rFonts w:ascii="Times New Roman" w:hAnsi="Times New Roman"/>
                <w:sz w:val="18"/>
              </w:rPr>
              <w:t>Network: exchange → server (one-way)</w:t>
            </w:r>
          </w:p>
        </w:tc>
        <w:tc>
          <w:tcPr>
            <w:tcW w:type="dxa" w:w="2946"/>
          </w:tcPr>
          <w:p>
            <w:r/>
            <w:r>
              <w:rPr>
                <w:rFonts w:ascii="Times New Roman" w:hAnsi="Times New Roman"/>
                <w:sz w:val="18"/>
              </w:rPr>
              <w:t>~1 ms (mean), σ ≈ 1 ms</w:t>
            </w:r>
          </w:p>
        </w:tc>
        <w:tc>
          <w:tcPr>
            <w:tcW w:type="dxa" w:w="2946"/>
          </w:tcPr>
          <w:p>
            <w:r/>
            <w:r>
              <w:rPr>
                <w:rFonts w:ascii="Times New Roman" w:hAnsi="Times New Roman"/>
                <w:sz w:val="18"/>
              </w:rPr>
              <w:t>Albers et al. [1]</w:t>
            </w:r>
          </w:p>
        </w:tc>
      </w:tr>
      <w:tr>
        <w:tc>
          <w:tcPr>
            <w:tcW w:type="dxa" w:w="2946"/>
          </w:tcPr>
          <w:p>
            <w:r/>
            <w:r>
              <w:rPr>
                <w:rFonts w:ascii="Times New Roman" w:hAnsi="Times New Roman"/>
                <w:sz w:val="18"/>
              </w:rPr>
              <w:t>Market-data parsing (naive)</w:t>
            </w:r>
          </w:p>
        </w:tc>
        <w:tc>
          <w:tcPr>
            <w:tcW w:type="dxa" w:w="2946"/>
          </w:tcPr>
          <w:p>
            <w:r/>
            <w:r>
              <w:rPr>
                <w:rFonts w:ascii="Times New Roman" w:hAnsi="Times New Roman"/>
                <w:sz w:val="18"/>
              </w:rPr>
              <w:t>~1.6–16 µs per msg</w:t>
            </w:r>
          </w:p>
        </w:tc>
        <w:tc>
          <w:tcPr>
            <w:tcW w:type="dxa" w:w="2946"/>
          </w:tcPr>
          <w:p>
            <w:r/>
            <w:r>
              <w:rPr>
                <w:rFonts w:ascii="Times New Roman" w:hAnsi="Times New Roman"/>
                <w:sz w:val="18"/>
              </w:rPr>
              <w:t>Our benchmarks (Sec. 5.2)</w:t>
            </w:r>
          </w:p>
        </w:tc>
      </w:tr>
      <w:tr>
        <w:tc>
          <w:tcPr>
            <w:tcW w:type="dxa" w:w="2946"/>
          </w:tcPr>
          <w:p>
            <w:r/>
            <w:r>
              <w:rPr>
                <w:rFonts w:ascii="Times New Roman" w:hAnsi="Times New Roman"/>
                <w:sz w:val="18"/>
              </w:rPr>
              <w:t>Order-book update (std::map)</w:t>
            </w:r>
          </w:p>
        </w:tc>
        <w:tc>
          <w:tcPr>
            <w:tcW w:type="dxa" w:w="2946"/>
          </w:tcPr>
          <w:p>
            <w:r/>
            <w:r>
              <w:rPr>
                <w:rFonts w:ascii="Times New Roman" w:hAnsi="Times New Roman"/>
                <w:sz w:val="18"/>
              </w:rPr>
              <w:t>~91–96 ns per level</w:t>
            </w:r>
          </w:p>
        </w:tc>
        <w:tc>
          <w:tcPr>
            <w:tcW w:type="dxa" w:w="2946"/>
          </w:tcPr>
          <w:p>
            <w:r/>
            <w:r>
              <w:rPr>
                <w:rFonts w:ascii="Times New Roman" w:hAnsi="Times New Roman"/>
                <w:sz w:val="18"/>
              </w:rPr>
              <w:t>Our benchmarks (Sec. 5.3)</w:t>
            </w:r>
          </w:p>
        </w:tc>
      </w:tr>
      <w:tr>
        <w:tc>
          <w:tcPr>
            <w:tcW w:type="dxa" w:w="2946"/>
          </w:tcPr>
          <w:p>
            <w:r/>
            <w:r>
              <w:rPr>
                <w:rFonts w:ascii="Times New Roman" w:hAnsi="Times New Roman"/>
                <w:sz w:val="18"/>
              </w:rPr>
              <w:t>Thread hand-off (mutex queue)</w:t>
            </w:r>
          </w:p>
        </w:tc>
        <w:tc>
          <w:tcPr>
            <w:tcW w:type="dxa" w:w="2946"/>
          </w:tcPr>
          <w:p>
            <w:r/>
            <w:r>
              <w:rPr>
                <w:rFonts w:ascii="Times New Roman" w:hAnsi="Times New Roman"/>
                <w:sz w:val="18"/>
              </w:rPr>
              <w:t>~75 ns per message</w:t>
            </w:r>
          </w:p>
        </w:tc>
        <w:tc>
          <w:tcPr>
            <w:tcW w:type="dxa" w:w="2946"/>
          </w:tcPr>
          <w:p>
            <w:r/>
            <w:r>
              <w:rPr>
                <w:rFonts w:ascii="Times New Roman" w:hAnsi="Times New Roman"/>
                <w:sz w:val="18"/>
              </w:rPr>
              <w:t>Our benchmarks (Sec. 5.4)</w:t>
            </w:r>
          </w:p>
        </w:tc>
      </w:tr>
      <w:tr>
        <w:tc>
          <w:tcPr>
            <w:tcW w:type="dxa" w:w="2946"/>
          </w:tcPr>
          <w:p>
            <w:r/>
            <w:r>
              <w:rPr>
                <w:rFonts w:ascii="Times New Roman" w:hAnsi="Times New Roman"/>
                <w:sz w:val="18"/>
              </w:rPr>
              <w:t>Strategy computation</w:t>
            </w:r>
          </w:p>
        </w:tc>
        <w:tc>
          <w:tcPr>
            <w:tcW w:type="dxa" w:w="2946"/>
          </w:tcPr>
          <w:p>
            <w:r/>
            <w:r>
              <w:rPr>
                <w:rFonts w:ascii="Times New Roman" w:hAnsi="Times New Roman"/>
                <w:sz w:val="18"/>
              </w:rPr>
              <w:t>~1–10 µs (estimate)</w:t>
            </w:r>
          </w:p>
        </w:tc>
        <w:tc>
          <w:tcPr>
            <w:tcW w:type="dxa" w:w="2946"/>
          </w:tcPr>
          <w:p>
            <w:r/>
            <w:r>
              <w:rPr>
                <w:rFonts w:ascii="Times New Roman" w:hAnsi="Times New Roman"/>
                <w:sz w:val="18"/>
              </w:rPr>
              <w:t>Varies by strategy</w:t>
            </w:r>
          </w:p>
        </w:tc>
      </w:tr>
      <w:tr>
        <w:tc>
          <w:tcPr>
            <w:tcW w:type="dxa" w:w="2946"/>
          </w:tcPr>
          <w:p>
            <w:r/>
            <w:r>
              <w:rPr>
                <w:rFonts w:ascii="Times New Roman" w:hAnsi="Times New Roman"/>
                <w:sz w:val="18"/>
              </w:rPr>
              <w:t>Order serialisation + send</w:t>
            </w:r>
          </w:p>
        </w:tc>
        <w:tc>
          <w:tcPr>
            <w:tcW w:type="dxa" w:w="2946"/>
          </w:tcPr>
          <w:p>
            <w:r/>
            <w:r>
              <w:rPr>
                <w:rFonts w:ascii="Times New Roman" w:hAnsi="Times New Roman"/>
                <w:sz w:val="18"/>
              </w:rPr>
              <w:t>~1 ms (mean), σ ≈ 1 ms</w:t>
            </w:r>
          </w:p>
        </w:tc>
        <w:tc>
          <w:tcPr>
            <w:tcW w:type="dxa" w:w="2946"/>
          </w:tcPr>
          <w:p>
            <w:r/>
            <w:r>
              <w:rPr>
                <w:rFonts w:ascii="Times New Roman" w:hAnsi="Times New Roman"/>
                <w:sz w:val="18"/>
              </w:rPr>
              <w:t>Albers et al. [1]</w:t>
            </w:r>
          </w:p>
        </w:tc>
      </w:tr>
      <w:tr>
        <w:tc>
          <w:tcPr>
            <w:tcW w:type="dxa" w:w="2946"/>
          </w:tcPr>
          <w:p>
            <w:r/>
            <w:r>
              <w:rPr>
                <w:rFonts w:ascii="Times New Roman" w:hAnsi="Times New Roman"/>
                <w:sz w:val="18"/>
              </w:rPr>
              <w:t>Exchange processing (API → match)</w:t>
            </w:r>
          </w:p>
        </w:tc>
        <w:tc>
          <w:tcPr>
            <w:tcW w:type="dxa" w:w="2946"/>
          </w:tcPr>
          <w:p>
            <w:r/>
            <w:r>
              <w:rPr>
                <w:rFonts w:ascii="Times New Roman" w:hAnsi="Times New Roman"/>
                <w:sz w:val="18"/>
              </w:rPr>
              <w:t>~0.5–2 ms</w:t>
            </w:r>
          </w:p>
        </w:tc>
        <w:tc>
          <w:tcPr>
            <w:tcW w:type="dxa" w:w="2946"/>
          </w:tcPr>
          <w:p>
            <w:r/>
            <w:r>
              <w:rPr>
                <w:rFonts w:ascii="Times New Roman" w:hAnsi="Times New Roman"/>
                <w:sz w:val="18"/>
              </w:rPr>
              <w:t>Albers et al. [1]</w:t>
            </w:r>
          </w:p>
        </w:tc>
      </w:tr>
      <w:tr>
        <w:tc>
          <w:tcPr>
            <w:tcW w:type="dxa" w:w="2946"/>
          </w:tcPr>
          <w:p>
            <w:r/>
            <w:r>
              <w:rPr>
                <w:rFonts w:ascii="Times New Roman" w:hAnsi="Times New Roman"/>
                <w:sz w:val="18"/>
              </w:rPr>
              <w:t>Total round-trip estimate</w:t>
            </w:r>
          </w:p>
        </w:tc>
        <w:tc>
          <w:tcPr>
            <w:tcW w:type="dxa" w:w="2946"/>
          </w:tcPr>
          <w:p>
            <w:r/>
            <w:r>
              <w:rPr>
                <w:rFonts w:ascii="Times New Roman" w:hAnsi="Times New Roman"/>
                <w:sz w:val="18"/>
              </w:rPr>
              <w:t>~4–8 ms typical</w:t>
            </w:r>
          </w:p>
        </w:tc>
        <w:tc>
          <w:tcPr>
            <w:tcW w:type="dxa" w:w="2946"/>
          </w:tcPr>
          <w:p>
            <w:r/>
            <w:r>
              <w:rPr>
                <w:rFonts w:ascii="Times New Roman" w:hAnsi="Times New Roman"/>
                <w:sz w:val="18"/>
              </w:rPr>
              <w:t>Sum of above</w:t>
            </w:r>
          </w:p>
        </w:tc>
      </w:tr>
    </w:tbl>
    <w:p>
      <w:pPr>
        <w:spacing w:after="120"/>
      </w:pPr>
      <w:r>
        <w:rPr>
          <w:rFonts w:ascii="Times New Roman" w:hAnsi="Times New Roman"/>
          <w:b w:val="0"/>
          <w:i w:val="0"/>
          <w:sz w:val="20"/>
        </w:rPr>
      </w:r>
    </w:p>
    <w:p>
      <w:pPr>
        <w:pStyle w:val="BodyText"/>
        <w:ind w:firstLine="283"/>
      </w:pPr>
      <w:r>
        <w:rPr>
          <w:rFonts w:ascii="Times New Roman" w:hAnsi="Times New Roman"/>
          <w:sz w:val="20"/>
        </w:rPr>
        <w:t>Two observations emerge from this decomposition. First, network delay dominates: the ~2 ms mean round-trip between a co-located server and the exchange [1], plus its standard deviation of ~1 ms, accounts for roughly half the total and is largely outside the firm’s control. Second, the software components (parsing, book maintenance, thread communication) are individually small (microseconds) but run on every message. During high-volatility periods, Binance’s WebSocket can deliver hundreds of depth updates per second [15]. At that rate, even single-digit-microsecond savings per message accumulate into milliseconds of queue-processing advantage, a point we quantify in Section 6.</w:t>
      </w:r>
    </w:p>
    <w:p>
      <w:pPr>
        <w:pStyle w:val="Heading1"/>
      </w:pPr>
      <w:r>
        <w:t>3  Background on High-Frequency Cryptocurrency Trading</w:t>
      </w:r>
    </w:p>
    <w:p>
      <w:pPr>
        <w:pStyle w:val="Heading2"/>
      </w:pPr>
      <w:r>
        <w:t>3.1  Strategies and the Role of Speed</w:t>
      </w:r>
    </w:p>
    <w:p>
      <w:pPr>
        <w:pStyle w:val="BodyText"/>
        <w:ind w:firstLine="0"/>
      </w:pPr>
      <w:r>
        <w:rPr>
          <w:rFonts w:ascii="Times New Roman" w:hAnsi="Times New Roman"/>
          <w:sz w:val="20"/>
        </w:rPr>
        <w:t>HFT strategies divide into two broad categories. Market makers post simultaneous buy and sell limit orders and earn the bid–ask spread; their risk is adverse selection, that is, trading against a faster or better-informed counterparty at a stale price [7]. Liquidity takers, including cross-exchange arbitrageurs, submit orders to capture short-lived price dislocations. Speed helps both: market makers use it to cancel stale quotes before they are picked off, and arbitrageurs use it to hit a mispriced level before it disappears [3]. What matters in both cases is relative latency, i.e. being faster than the next competitor, not fast in any absolute sense [3, 4].</w:t>
      </w:r>
    </w:p>
    <w:p>
      <w:pPr>
        <w:pStyle w:val="BodyText"/>
        <w:ind w:firstLine="283"/>
      </w:pPr>
      <w:r>
        <w:rPr>
          <w:rFonts w:ascii="Times New Roman" w:hAnsi="Times New Roman"/>
          <w:sz w:val="20"/>
        </w:rPr>
        <w:t>For our representative firm, what this means is that an optimisation is only valuable if it is not already standard practice among competitors on the same exchange. If every firm co-locates in AWS Tokyo, co-location itself provides no edge; the edge comes from what happens after the packet arrives.</w:t>
      </w:r>
    </w:p>
    <w:p>
      <w:pPr>
        <w:pStyle w:val="Heading2"/>
      </w:pPr>
      <w:r>
        <w:t>3.2  Exchange Architecture</w:t>
      </w:r>
    </w:p>
    <w:p>
      <w:pPr>
        <w:pStyle w:val="BodyText"/>
        <w:ind w:firstLine="0"/>
      </w:pPr>
      <w:r>
        <w:rPr>
          <w:rFonts w:ascii="Times New Roman" w:hAnsi="Times New Roman"/>
          <w:sz w:val="20"/>
        </w:rPr>
        <w:t>A limit order book lists outstanding buy orders (bids) and sell orders (asks) by price. A limit order specifies price and quantity; a market order specifies only quantity and executes against the best available levels. The exchange’s matching engine processes orders sequentially [1]. Traders reconstruct a local copy of the book from market data. On Binance, this data arrives as WebSocket depth snapshots at configurable intervals (100 ms or 1,000 ms for the spot diff-depth stream [15]), aggregated by price level, not individual order. Bybit offers similar feeds. Orders are submitted through REST APIs or WebSocket order channels, and taker orders typically pay higher fees than maker orders [1].</w:t>
      </w:r>
    </w:p>
    <w:p>
      <w:pPr>
        <w:pStyle w:val="Heading2"/>
      </w:pPr>
      <w:r>
        <w:t>3.3  Exchange Trading versus On-Chain Settlement</w:t>
      </w:r>
    </w:p>
    <w:p>
      <w:pPr>
        <w:pStyle w:val="BodyText"/>
        <w:ind w:firstLine="0"/>
      </w:pPr>
      <w:r>
        <w:rPr>
          <w:rFonts w:ascii="Times New Roman" w:hAnsi="Times New Roman"/>
          <w:sz w:val="20"/>
        </w:rPr>
        <w:t>Trades on a centralised exchange are matched internally and do not produce a blockchain transaction. The blockchain only becomes relevant when depositing or withdrawing coins. Hautsch et al. [6] term this settlement latency and show that cross-exchange price differences coincide with high settlement delays, because an arbitrageur holding inventory on one exchange while a transfer confirms on another bears price risk for the duration of the confirmation. For our firm, which runs strategies within a single exchange (market-making) and between two exchanges (arbitrage), settlement latency constrains the arbitrage capital cycle but does not affect the speed of individual trade execution.</w:t>
      </w:r>
    </w:p>
    <w:p>
      <w:pPr>
        <w:pStyle w:val="Heading2"/>
      </w:pPr>
      <w:r>
        <w:t>3.4  Why Low Latency Does Not Guarantee Profit</w:t>
      </w:r>
    </w:p>
    <w:p>
      <w:pPr>
        <w:pStyle w:val="BodyText"/>
        <w:ind w:firstLine="0"/>
      </w:pPr>
      <w:r>
        <w:rPr>
          <w:rFonts w:ascii="Times New Roman" w:hAnsi="Times New Roman"/>
          <w:sz w:val="20"/>
        </w:rPr>
        <w:t>It should be noted that speed is a necessary condition for certain strategies but not a sufficient one. Budish et al. [4] show that when all competitors invest in speed, the equilibrium cost of the arms race can consume the available profit. Albers et al. [1] report that orders expected to be profitable frequently failed to fill or filled at worse prices, while unprofitable orders almost always executed as expected, a selection effect that speed alone does not fix. The price dislocations documented by Makarov and Schoar [5] are far larger across countries than within them, reflecting capital controls, not slow systems. Our firm must therefore evaluate each optimisation not only by its latency saving but by its cost, complexity, and whether competitors have already adopted it.</w:t>
      </w:r>
    </w:p>
    <w:p>
      <w:pPr>
        <w:pStyle w:val="Heading1"/>
      </w:pPr>
      <w:r>
        <w:t>4  Sources of Latency</w:t>
      </w:r>
    </w:p>
    <w:p>
      <w:pPr>
        <w:pStyle w:val="BodyText"/>
        <w:ind w:firstLine="0"/>
      </w:pPr>
      <w:r>
        <w:rPr>
          <w:rFonts w:ascii="Times New Roman" w:hAnsi="Times New Roman"/>
          <w:sz w:val="20"/>
        </w:rPr>
        <w:t>Albers et al. [1] define the latency gap as the time between the order-book snapshot a trader reacts to and the processing of the resulting order in the matching engine. We decompose this gap into five stages, each mapped to the firm’s architecture. Table 2 summarises the stages and the reviewed sources that address each.</w:t>
      </w:r>
    </w:p>
    <w:p>
      <w:pPr>
        <w:spacing w:before="160" w:after="80"/>
      </w:pPr>
      <w:r>
        <w:rPr>
          <w:rFonts w:ascii="Times New Roman" w:hAnsi="Times New Roman"/>
          <w:sz w:val="18"/>
        </w:rPr>
        <w:t>Table 2. Latency stages in the representative firm’s trading pipeline and the reviewed sources addressing each.</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r/>
            <w:r>
              <w:rPr>
                <w:rFonts w:ascii="Times New Roman" w:hAnsi="Times New Roman"/>
                <w:b/>
                <w:sz w:val="18"/>
              </w:rPr>
              <w:t>Stage</w:t>
            </w:r>
          </w:p>
        </w:tc>
        <w:tc>
          <w:tcPr>
            <w:tcW w:type="dxa" w:w="2946"/>
          </w:tcPr>
          <w:p>
            <w:r/>
            <w:r>
              <w:rPr>
                <w:rFonts w:ascii="Times New Roman" w:hAnsi="Times New Roman"/>
                <w:b/>
                <w:sz w:val="18"/>
              </w:rPr>
              <w:t>Description</w:t>
            </w:r>
          </w:p>
        </w:tc>
        <w:tc>
          <w:tcPr>
            <w:tcW w:type="dxa" w:w="2946"/>
          </w:tcPr>
          <w:p>
            <w:r/>
            <w:r>
              <w:rPr>
                <w:rFonts w:ascii="Times New Roman" w:hAnsi="Times New Roman"/>
                <w:b/>
                <w:sz w:val="18"/>
              </w:rPr>
              <w:t>Key sources</w:t>
            </w:r>
          </w:p>
        </w:tc>
      </w:tr>
      <w:tr>
        <w:tc>
          <w:tcPr>
            <w:tcW w:type="dxa" w:w="2946"/>
          </w:tcPr>
          <w:p>
            <w:r/>
            <w:r>
              <w:rPr>
                <w:rFonts w:ascii="Times New Roman" w:hAnsi="Times New Roman"/>
                <w:sz w:val="18"/>
              </w:rPr>
              <w:t>Network transmission</w:t>
            </w:r>
          </w:p>
        </w:tc>
        <w:tc>
          <w:tcPr>
            <w:tcW w:type="dxa" w:w="2946"/>
          </w:tcPr>
          <w:p>
            <w:r/>
            <w:r>
              <w:rPr>
                <w:rFonts w:ascii="Times New Roman" w:hAnsi="Times New Roman"/>
                <w:sz w:val="18"/>
              </w:rPr>
              <w:t>Physical distance, routing, cloud jitter</w:t>
            </w:r>
          </w:p>
        </w:tc>
        <w:tc>
          <w:tcPr>
            <w:tcW w:type="dxa" w:w="2946"/>
          </w:tcPr>
          <w:p>
            <w:r/>
            <w:r>
              <w:rPr>
                <w:rFonts w:ascii="Times New Roman" w:hAnsi="Times New Roman"/>
                <w:sz w:val="18"/>
              </w:rPr>
              <w:t>[1], [3], [7], [9]</w:t>
            </w:r>
          </w:p>
        </w:tc>
      </w:tr>
      <w:tr>
        <w:tc>
          <w:tcPr>
            <w:tcW w:type="dxa" w:w="2946"/>
          </w:tcPr>
          <w:p>
            <w:r/>
            <w:r>
              <w:rPr>
                <w:rFonts w:ascii="Times New Roman" w:hAnsi="Times New Roman"/>
                <w:sz w:val="18"/>
              </w:rPr>
              <w:t>Market-data processing</w:t>
            </w:r>
          </w:p>
        </w:tc>
        <w:tc>
          <w:tcPr>
            <w:tcW w:type="dxa" w:w="2946"/>
          </w:tcPr>
          <w:p>
            <w:r/>
            <w:r>
              <w:rPr>
                <w:rFonts w:ascii="Times New Roman" w:hAnsi="Times New Roman"/>
                <w:sz w:val="18"/>
              </w:rPr>
              <w:t>Decode WebSocket frames, parse JSON depth</w:t>
            </w:r>
          </w:p>
        </w:tc>
        <w:tc>
          <w:tcPr>
            <w:tcW w:type="dxa" w:w="2946"/>
          </w:tcPr>
          <w:p>
            <w:r/>
            <w:r>
              <w:rPr>
                <w:rFonts w:ascii="Times New Roman" w:hAnsi="Times New Roman"/>
                <w:sz w:val="18"/>
              </w:rPr>
              <w:t>[1], [10], [11], [15]</w:t>
            </w:r>
          </w:p>
        </w:tc>
      </w:tr>
      <w:tr>
        <w:tc>
          <w:tcPr>
            <w:tcW w:type="dxa" w:w="2946"/>
          </w:tcPr>
          <w:p>
            <w:r/>
            <w:r>
              <w:rPr>
                <w:rFonts w:ascii="Times New Roman" w:hAnsi="Times New Roman"/>
                <w:sz w:val="18"/>
              </w:rPr>
              <w:t>Order-book maintenance</w:t>
            </w:r>
          </w:p>
        </w:tc>
        <w:tc>
          <w:tcPr>
            <w:tcW w:type="dxa" w:w="2946"/>
          </w:tcPr>
          <w:p>
            <w:r/>
            <w:r>
              <w:rPr>
                <w:rFonts w:ascii="Times New Roman" w:hAnsi="Times New Roman"/>
                <w:sz w:val="18"/>
              </w:rPr>
              <w:t>Apply updates, track best bid/ask</w:t>
            </w:r>
          </w:p>
        </w:tc>
        <w:tc>
          <w:tcPr>
            <w:tcW w:type="dxa" w:w="2946"/>
          </w:tcPr>
          <w:p>
            <w:r/>
            <w:r>
              <w:rPr>
                <w:rFonts w:ascii="Times New Roman" w:hAnsi="Times New Roman"/>
                <w:sz w:val="18"/>
              </w:rPr>
              <w:t>[1], [10], [14]</w:t>
            </w:r>
          </w:p>
        </w:tc>
      </w:tr>
      <w:tr>
        <w:tc>
          <w:tcPr>
            <w:tcW w:type="dxa" w:w="2946"/>
          </w:tcPr>
          <w:p>
            <w:r/>
            <w:r>
              <w:rPr>
                <w:rFonts w:ascii="Times New Roman" w:hAnsi="Times New Roman"/>
                <w:sz w:val="18"/>
              </w:rPr>
              <w:t>Inter-thread communication</w:t>
            </w:r>
          </w:p>
        </w:tc>
        <w:tc>
          <w:tcPr>
            <w:tcW w:type="dxa" w:w="2946"/>
          </w:tcPr>
          <w:p>
            <w:r/>
            <w:r>
              <w:rPr>
                <w:rFonts w:ascii="Times New Roman" w:hAnsi="Times New Roman"/>
                <w:sz w:val="18"/>
              </w:rPr>
              <w:t>Pass parsed data to strategy thread</w:t>
            </w:r>
          </w:p>
        </w:tc>
        <w:tc>
          <w:tcPr>
            <w:tcW w:type="dxa" w:w="2946"/>
          </w:tcPr>
          <w:p>
            <w:r/>
            <w:r>
              <w:rPr>
                <w:rFonts w:ascii="Times New Roman" w:hAnsi="Times New Roman"/>
                <w:sz w:val="18"/>
              </w:rPr>
              <w:t>[16]</w:t>
            </w:r>
          </w:p>
        </w:tc>
      </w:tr>
      <w:tr>
        <w:tc>
          <w:tcPr>
            <w:tcW w:type="dxa" w:w="2946"/>
          </w:tcPr>
          <w:p>
            <w:r/>
            <w:r>
              <w:rPr>
                <w:rFonts w:ascii="Times New Roman" w:hAnsi="Times New Roman"/>
                <w:sz w:val="18"/>
              </w:rPr>
              <w:t>Exchange execution</w:t>
            </w:r>
          </w:p>
        </w:tc>
        <w:tc>
          <w:tcPr>
            <w:tcW w:type="dxa" w:w="2946"/>
          </w:tcPr>
          <w:p>
            <w:r/>
            <w:r>
              <w:rPr>
                <w:rFonts w:ascii="Times New Roman" w:hAnsi="Times New Roman"/>
                <w:sz w:val="18"/>
              </w:rPr>
              <w:t>API layer, matching engine, rate limits</w:t>
            </w:r>
          </w:p>
        </w:tc>
        <w:tc>
          <w:tcPr>
            <w:tcW w:type="dxa" w:w="2946"/>
          </w:tcPr>
          <w:p>
            <w:r/>
            <w:r>
              <w:rPr>
                <w:rFonts w:ascii="Times New Roman" w:hAnsi="Times New Roman"/>
                <w:sz w:val="18"/>
              </w:rPr>
              <w:t>[1], [9]</w:t>
            </w:r>
          </w:p>
        </w:tc>
      </w:tr>
    </w:tbl>
    <w:p>
      <w:pPr>
        <w:spacing w:after="120"/>
      </w:pPr>
      <w:r>
        <w:rPr>
          <w:rFonts w:ascii="Times New Roman" w:hAnsi="Times New Roman"/>
          <w:b w:val="0"/>
          <w:i w:val="0"/>
          <w:sz w:val="20"/>
        </w:rPr>
      </w:r>
    </w:p>
    <w:p>
      <w:pPr>
        <w:pStyle w:val="Heading2"/>
      </w:pPr>
      <w:r>
        <w:t>4.1  Network Latency</w:t>
      </w:r>
    </w:p>
    <w:p>
      <w:pPr>
        <w:pStyle w:val="BodyText"/>
        <w:ind w:firstLine="0"/>
      </w:pPr>
      <w:r>
        <w:rPr>
          <w:rFonts w:ascii="Times New Roman" w:hAnsi="Times New Roman"/>
          <w:sz w:val="20"/>
        </w:rPr>
        <w:t>Network latency depends on physical distance, routing path, and congestion. Its message-to-message variation, commonly called jitter, is the core challenge for cloud-hosted systems. Traditional exchanges sell co-location: rack space inside the exchange’s data centre, with cross-connect cables measured in metres. Co-location upgrades on equity venues have been linked to improved trading performance [3] and reduced adverse selection for market makers [7]. Cryptocurrency exchanges do not offer physical co-location; instead, a firm rents a server in the same AWS region as the exchange. Even from within the same region, Albers et al. [1] measured an average message send time of approximately 2 ms with a standard deviation of approximately 1 ms, which means the one-way trip is stochastic and cannot be reduced below roughly 1 ms by any client-side technique. Cloud networks are inherently non-deterministic because packets traverse shared switches and compete with other tenants’ traffic [9].</w:t>
      </w:r>
    </w:p>
    <w:p>
      <w:pPr>
        <w:pStyle w:val="Heading2"/>
      </w:pPr>
      <w:r>
        <w:t>4.2  Market-Data Processing</w:t>
      </w:r>
    </w:p>
    <w:p>
      <w:pPr>
        <w:pStyle w:val="BodyText"/>
        <w:ind w:firstLine="0"/>
      </w:pPr>
      <w:r>
        <w:rPr>
          <w:rFonts w:ascii="Times New Roman" w:hAnsi="Times New Roman"/>
          <w:sz w:val="20"/>
        </w:rPr>
        <w:t>Each incoming WebSocket message must be decoded from its wire format (a WebSocket frame wrapping a JSON payload), parsed into structured fields, and applied to the local order book. For traditional exchange feeds this means looking up the instrument identifier and updating its price-level record for every message [10]; parsing financial-protocol messages is a core part of the latency budget [11]. On Binance and Bybit, an additional constraint is the snapshot interval: the diff-depth stream delivers updates at 100 ms or 1,000 ms intervals [15], so the trader’s view of the book is always at least that old regardless of how fast the parsing runs. Under heavy load, Albers et al. [1] observed that public and private feeds can fall out of synchronisation.</w:t>
      </w:r>
    </w:p>
    <w:p>
      <w:pPr>
        <w:pStyle w:val="Heading2"/>
      </w:pPr>
      <w:r>
        <w:t>4.3  Software and Computational Latency</w:t>
      </w:r>
    </w:p>
    <w:p>
      <w:pPr>
        <w:pStyle w:val="BodyText"/>
        <w:ind w:firstLine="0"/>
      </w:pPr>
      <w:r>
        <w:rPr>
          <w:rFonts w:ascii="Times New Roman" w:hAnsi="Times New Roman"/>
          <w:sz w:val="20"/>
        </w:rPr>
        <w:t>The hardware-accelerated trading literature describes software trading platforms as having high and unpredictable latency [11], in the order of tens of microseconds [10], without isolating specific causes. Commonly cited contributors include language-runtime overhead, heap allocation, garbage collection, thread contention, and OS scheduling, but these are general engineering concerns rather than findings specific to trading. None of the twelve reviewed sources measures them in a live cryptocurrency-trading setting. Albers et al. [1] note that the firm in their study spread load across multiple CPUs and avoided swapping, but do not report the resulting processing time.</w:t>
      </w:r>
    </w:p>
    <w:p>
      <w:pPr>
        <w:pStyle w:val="Heading2"/>
      </w:pPr>
      <w:r>
        <w:t>4.4  Exchange Execution and API Latency</w:t>
      </w:r>
    </w:p>
    <w:p>
      <w:pPr>
        <w:pStyle w:val="BodyText"/>
        <w:ind w:firstLine="0"/>
      </w:pPr>
      <w:r>
        <w:rPr>
          <w:rFonts w:ascii="Times New Roman" w:hAnsi="Times New Roman"/>
          <w:sz w:val="20"/>
        </w:rPr>
        <w:t>After an order reaches the exchange, it passes through the API layer (authentication, rate-limit check, parameter validation) before entering the matching engine. Albers et al. [1] recorded separate exchange-side timestamps for these steps and found that the delay varied between exchanges and could not be controlled by the trader. Our firm faces additional constraints: Binance enforces request-weight limits that cap the number of orders per minute, and aggressive trading patterns risk temporary IP bans [1]. These are hard boundaries that no client-side optimisation can move.</w:t>
      </w:r>
    </w:p>
    <w:p>
      <w:pPr>
        <w:pStyle w:val="Heading2"/>
      </w:pPr>
      <w:r>
        <w:t>4.5  Blockchain Settlement</w:t>
      </w:r>
    </w:p>
    <w:p>
      <w:pPr>
        <w:pStyle w:val="BodyText"/>
        <w:ind w:firstLine="0"/>
      </w:pPr>
      <w:r>
        <w:rPr>
          <w:rFonts w:ascii="Times New Roman" w:hAnsi="Times New Roman"/>
          <w:sz w:val="20"/>
        </w:rPr>
        <w:t>Settlement latency does not affect the speed of a single trade on a centralised exchange, but it constrains the firm’s capital allocation across exchanges. Hautsch et al. [6] show that cross-exchange price differences widen during periods of high Bitcoin settlement latency because the arbitrageur bears price risk while a transfer is pending. Settlement time is governed by the consensus protocol and network propagation [6, 8] and spans minutes to hours, far beyond the millisecond scale of trading latency.</w:t>
      </w:r>
    </w:p>
    <w:p>
      <w:pPr>
        <w:pStyle w:val="Heading1"/>
      </w:pPr>
      <w:r>
        <w:t>5  Latency-Reduction Techniques: Review and Evidence</w:t>
      </w:r>
    </w:p>
    <w:p>
      <w:pPr>
        <w:pStyle w:val="BodyText"/>
        <w:ind w:firstLine="0"/>
      </w:pPr>
      <w:r>
        <w:rPr>
          <w:rFonts w:ascii="Times New Roman" w:hAnsi="Times New Roman"/>
          <w:sz w:val="20"/>
        </w:rPr>
        <w:t>This section reviews techniques for each latency stage, provides C17 and C++20 implementations, and reports microbenchmark results measured on an Intel Core i5-7400 (3.0 GHz, 4 cores, 16 GB) under Windows 10 with GCC 16.1.0 at -O2 optimisation. All timing uses a monotonic clock (QueryPerformanceCounter on Windows, CLOCK_MONOTONIC on Linux). Operations are timed in batches of 50–100 calls because a single call can be shorter than the clock’s 100 ns resolution, and we report the median (p50), 95th percentile (p95), and 99th percentile (p99) across batch means, following the tail-latency methodology of Dean and Barroso [13]. Each program was run five times; we report the median of each statistic. Both variants in a comparison process identical synthetic input, and the programs verify that their results agree.</w:t>
      </w:r>
    </w:p>
    <w:p>
      <w:pPr>
        <w:pStyle w:val="BodyText"/>
        <w:ind w:firstLine="283"/>
      </w:pPr>
      <w:r>
        <w:rPr>
          <w:rFonts w:ascii="Times New Roman" w:hAnsi="Times New Roman"/>
          <w:sz w:val="20"/>
        </w:rPr>
        <w:t>Four kinds of statement should be kept apart throughout this section: findings from cited research, established engineering principles, illustrative code written for this paper, and timing figures measured on our test machine. The code is not a trading system; all market data is generated synthetically, no network connections are opened, and no orders can be placed. Full compilable source accompanies the paper (latency_examples.c, latency_examples.cpp, advanced_examples.cpp).</w:t>
      </w:r>
    </w:p>
    <w:p>
      <w:pPr>
        <w:pStyle w:val="Heading2"/>
      </w:pPr>
      <w:r>
        <w:t>5.1  Network and Infrastructure Optimisation</w:t>
      </w:r>
    </w:p>
    <w:p>
      <w:pPr>
        <w:pStyle w:val="BodyText"/>
        <w:ind w:firstLine="0"/>
      </w:pPr>
      <w:r>
        <w:rPr>
          <w:rFonts w:ascii="Times New Roman" w:hAnsi="Times New Roman"/>
          <w:sz w:val="20"/>
        </w:rPr>
        <w:t>Co-location, i.e. placing the trading server in the same cloud region and availability zone as the exchange, is the single best-supported technique in the reviewed literature. In equity markets, Baron et al. [3] show that firms whose latency rank improved through co-location upgrades earned higher returns, and Brogaard et al. [7] report that the optional co-location upgrade at NASDAQ OMX Stockholm was adopted primarily by market makers seeking to reduce adverse selection. For our firm, this means AWS Tokyo for Binance and AWS Singapore for Bybit [1].</w:t>
      </w:r>
    </w:p>
    <w:p>
      <w:pPr>
        <w:pStyle w:val="BodyText"/>
        <w:ind w:firstLine="283"/>
      </w:pPr>
      <w:r>
        <w:rPr>
          <w:rFonts w:ascii="Times New Roman" w:hAnsi="Times New Roman"/>
          <w:sz w:val="20"/>
        </w:rPr>
        <w:t>Beyond region selection, client-side network tuning can shave latency at the margins. Listing 1 shows the socket options the firm’s trading application should set. TCP_NODELAY disables Nagle’s algorithm, which otherwise buffers small writes and can add up to 200 ms of delay on a quiet connection. SO_RCVBUF and SO_SNDBUF increase the kernel buffer to reduce the risk of packet drops under burst traffic. TCP_QUICKACK (Linux-specific) disables delayed acknowledgements, which otherwise wait up to 40 ms before acknowledging a packet.</w:t>
      </w:r>
    </w:p>
    <w:p>
      <w:pPr>
        <w:spacing w:before="120" w:after="60"/>
      </w:pPr>
      <w:r>
        <w:rPr>
          <w:rFonts w:ascii="Times New Roman" w:hAnsi="Times New Roman"/>
          <w:i/>
          <w:sz w:val="18"/>
        </w:rPr>
        <w:t>Listing 1. TCP socket options for low-latency connections.</w:t>
      </w:r>
    </w:p>
    <w:p>
      <w:pPr>
        <w:spacing w:before="0" w:after="0" w:line="220" w:lineRule="exact"/>
      </w:pPr>
      <w:r>
        <w:rPr>
          <w:rFonts w:ascii="Courier New" w:hAnsi="Courier New"/>
          <w:sz w:val="16"/>
        </w:rPr>
        <w:t>/* Listing 1. TCP socket configuration for low-latency trading (C, POSIX). */</w:t>
      </w:r>
    </w:p>
    <w:p>
      <w:pPr>
        <w:spacing w:before="0" w:after="0" w:line="220" w:lineRule="exact"/>
      </w:pPr>
      <w:r>
        <w:rPr>
          <w:rFonts w:ascii="Courier New" w:hAnsi="Courier New"/>
          <w:sz w:val="16"/>
        </w:rPr>
        <w:t>#include &lt;netinet/tcp.h&gt;</w:t>
      </w:r>
    </w:p>
    <w:p>
      <w:pPr>
        <w:spacing w:before="0" w:after="0" w:line="220" w:lineRule="exact"/>
      </w:pPr>
      <w:r>
        <w:rPr>
          <w:rFonts w:ascii="Courier New" w:hAnsi="Courier New"/>
          <w:sz w:val="16"/>
        </w:rPr>
        <w:t>#include &lt;sys/socket.h&gt;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int configure_trading_socket(int fd) {</w:t>
      </w:r>
    </w:p>
    <w:p>
      <w:pPr>
        <w:spacing w:before="0" w:after="0" w:line="220" w:lineRule="exact"/>
      </w:pPr>
      <w:r>
        <w:rPr>
          <w:rFonts w:ascii="Courier New" w:hAnsi="Courier New"/>
          <w:sz w:val="16"/>
        </w:rPr>
        <w:t xml:space="preserve">    int one = 1;</w:t>
      </w:r>
    </w:p>
    <w:p>
      <w:pPr>
        <w:spacing w:before="0" w:after="0" w:line="220" w:lineRule="exact"/>
      </w:pPr>
      <w:r>
        <w:rPr>
          <w:rFonts w:ascii="Courier New" w:hAnsi="Courier New"/>
          <w:sz w:val="16"/>
        </w:rPr>
        <w:t xml:space="preserve">    /* Disable Nagle: send small packets immediately. */</w:t>
      </w:r>
    </w:p>
    <w:p>
      <w:pPr>
        <w:spacing w:before="0" w:after="0" w:line="220" w:lineRule="exact"/>
      </w:pPr>
      <w:r>
        <w:rPr>
          <w:rFonts w:ascii="Courier New" w:hAnsi="Courier New"/>
          <w:sz w:val="16"/>
        </w:rPr>
        <w:t xml:space="preserve">    if (setsockopt(fd, IPPROTO_TCP, TCP_NODELAY, &amp;one, sizeof one) &lt; 0)</w:t>
      </w:r>
    </w:p>
    <w:p>
      <w:pPr>
        <w:spacing w:before="0" w:after="0" w:line="220" w:lineRule="exact"/>
      </w:pPr>
      <w:r>
        <w:rPr>
          <w:rFonts w:ascii="Courier New" w:hAnsi="Courier New"/>
          <w:sz w:val="16"/>
        </w:rPr>
        <w:t xml:space="preserve">        return -1;</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 Increase receive buffer to 4 MB for burst absorption. */</w:t>
      </w:r>
    </w:p>
    <w:p>
      <w:pPr>
        <w:spacing w:before="0" w:after="0" w:line="220" w:lineRule="exact"/>
      </w:pPr>
      <w:r>
        <w:rPr>
          <w:rFonts w:ascii="Courier New" w:hAnsi="Courier New"/>
          <w:sz w:val="16"/>
        </w:rPr>
        <w:t xml:space="preserve">    int bufsize = 4 * 1024 * 1024;</w:t>
      </w:r>
    </w:p>
    <w:p>
      <w:pPr>
        <w:spacing w:before="0" w:after="0" w:line="220" w:lineRule="exact"/>
      </w:pPr>
      <w:r>
        <w:rPr>
          <w:rFonts w:ascii="Courier New" w:hAnsi="Courier New"/>
          <w:sz w:val="16"/>
        </w:rPr>
        <w:t xml:space="preserve">    setsockopt(fd, SOL_SOCKET, SO_RCVBUF, &amp;bufsize, sizeof bufsize);</w:t>
      </w:r>
    </w:p>
    <w:p>
      <w:pPr>
        <w:spacing w:before="0" w:after="0" w:line="220" w:lineRule="exact"/>
      </w:pPr>
      <w:r>
        <w:rPr>
          <w:rFonts w:ascii="Courier New" w:hAnsi="Courier New"/>
          <w:sz w:val="16"/>
        </w:rPr>
        <w:t xml:space="preserve">    setsockopt(fd, SOL_SOCKET, SO_SNDBUF, &amp;bufsize, sizeof bufsize);</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#ifdef TCP_QUICKACK</w:t>
      </w:r>
    </w:p>
    <w:p>
      <w:pPr>
        <w:spacing w:before="0" w:after="0" w:line="220" w:lineRule="exact"/>
      </w:pPr>
      <w:r>
        <w:rPr>
          <w:rFonts w:ascii="Courier New" w:hAnsi="Courier New"/>
          <w:sz w:val="16"/>
        </w:rPr>
        <w:t xml:space="preserve">    /* Disable delayed ACKs (Linux only). Must be re-set after</w:t>
      </w:r>
    </w:p>
    <w:p>
      <w:pPr>
        <w:spacing w:before="0" w:after="0" w:line="220" w:lineRule="exact"/>
      </w:pPr>
      <w:r>
        <w:rPr>
          <w:rFonts w:ascii="Courier New" w:hAnsi="Courier New"/>
          <w:sz w:val="16"/>
        </w:rPr>
        <w:t xml:space="preserve">     * each recv() because the kernel resets it. */</w:t>
      </w:r>
    </w:p>
    <w:p>
      <w:pPr>
        <w:spacing w:before="0" w:after="0" w:line="220" w:lineRule="exact"/>
      </w:pPr>
      <w:r>
        <w:rPr>
          <w:rFonts w:ascii="Courier New" w:hAnsi="Courier New"/>
          <w:sz w:val="16"/>
        </w:rPr>
        <w:t xml:space="preserve">    setsockopt(fd, IPPROTO_TCP, TCP_QUICKACK, &amp;one, sizeof one);</w:t>
      </w:r>
    </w:p>
    <w:p>
      <w:pPr>
        <w:spacing w:before="0" w:after="0" w:line="220" w:lineRule="exact"/>
      </w:pPr>
      <w:r>
        <w:rPr>
          <w:rFonts w:ascii="Courier New" w:hAnsi="Courier New"/>
          <w:sz w:val="16"/>
        </w:rPr>
        <w:t>#endif</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return 0;</w:t>
      </w:r>
    </w:p>
    <w:p>
      <w:pPr>
        <w:spacing w:before="0" w:after="0" w:line="220" w:lineRule="exact"/>
      </w:pPr>
      <w:r>
        <w:rPr>
          <w:rFonts w:ascii="Courier New" w:hAnsi="Courier New"/>
          <w:sz w:val="16"/>
        </w:rPr>
        <w:t>}</w:t>
      </w:r>
    </w:p>
    <w:p>
      <w:pPr>
        <w:pStyle w:val="BodyText"/>
        <w:ind w:firstLine="283"/>
      </w:pPr>
      <w:r>
        <w:rPr>
          <w:rFonts w:ascii="Times New Roman" w:hAnsi="Times New Roman"/>
          <w:sz w:val="20"/>
        </w:rPr>
        <w:t>These settings are fairly standard in equity HFT [11] and add no cost beyond a few lines of code. Their effect cannot be benchmarked without a live network path to the exchange, but disabling Nagle’s algorithm is documented to eliminate artificial 200 ms delays on small writes, and enlarging the receive buffer reduces the probability of kernel-level packet drops during traffic bursts.</w:t>
      </w:r>
    </w:p>
    <w:p>
      <w:pPr>
        <w:pStyle w:val="BodyText"/>
        <w:ind w:firstLine="283"/>
      </w:pPr>
      <w:r>
        <w:rPr>
          <w:rFonts w:ascii="Times New Roman" w:hAnsi="Times New Roman"/>
          <w:sz w:val="20"/>
        </w:rPr>
        <w:t>A second class of techniques shortens the packet path inside the server. Kernel bypass (DPDK, Solarflare OpenOnload) lets the application access the network hardware directly, removing the kernel’s TCP/IP stack from the critical path. The eXpress Data Path (XDP) [12] achieves a lighter-weight form by running packet-processing programs inside the Linux kernel, reaching 24 million packets per second on a single core. However, this is a throughput figure for routing and load balancing, not a latency measurement for trading. For our firm, kernel bypass is complicated by the fact that exchange APIs run over TLS-encrypted WebSockets; bypassing the kernel does not bypass the TLS handshake or the exchange’s application-layer protocol.</w:t>
      </w:r>
    </w:p>
    <w:p>
      <w:pPr>
        <w:pStyle w:val="BodyText"/>
        <w:ind w:firstLine="283"/>
      </w:pPr>
      <w:r>
        <w:rPr>
          <w:rFonts w:ascii="Times New Roman" w:hAnsi="Times New Roman"/>
          <w:sz w:val="20"/>
        </w:rPr>
        <w:t>A more practical network-level optimisation, and one that is easier to implement, is persistent connection management. Listing 2 shows the principle: maintain a single long-lived WebSocket connection per data stream, with automatic reconnection and a heartbeat that keeps the TCP session alive through cloud load balancers. Opening a new TLS connection costs a full round-trip handshake (1–3 ms in the same region), so a dropped connection that takes even one second to detect and re-establish means hundreds of missed messages.</w:t>
      </w:r>
    </w:p>
    <w:p>
      <w:pPr>
        <w:spacing w:before="120" w:after="60"/>
      </w:pPr>
      <w:r>
        <w:rPr>
          <w:rFonts w:ascii="Times New Roman" w:hAnsi="Times New Roman"/>
          <w:i/>
          <w:sz w:val="18"/>
        </w:rPr>
        <w:t>Listing 2. Persistent WebSocket connection with keepalive ping.</w:t>
      </w:r>
    </w:p>
    <w:p>
      <w:pPr>
        <w:spacing w:before="0" w:after="0" w:line="220" w:lineRule="exact"/>
      </w:pPr>
      <w:r>
        <w:rPr>
          <w:rFonts w:ascii="Courier New" w:hAnsi="Courier New"/>
          <w:sz w:val="16"/>
        </w:rPr>
        <w:t>/* Listing 2. Persistent WebSocket connection structure (C, simplified). */</w:t>
      </w:r>
    </w:p>
    <w:p>
      <w:pPr>
        <w:spacing w:before="0" w:after="0" w:line="220" w:lineRule="exact"/>
      </w:pPr>
      <w:r>
        <w:rPr>
          <w:rFonts w:ascii="Courier New" w:hAnsi="Courier New"/>
          <w:sz w:val="16"/>
        </w:rPr>
        <w:t>typedef struct {</w:t>
      </w:r>
    </w:p>
    <w:p>
      <w:pPr>
        <w:spacing w:before="0" w:after="0" w:line="220" w:lineRule="exact"/>
      </w:pPr>
      <w:r>
        <w:rPr>
          <w:rFonts w:ascii="Courier New" w:hAnsi="Courier New"/>
          <w:sz w:val="16"/>
        </w:rPr>
        <w:t xml:space="preserve">    int              fd;           /* underlying TCP socket        */</w:t>
      </w:r>
    </w:p>
    <w:p>
      <w:pPr>
        <w:spacing w:before="0" w:after="0" w:line="220" w:lineRule="exact"/>
      </w:pPr>
      <w:r>
        <w:rPr>
          <w:rFonts w:ascii="Courier New" w:hAnsi="Courier New"/>
          <w:sz w:val="16"/>
        </w:rPr>
        <w:t xml:space="preserve">    uint64_t         last_pong_ns; /* timestamp of last pong       */</w:t>
      </w:r>
    </w:p>
    <w:p>
      <w:pPr>
        <w:spacing w:before="0" w:after="0" w:line="220" w:lineRule="exact"/>
      </w:pPr>
      <w:r>
        <w:rPr>
          <w:rFonts w:ascii="Courier New" w:hAnsi="Courier New"/>
          <w:sz w:val="16"/>
        </w:rPr>
        <w:t xml:space="preserve">    uint64_t         ping_iv_ns;   /* ping interval (e.g. 15 sec)  */</w:t>
      </w:r>
    </w:p>
    <w:p>
      <w:pPr>
        <w:spacing w:before="0" w:after="0" w:line="220" w:lineRule="exact"/>
      </w:pPr>
      <w:r>
        <w:rPr>
          <w:rFonts w:ascii="Courier New" w:hAnsi="Courier New"/>
          <w:sz w:val="16"/>
        </w:rPr>
        <w:t xml:space="preserve">    unsigned char    recv_buf[65536];</w:t>
      </w:r>
    </w:p>
    <w:p>
      <w:pPr>
        <w:spacing w:before="0" w:after="0" w:line="220" w:lineRule="exact"/>
      </w:pPr>
      <w:r>
        <w:rPr>
          <w:rFonts w:ascii="Courier New" w:hAnsi="Courier New"/>
          <w:sz w:val="16"/>
        </w:rPr>
        <w:t xml:space="preserve">    size_t           recv_len;</w:t>
      </w:r>
    </w:p>
    <w:p>
      <w:pPr>
        <w:spacing w:before="0" w:after="0" w:line="220" w:lineRule="exact"/>
      </w:pPr>
      <w:r>
        <w:rPr>
          <w:rFonts w:ascii="Courier New" w:hAnsi="Courier New"/>
          <w:sz w:val="16"/>
        </w:rPr>
        <w:t xml:space="preserve">    int              connected;</w:t>
      </w:r>
    </w:p>
    <w:p>
      <w:pPr>
        <w:spacing w:before="0" w:after="0" w:line="220" w:lineRule="exact"/>
      </w:pPr>
      <w:r>
        <w:rPr>
          <w:rFonts w:ascii="Courier New" w:hAnsi="Courier New"/>
          <w:sz w:val="16"/>
        </w:rPr>
        <w:t>} ws_conn_t;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Send a WebSocket ping frame if the interval has elapsed.</w:t>
      </w:r>
    </w:p>
    <w:p>
      <w:pPr>
        <w:spacing w:before="0" w:after="0" w:line="220" w:lineRule="exact"/>
      </w:pPr>
      <w:r>
        <w:rPr>
          <w:rFonts w:ascii="Courier New" w:hAnsi="Courier New"/>
          <w:sz w:val="16"/>
        </w:rPr>
        <w:t xml:space="preserve"> * Binance terminates idle connections after 24 hours; most</w:t>
      </w:r>
    </w:p>
    <w:p>
      <w:pPr>
        <w:spacing w:before="0" w:after="0" w:line="220" w:lineRule="exact"/>
      </w:pPr>
      <w:r>
        <w:rPr>
          <w:rFonts w:ascii="Courier New" w:hAnsi="Courier New"/>
          <w:sz w:val="16"/>
        </w:rPr>
        <w:t xml:space="preserve"> * cloud load balancers time out in 60-350 seconds. */</w:t>
      </w:r>
    </w:p>
    <w:p>
      <w:pPr>
        <w:spacing w:before="0" w:after="0" w:line="220" w:lineRule="exact"/>
      </w:pPr>
      <w:r>
        <w:rPr>
          <w:rFonts w:ascii="Courier New" w:hAnsi="Courier New"/>
          <w:sz w:val="16"/>
        </w:rPr>
        <w:t>int ws_maybe_ping(ws_conn_t *c, uint64_t now_ns) {</w:t>
      </w:r>
    </w:p>
    <w:p>
      <w:pPr>
        <w:spacing w:before="0" w:after="0" w:line="220" w:lineRule="exact"/>
      </w:pPr>
      <w:r>
        <w:rPr>
          <w:rFonts w:ascii="Courier New" w:hAnsi="Courier New"/>
          <w:sz w:val="16"/>
        </w:rPr>
        <w:t xml:space="preserve">    if (!c-&gt;connected) return -1;</w:t>
      </w:r>
    </w:p>
    <w:p>
      <w:pPr>
        <w:spacing w:before="0" w:after="0" w:line="220" w:lineRule="exact"/>
      </w:pPr>
      <w:r>
        <w:rPr>
          <w:rFonts w:ascii="Courier New" w:hAnsi="Courier New"/>
          <w:sz w:val="16"/>
        </w:rPr>
        <w:t xml:space="preserve">    if (now_ns - c-&gt;last_pong_ns &lt; c-&gt;ping_iv_ns) return 0;</w:t>
      </w:r>
    </w:p>
    <w:p>
      <w:pPr>
        <w:spacing w:before="0" w:after="0" w:line="220" w:lineRule="exact"/>
      </w:pPr>
      <w:r>
        <w:rPr>
          <w:rFonts w:ascii="Courier New" w:hAnsi="Courier New"/>
          <w:sz w:val="16"/>
        </w:rPr>
        <w:t xml:space="preserve">    /* WebSocket ping: 0x89 opcode, zero-length payload */</w:t>
      </w:r>
    </w:p>
    <w:p>
      <w:pPr>
        <w:spacing w:before="0" w:after="0" w:line="220" w:lineRule="exact"/>
      </w:pPr>
      <w:r>
        <w:rPr>
          <w:rFonts w:ascii="Courier New" w:hAnsi="Courier New"/>
          <w:sz w:val="16"/>
        </w:rPr>
        <w:t xml:space="preserve">    unsigned char frame[2] = {0x89, 0x00};</w:t>
      </w:r>
    </w:p>
    <w:p>
      <w:pPr>
        <w:spacing w:before="0" w:after="0" w:line="220" w:lineRule="exact"/>
      </w:pPr>
      <w:r>
        <w:rPr>
          <w:rFonts w:ascii="Courier New" w:hAnsi="Courier New"/>
          <w:sz w:val="16"/>
        </w:rPr>
        <w:t xml:space="preserve">    if (send(c-&gt;fd, (char *)frame, 2, 0) != 2) {</w:t>
      </w:r>
    </w:p>
    <w:p>
      <w:pPr>
        <w:spacing w:before="0" w:after="0" w:line="220" w:lineRule="exact"/>
      </w:pPr>
      <w:r>
        <w:rPr>
          <w:rFonts w:ascii="Courier New" w:hAnsi="Courier New"/>
          <w:sz w:val="16"/>
        </w:rPr>
        <w:t xml:space="preserve">        c-&gt;connected = 0;</w:t>
      </w:r>
    </w:p>
    <w:p>
      <w:pPr>
        <w:spacing w:before="0" w:after="0" w:line="220" w:lineRule="exact"/>
      </w:pPr>
      <w:r>
        <w:rPr>
          <w:rFonts w:ascii="Courier New" w:hAnsi="Courier New"/>
          <w:sz w:val="16"/>
        </w:rPr>
        <w:t xml:space="preserve">        return -1;</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return 1;</w:t>
      </w:r>
    </w:p>
    <w:p>
      <w:pPr>
        <w:spacing w:before="0" w:after="0" w:line="220" w:lineRule="exact"/>
      </w:pPr>
      <w:r>
        <w:rPr>
          <w:rFonts w:ascii="Courier New" w:hAnsi="Courier New"/>
          <w:sz w:val="16"/>
        </w:rPr>
        <w:t>}</w:t>
      </w:r>
    </w:p>
    <w:p>
      <w:pPr>
        <w:pStyle w:val="Heading2"/>
      </w:pPr>
      <w:r>
        <w:t>5.2  Market-Data Parsing</w:t>
      </w:r>
    </w:p>
    <w:p>
      <w:pPr>
        <w:pStyle w:val="BodyText"/>
        <w:ind w:firstLine="0"/>
      </w:pPr>
      <w:r>
        <w:rPr>
          <w:rFonts w:ascii="Times New Roman" w:hAnsi="Times New Roman"/>
          <w:sz w:val="20"/>
        </w:rPr>
        <w:t>Every depth-update message from Binance arrives as a JSON object inside a WebSocket text frame. A typical message for 5 bid and 5 ask levels is about 336 bytes and contains decimal price and quantity strings such as ""67250.10" and "0.00340000" [15]. The parsing task is to extract these fields and convert them into numerical values that the order book can use.</w:t>
      </w:r>
    </w:p>
    <w:p>
      <w:pPr>
        <w:pStyle w:val="BodyText"/>
        <w:ind w:firstLine="283"/>
      </w:pPr>
      <w:r>
        <w:rPr>
          <w:rFonts w:ascii="Times New Roman" w:hAnsi="Times New Roman"/>
          <w:sz w:val="20"/>
        </w:rPr>
        <w:t>The naive approach, the kind a first implementation typically uses, copies each field into a temporary std::string, converts it to double precision via std::stod or strtod, and returns the result in a heap-allocated std::vector. This approach is correct and easy to write, but it performs multiple heap allocations per message and invokes the full generality of the C standard library’s floating-point parser. Listing 3 shows an optimised alternative that makes one pass over the raw bytes, converts decimals directly to scaled integers (prices in ticks of 0.01 USD, quantities in units of 10⁻⁸ BTC), and writes into a caller-supplied array. No memory is allocated on the critical path.</w:t>
      </w:r>
    </w:p>
    <w:p>
      <w:pPr>
        <w:spacing w:before="120" w:after="60"/>
      </w:pPr>
      <w:r>
        <w:rPr>
          <w:rFonts w:ascii="Times New Roman" w:hAnsi="Times New Roman"/>
          <w:i/>
          <w:sz w:val="18"/>
        </w:rPr>
        <w:t>Listing 3. Zero-copy fixed-point depth-message parser (C++20).</w:t>
      </w:r>
    </w:p>
    <w:p>
      <w:pPr>
        <w:spacing w:before="0" w:after="0" w:line="220" w:lineRule="exact"/>
      </w:pPr>
      <w:r>
        <w:rPr>
          <w:rFonts w:ascii="Courier New" w:hAnsi="Courier New"/>
          <w:sz w:val="16"/>
        </w:rPr>
        <w:t>/* Listing 3. Zero-copy fixed-point parsing of a Binance depth update (C++20).</w:t>
      </w:r>
    </w:p>
    <w:p>
      <w:pPr>
        <w:spacing w:before="0" w:after="0" w:line="220" w:lineRule="exact"/>
      </w:pPr>
      <w:r>
        <w:rPr>
          <w:rFonts w:ascii="Courier New" w:hAnsi="Courier New"/>
          <w:sz w:val="16"/>
        </w:rPr>
        <w:t xml:space="preserve"> * Reads a decimal like 67250.10 as the integer 6725010, scaled by 10^decimals.</w:t>
      </w:r>
    </w:p>
    <w:p>
      <w:pPr>
        <w:spacing w:before="0" w:after="0" w:line="220" w:lineRule="exact"/>
      </w:pPr>
      <w:r>
        <w:rPr>
          <w:rFonts w:ascii="Courier New" w:hAnsi="Courier New"/>
          <w:sz w:val="16"/>
        </w:rPr>
        <w:t xml:space="preserve"> * Extra fractional digits beyond `decimals` are dropped. */</w:t>
      </w:r>
    </w:p>
    <w:p>
      <w:pPr>
        <w:spacing w:before="0" w:after="0" w:line="220" w:lineRule="exact"/>
      </w:pPr>
      <w:r>
        <w:rPr>
          <w:rFonts w:ascii="Courier New" w:hAnsi="Courier New"/>
          <w:sz w:val="16"/>
        </w:rPr>
        <w:t>bool parse_fixed(const char*&amp; p, const char* end, int decimals,</w:t>
      </w:r>
    </w:p>
    <w:p>
      <w:pPr>
        <w:spacing w:before="0" w:after="0" w:line="220" w:lineRule="exact"/>
      </w:pPr>
      <w:r>
        <w:rPr>
          <w:rFonts w:ascii="Courier New" w:hAnsi="Courier New"/>
          <w:sz w:val="16"/>
        </w:rPr>
        <w:t xml:space="preserve">                 std::int64_t&amp; out) {</w:t>
      </w:r>
    </w:p>
    <w:p>
      <w:pPr>
        <w:spacing w:before="0" w:after="0" w:line="220" w:lineRule="exact"/>
      </w:pPr>
      <w:r>
        <w:rPr>
          <w:rFonts w:ascii="Courier New" w:hAnsi="Courier New"/>
          <w:sz w:val="16"/>
        </w:rPr>
        <w:t xml:space="preserve">    const char* const start = p;</w:t>
      </w:r>
    </w:p>
    <w:p>
      <w:pPr>
        <w:spacing w:before="0" w:after="0" w:line="220" w:lineRule="exact"/>
      </w:pPr>
      <w:r>
        <w:rPr>
          <w:rFonts w:ascii="Courier New" w:hAnsi="Courier New"/>
          <w:sz w:val="16"/>
        </w:rPr>
        <w:t xml:space="preserve">    std::int64_t v = 0;</w:t>
      </w:r>
    </w:p>
    <w:p>
      <w:pPr>
        <w:spacing w:before="0" w:after="0" w:line="220" w:lineRule="exact"/>
      </w:pPr>
      <w:r>
        <w:rPr>
          <w:rFonts w:ascii="Courier New" w:hAnsi="Courier New"/>
          <w:sz w:val="16"/>
        </w:rPr>
        <w:t xml:space="preserve">    int frac = -1;</w:t>
      </w:r>
    </w:p>
    <w:p>
      <w:pPr>
        <w:spacing w:before="0" w:after="0" w:line="220" w:lineRule="exact"/>
      </w:pPr>
      <w:r>
        <w:rPr>
          <w:rFonts w:ascii="Courier New" w:hAnsi="Courier New"/>
          <w:sz w:val="16"/>
        </w:rPr>
        <w:t xml:space="preserve">    for (; p &lt; end; ++p) {</w:t>
      </w:r>
    </w:p>
    <w:p>
      <w:pPr>
        <w:spacing w:before="0" w:after="0" w:line="220" w:lineRule="exact"/>
      </w:pPr>
      <w:r>
        <w:rPr>
          <w:rFonts w:ascii="Courier New" w:hAnsi="Courier New"/>
          <w:sz w:val="16"/>
        </w:rPr>
        <w:t xml:space="preserve">        const char c = *p;</w:t>
      </w:r>
    </w:p>
    <w:p>
      <w:pPr>
        <w:spacing w:before="0" w:after="0" w:line="220" w:lineRule="exact"/>
      </w:pPr>
      <w:r>
        <w:rPr>
          <w:rFonts w:ascii="Courier New" w:hAnsi="Courier New"/>
          <w:sz w:val="16"/>
        </w:rPr>
        <w:t xml:space="preserve">        if (c &gt;= '0' &amp;&amp; c &lt;= '9') {</w:t>
      </w:r>
    </w:p>
    <w:p>
      <w:pPr>
        <w:spacing w:before="0" w:after="0" w:line="220" w:lineRule="exact"/>
      </w:pPr>
      <w:r>
        <w:rPr>
          <w:rFonts w:ascii="Courier New" w:hAnsi="Courier New"/>
          <w:sz w:val="16"/>
        </w:rPr>
        <w:t xml:space="preserve">            if (frac == decimals) continue;</w:t>
      </w:r>
    </w:p>
    <w:p>
      <w:pPr>
        <w:spacing w:before="0" w:after="0" w:line="220" w:lineRule="exact"/>
      </w:pPr>
      <w:r>
        <w:rPr>
          <w:rFonts w:ascii="Courier New" w:hAnsi="Courier New"/>
          <w:sz w:val="16"/>
        </w:rPr>
        <w:t xml:space="preserve">            if (frac &gt;= 0) ++frac;</w:t>
      </w:r>
    </w:p>
    <w:p>
      <w:pPr>
        <w:spacing w:before="0" w:after="0" w:line="220" w:lineRule="exact"/>
      </w:pPr>
      <w:r>
        <w:rPr>
          <w:rFonts w:ascii="Courier New" w:hAnsi="Courier New"/>
          <w:sz w:val="16"/>
        </w:rPr>
        <w:t xml:space="preserve">            v = v * 10 + (c - '0');</w:t>
      </w:r>
    </w:p>
    <w:p>
      <w:pPr>
        <w:spacing w:before="0" w:after="0" w:line="220" w:lineRule="exact"/>
      </w:pPr>
      <w:r>
        <w:rPr>
          <w:rFonts w:ascii="Courier New" w:hAnsi="Courier New"/>
          <w:sz w:val="16"/>
        </w:rPr>
        <w:t xml:space="preserve">        } else if (c == '.' &amp;&amp; frac &lt; 0) {</w:t>
      </w:r>
    </w:p>
    <w:p>
      <w:pPr>
        <w:spacing w:before="0" w:after="0" w:line="220" w:lineRule="exact"/>
      </w:pPr>
      <w:r>
        <w:rPr>
          <w:rFonts w:ascii="Courier New" w:hAnsi="Courier New"/>
          <w:sz w:val="16"/>
        </w:rPr>
        <w:t xml:space="preserve">            frac = 0;</w:t>
      </w:r>
    </w:p>
    <w:p>
      <w:pPr>
        <w:spacing w:before="0" w:after="0" w:line="220" w:lineRule="exact"/>
      </w:pPr>
      <w:r>
        <w:rPr>
          <w:rFonts w:ascii="Courier New" w:hAnsi="Courier New"/>
          <w:sz w:val="16"/>
        </w:rPr>
        <w:t xml:space="preserve">        } else break;</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if (p == start) return false;</w:t>
      </w:r>
    </w:p>
    <w:p>
      <w:pPr>
        <w:spacing w:before="0" w:after="0" w:line="220" w:lineRule="exact"/>
      </w:pPr>
      <w:r>
        <w:rPr>
          <w:rFonts w:ascii="Courier New" w:hAnsi="Courier New"/>
          <w:sz w:val="16"/>
        </w:rPr>
        <w:t xml:space="preserve">    for (int f = frac &lt; 0 ? 0 : frac; f &lt; decimals; ++f) v *= 10;</w:t>
      </w:r>
    </w:p>
    <w:p>
      <w:pPr>
        <w:spacing w:before="0" w:after="0" w:line="220" w:lineRule="exact"/>
      </w:pPr>
      <w:r>
        <w:rPr>
          <w:rFonts w:ascii="Courier New" w:hAnsi="Courier New"/>
          <w:sz w:val="16"/>
        </w:rPr>
        <w:t xml:space="preserve">    out = v;</w:t>
      </w:r>
    </w:p>
    <w:p>
      <w:pPr>
        <w:spacing w:before="0" w:after="0" w:line="220" w:lineRule="exact"/>
      </w:pPr>
      <w:r>
        <w:rPr>
          <w:rFonts w:ascii="Courier New" w:hAnsi="Courier New"/>
          <w:sz w:val="16"/>
        </w:rPr>
        <w:t xml:space="preserve">    return true;</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One-pass parser for a depth message. Returns the number of levels</w:t>
      </w:r>
    </w:p>
    <w:p>
      <w:pPr>
        <w:spacing w:before="0" w:after="0" w:line="220" w:lineRule="exact"/>
      </w:pPr>
      <w:r>
        <w:rPr>
          <w:rFonts w:ascii="Courier New" w:hAnsi="Courier New"/>
          <w:sz w:val="16"/>
        </w:rPr>
        <w:t xml:space="preserve"> * parsed, or -1 on malformed input. Output is written into `out`,</w:t>
      </w:r>
    </w:p>
    <w:p>
      <w:pPr>
        <w:spacing w:before="0" w:after="0" w:line="220" w:lineRule="exact"/>
      </w:pPr>
      <w:r>
        <w:rPr>
          <w:rFonts w:ascii="Courier New" w:hAnsi="Courier New"/>
          <w:sz w:val="16"/>
        </w:rPr>
        <w:t xml:space="preserve"> * a caller-owned array of `cap` entries -- no heap allocation. */</w:t>
      </w:r>
    </w:p>
    <w:p>
      <w:pPr>
        <w:spacing w:before="0" w:after="0" w:line="220" w:lineRule="exact"/>
      </w:pPr>
      <w:r>
        <w:rPr>
          <w:rFonts w:ascii="Courier New" w:hAnsi="Courier New"/>
          <w:sz w:val="16"/>
        </w:rPr>
        <w:t>int parse_fast(std::string_view msg, Update* out, int cap) {</w:t>
      </w:r>
    </w:p>
    <w:p>
      <w:pPr>
        <w:spacing w:before="0" w:after="0" w:line="220" w:lineRule="exact"/>
      </w:pPr>
      <w:r>
        <w:rPr>
          <w:rFonts w:ascii="Courier New" w:hAnsi="Courier New"/>
          <w:sz w:val="16"/>
        </w:rPr>
        <w:t xml:space="preserve">    const char* p   = msg.data();</w:t>
      </w:r>
    </w:p>
    <w:p>
      <w:pPr>
        <w:spacing w:before="0" w:after="0" w:line="220" w:lineRule="exact"/>
      </w:pPr>
      <w:r>
        <w:rPr>
          <w:rFonts w:ascii="Courier New" w:hAnsi="Courier New"/>
          <w:sz w:val="16"/>
        </w:rPr>
        <w:t xml:space="preserve">    const char* end = p + msg.size();</w:t>
      </w:r>
    </w:p>
    <w:p>
      <w:pPr>
        <w:spacing w:before="0" w:after="0" w:line="220" w:lineRule="exact"/>
      </w:pPr>
      <w:r>
        <w:rPr>
          <w:rFonts w:ascii="Courier New" w:hAnsi="Courier New"/>
          <w:sz w:val="16"/>
        </w:rPr>
        <w:t xml:space="preserve">    int n = 0;</w:t>
      </w:r>
    </w:p>
    <w:p>
      <w:pPr>
        <w:spacing w:before="0" w:after="0" w:line="220" w:lineRule="exact"/>
      </w:pPr>
      <w:r>
        <w:rPr>
          <w:rFonts w:ascii="Courier New" w:hAnsi="Courier New"/>
          <w:sz w:val="16"/>
        </w:rPr>
        <w:t xml:space="preserve">    for (const char side : {'b', 'a'}) {</w:t>
      </w:r>
    </w:p>
    <w:p>
      <w:pPr>
        <w:spacing w:before="0" w:after="0" w:line="220" w:lineRule="exact"/>
      </w:pPr>
      <w:r>
        <w:rPr>
          <w:rFonts w:ascii="Courier New" w:hAnsi="Courier New"/>
          <w:sz w:val="16"/>
        </w:rPr>
        <w:t xml:space="preserve">        const char key[5] = {'"', side, '"', ':', '['};</w:t>
      </w:r>
    </w:p>
    <w:p>
      <w:pPr>
        <w:spacing w:before="0" w:after="0" w:line="220" w:lineRule="exact"/>
      </w:pPr>
      <w:r>
        <w:rPr>
          <w:rFonts w:ascii="Courier New" w:hAnsi="Courier New"/>
          <w:sz w:val="16"/>
        </w:rPr>
        <w:t xml:space="preserve">        p = std::search(p, end, key, key + 5);</w:t>
      </w:r>
    </w:p>
    <w:p>
      <w:pPr>
        <w:spacing w:before="0" w:after="0" w:line="220" w:lineRule="exact"/>
      </w:pPr>
      <w:r>
        <w:rPr>
          <w:rFonts w:ascii="Courier New" w:hAnsi="Courier New"/>
          <w:sz w:val="16"/>
        </w:rPr>
        <w:t xml:space="preserve">        if (p == end) return -1;</w:t>
      </w:r>
    </w:p>
    <w:p>
      <w:pPr>
        <w:spacing w:before="0" w:after="0" w:line="220" w:lineRule="exact"/>
      </w:pPr>
      <w:r>
        <w:rPr>
          <w:rFonts w:ascii="Courier New" w:hAnsi="Courier New"/>
          <w:sz w:val="16"/>
        </w:rPr>
        <w:t xml:space="preserve">        p += 5;</w:t>
      </w:r>
    </w:p>
    <w:p>
      <w:pPr>
        <w:spacing w:before="0" w:after="0" w:line="220" w:lineRule="exact"/>
      </w:pPr>
      <w:r>
        <w:rPr>
          <w:rFonts w:ascii="Courier New" w:hAnsi="Courier New"/>
          <w:sz w:val="16"/>
        </w:rPr>
        <w:t xml:space="preserve">        while (p &lt; end &amp;&amp; *p == '[') {</w:t>
      </w:r>
    </w:p>
    <w:p>
      <w:pPr>
        <w:spacing w:before="0" w:after="0" w:line="220" w:lineRule="exact"/>
      </w:pPr>
      <w:r>
        <w:rPr>
          <w:rFonts w:ascii="Courier New" w:hAnsi="Courier New"/>
          <w:sz w:val="16"/>
        </w:rPr>
        <w:t xml:space="preserve">            if (n == cap) return -1;</w:t>
      </w:r>
    </w:p>
    <w:p>
      <w:pPr>
        <w:spacing w:before="0" w:after="0" w:line="220" w:lineRule="exact"/>
      </w:pPr>
      <w:r>
        <w:rPr>
          <w:rFonts w:ascii="Courier New" w:hAnsi="Courier New"/>
          <w:sz w:val="16"/>
        </w:rPr>
        <w:t xml:space="preserve">            if (!skip(p, end, "[\"") ||</w:t>
      </w:r>
    </w:p>
    <w:p>
      <w:pPr>
        <w:spacing w:before="0" w:after="0" w:line="220" w:lineRule="exact"/>
      </w:pPr>
      <w:r>
        <w:rPr>
          <w:rFonts w:ascii="Courier New" w:hAnsi="Courier New"/>
          <w:sz w:val="16"/>
        </w:rPr>
        <w:t xml:space="preserve">                !parse_fixed(p, end, 2, out[n].price) ||</w:t>
      </w:r>
    </w:p>
    <w:p>
      <w:pPr>
        <w:spacing w:before="0" w:after="0" w:line="220" w:lineRule="exact"/>
      </w:pPr>
      <w:r>
        <w:rPr>
          <w:rFonts w:ascii="Courier New" w:hAnsi="Courier New"/>
          <w:sz w:val="16"/>
        </w:rPr>
        <w:t xml:space="preserve">                !skip(p, end, "\",\"") ||</w:t>
      </w:r>
    </w:p>
    <w:p>
      <w:pPr>
        <w:spacing w:before="0" w:after="0" w:line="220" w:lineRule="exact"/>
      </w:pPr>
      <w:r>
        <w:rPr>
          <w:rFonts w:ascii="Courier New" w:hAnsi="Courier New"/>
          <w:sz w:val="16"/>
        </w:rPr>
        <w:t xml:space="preserve">                !parse_fixed(p, end, 8, out[n].qty) ||</w:t>
      </w:r>
    </w:p>
    <w:p>
      <w:pPr>
        <w:spacing w:before="0" w:after="0" w:line="220" w:lineRule="exact"/>
      </w:pPr>
      <w:r>
        <w:rPr>
          <w:rFonts w:ascii="Courier New" w:hAnsi="Courier New"/>
          <w:sz w:val="16"/>
        </w:rPr>
        <w:t xml:space="preserve">                !skip(p, end, "\"]"))</w:t>
      </w:r>
    </w:p>
    <w:p>
      <w:pPr>
        <w:spacing w:before="0" w:after="0" w:line="220" w:lineRule="exact"/>
      </w:pPr>
      <w:r>
        <w:rPr>
          <w:rFonts w:ascii="Courier New" w:hAnsi="Courier New"/>
          <w:sz w:val="16"/>
        </w:rPr>
        <w:t xml:space="preserve">                return -1;</w:t>
      </w:r>
    </w:p>
    <w:p>
      <w:pPr>
        <w:spacing w:before="0" w:after="0" w:line="220" w:lineRule="exact"/>
      </w:pPr>
      <w:r>
        <w:rPr>
          <w:rFonts w:ascii="Courier New" w:hAnsi="Courier New"/>
          <w:sz w:val="16"/>
        </w:rPr>
        <w:t xml:space="preserve">            out[n++].is_bid = (side == 'b');</w:t>
      </w:r>
    </w:p>
    <w:p>
      <w:pPr>
        <w:spacing w:before="0" w:after="0" w:line="220" w:lineRule="exact"/>
      </w:pPr>
      <w:r>
        <w:rPr>
          <w:rFonts w:ascii="Courier New" w:hAnsi="Courier New"/>
          <w:sz w:val="16"/>
        </w:rPr>
        <w:t xml:space="preserve">            if (p &lt; end &amp;&amp; *p == ',') ++p;</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return n;</w:t>
      </w:r>
    </w:p>
    <w:p>
      <w:pPr>
        <w:spacing w:before="0" w:after="0" w:line="220" w:lineRule="exact"/>
      </w:pPr>
      <w:r>
        <w:rPr>
          <w:rFonts w:ascii="Courier New" w:hAnsi="Courier New"/>
          <w:sz w:val="16"/>
        </w:rPr>
        <w:t>}</w:t>
      </w:r>
    </w:p>
    <w:p>
      <w:pPr>
        <w:pStyle w:val="BodyText"/>
        <w:ind w:firstLine="283"/>
      </w:pPr>
      <w:r>
        <w:rPr>
          <w:rFonts w:ascii="Times New Roman" w:hAnsi="Times New Roman"/>
          <w:sz w:val="20"/>
        </w:rPr>
        <w:t>Table 3 reports the benchmark results. Three baseline variants are shown to illustrate how much the choice of library function matters within the same language. std::stod, which is backed by the C locale-aware strtod, takes a median of 15,754 ns per message, making it 33 times slower than the zero-copy parser at 466 ns. Switching to std::from_chars, a locale-independent C++17 function, brings the baseline down to 1,590 ns, still 3.4× slower than the fixed-point path. The difference is not between C++ and C. It is between general-purpose string handling (temporary allocations, full IEEE 754 parsing) and a purpose-built parser that exploits the known message format.</w:t>
      </w:r>
    </w:p>
    <w:p>
      <w:pPr>
        <w:spacing w:before="160" w:after="80"/>
      </w:pPr>
      <w:r>
        <w:rPr>
          <w:rFonts w:ascii="Times New Roman" w:hAnsi="Times New Roman"/>
          <w:sz w:val="18"/>
        </w:rPr>
        <w:t>Table 3. Parsing latency for a 10-level depth message (336 bytes). Median of five runs.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Parser variant</w:t>
            </w:r>
          </w:p>
        </w:tc>
        <w:tc>
          <w:tcPr>
            <w:tcW w:type="dxa" w:w="1768"/>
          </w:tcPr>
          <w:p>
            <w:r/>
            <w:r>
              <w:rPr>
                <w:rFonts w:ascii="Times New Roman" w:hAnsi="Times New Roman"/>
                <w:b/>
                <w:sz w:val="18"/>
              </w:rPr>
              <w:t>p50 (ns)</w:t>
            </w:r>
          </w:p>
        </w:tc>
        <w:tc>
          <w:tcPr>
            <w:tcW w:type="dxa" w:w="1768"/>
          </w:tcPr>
          <w:p>
            <w:r/>
            <w:r>
              <w:rPr>
                <w:rFonts w:ascii="Times New Roman" w:hAnsi="Times New Roman"/>
                <w:b/>
                <w:sz w:val="18"/>
              </w:rPr>
              <w:t>p95 (ns)</w:t>
            </w:r>
          </w:p>
        </w:tc>
        <w:tc>
          <w:tcPr>
            <w:tcW w:type="dxa" w:w="1768"/>
          </w:tcPr>
          <w:p>
            <w:r/>
            <w:r>
              <w:rPr>
                <w:rFonts w:ascii="Times New Roman" w:hAnsi="Times New Roman"/>
                <w:b/>
                <w:sz w:val="18"/>
              </w:rPr>
              <w:t>p99 (ns)</w:t>
            </w:r>
          </w:p>
        </w:tc>
        <w:tc>
          <w:tcPr>
            <w:tcW w:type="dxa" w:w="1768"/>
          </w:tcPr>
          <w:p>
            <w:r/>
            <w:r>
              <w:rPr>
                <w:rFonts w:ascii="Times New Roman" w:hAnsi="Times New Roman"/>
                <w:b/>
                <w:sz w:val="18"/>
              </w:rPr>
              <w:t>Speedup vs. stod</w:t>
            </w:r>
          </w:p>
        </w:tc>
      </w:tr>
      <w:tr>
        <w:tc>
          <w:tcPr>
            <w:tcW w:type="dxa" w:w="1768"/>
          </w:tcPr>
          <w:p>
            <w:r/>
            <w:r>
              <w:rPr>
                <w:rFonts w:ascii="Times New Roman" w:hAnsi="Times New Roman"/>
                <w:sz w:val="18"/>
              </w:rPr>
              <w:t>std::string + stod (baseline)</w:t>
            </w:r>
          </w:p>
        </w:tc>
        <w:tc>
          <w:tcPr>
            <w:tcW w:type="dxa" w:w="1768"/>
          </w:tcPr>
          <w:p>
            <w:r/>
            <w:r>
              <w:rPr>
                <w:rFonts w:ascii="Times New Roman" w:hAnsi="Times New Roman"/>
                <w:sz w:val="18"/>
              </w:rPr>
              <w:t>15,754</w:t>
            </w:r>
          </w:p>
        </w:tc>
        <w:tc>
          <w:tcPr>
            <w:tcW w:type="dxa" w:w="1768"/>
          </w:tcPr>
          <w:p>
            <w:r/>
            <w:r>
              <w:rPr>
                <w:rFonts w:ascii="Times New Roman" w:hAnsi="Times New Roman"/>
                <w:sz w:val="18"/>
              </w:rPr>
              <w:t>17,950</w:t>
            </w:r>
          </w:p>
        </w:tc>
        <w:tc>
          <w:tcPr>
            <w:tcW w:type="dxa" w:w="1768"/>
          </w:tcPr>
          <w:p>
            <w:r/>
            <w:r>
              <w:rPr>
                <w:rFonts w:ascii="Times New Roman" w:hAnsi="Times New Roman"/>
                <w:sz w:val="18"/>
              </w:rPr>
              <w:t>20,510</w:t>
            </w:r>
          </w:p>
        </w:tc>
        <w:tc>
          <w:tcPr>
            <w:tcW w:type="dxa" w:w="1768"/>
          </w:tcPr>
          <w:p>
            <w:r/>
            <w:r>
              <w:rPr>
                <w:rFonts w:ascii="Times New Roman" w:hAnsi="Times New Roman"/>
                <w:sz w:val="18"/>
              </w:rPr>
              <w:t>1.0×</w:t>
            </w:r>
          </w:p>
        </w:tc>
      </w:tr>
      <w:tr>
        <w:tc>
          <w:tcPr>
            <w:tcW w:type="dxa" w:w="1768"/>
          </w:tcPr>
          <w:p>
            <w:r/>
            <w:r>
              <w:rPr>
                <w:rFonts w:ascii="Times New Roman" w:hAnsi="Times New Roman"/>
                <w:sz w:val="18"/>
              </w:rPr>
              <w:t>std::string + from_chars</w:t>
            </w:r>
          </w:p>
        </w:tc>
        <w:tc>
          <w:tcPr>
            <w:tcW w:type="dxa" w:w="1768"/>
          </w:tcPr>
          <w:p>
            <w:r/>
            <w:r>
              <w:rPr>
                <w:rFonts w:ascii="Times New Roman" w:hAnsi="Times New Roman"/>
                <w:sz w:val="18"/>
              </w:rPr>
              <w:t>1,590</w:t>
            </w:r>
          </w:p>
        </w:tc>
        <w:tc>
          <w:tcPr>
            <w:tcW w:type="dxa" w:w="1768"/>
          </w:tcPr>
          <w:p>
            <w:r/>
            <w:r>
              <w:rPr>
                <w:rFonts w:ascii="Times New Roman" w:hAnsi="Times New Roman"/>
                <w:sz w:val="18"/>
              </w:rPr>
              <w:t>2,046</w:t>
            </w:r>
          </w:p>
        </w:tc>
        <w:tc>
          <w:tcPr>
            <w:tcW w:type="dxa" w:w="1768"/>
          </w:tcPr>
          <w:p>
            <w:r/>
            <w:r>
              <w:rPr>
                <w:rFonts w:ascii="Times New Roman" w:hAnsi="Times New Roman"/>
                <w:sz w:val="18"/>
              </w:rPr>
              <w:t>2,610</w:t>
            </w:r>
          </w:p>
        </w:tc>
        <w:tc>
          <w:tcPr>
            <w:tcW w:type="dxa" w:w="1768"/>
          </w:tcPr>
          <w:p>
            <w:r/>
            <w:r>
              <w:rPr>
                <w:rFonts w:ascii="Times New Roman" w:hAnsi="Times New Roman"/>
                <w:sz w:val="18"/>
              </w:rPr>
              <w:t>9.9×</w:t>
            </w:r>
          </w:p>
        </w:tc>
      </w:tr>
      <w:tr>
        <w:tc>
          <w:tcPr>
            <w:tcW w:type="dxa" w:w="1768"/>
          </w:tcPr>
          <w:p>
            <w:r/>
            <w:r>
              <w:rPr>
                <w:rFonts w:ascii="Times New Roman" w:hAnsi="Times New Roman"/>
                <w:sz w:val="18"/>
              </w:rPr>
              <w:t>Zero-copy fixed-point</w:t>
            </w:r>
          </w:p>
        </w:tc>
        <w:tc>
          <w:tcPr>
            <w:tcW w:type="dxa" w:w="1768"/>
          </w:tcPr>
          <w:p>
            <w:r/>
            <w:r>
              <w:rPr>
                <w:rFonts w:ascii="Times New Roman" w:hAnsi="Times New Roman"/>
                <w:sz w:val="18"/>
              </w:rPr>
              <w:t>466</w:t>
            </w:r>
          </w:p>
        </w:tc>
        <w:tc>
          <w:tcPr>
            <w:tcW w:type="dxa" w:w="1768"/>
          </w:tcPr>
          <w:p>
            <w:r/>
            <w:r>
              <w:rPr>
                <w:rFonts w:ascii="Times New Roman" w:hAnsi="Times New Roman"/>
                <w:sz w:val="18"/>
              </w:rPr>
              <w:t>504</w:t>
            </w:r>
          </w:p>
        </w:tc>
        <w:tc>
          <w:tcPr>
            <w:tcW w:type="dxa" w:w="1768"/>
          </w:tcPr>
          <w:p>
            <w:r/>
            <w:r>
              <w:rPr>
                <w:rFonts w:ascii="Times New Roman" w:hAnsi="Times New Roman"/>
                <w:sz w:val="18"/>
              </w:rPr>
              <w:t>826</w:t>
            </w:r>
          </w:p>
        </w:tc>
        <w:tc>
          <w:tcPr>
            <w:tcW w:type="dxa" w:w="1768"/>
          </w:tcPr>
          <w:p>
            <w:r/>
            <w:r>
              <w:rPr>
                <w:rFonts w:ascii="Times New Roman" w:hAnsi="Times New Roman"/>
                <w:sz w:val="18"/>
              </w:rPr>
              <w:t>33.8×</w:t>
            </w:r>
          </w:p>
        </w:tc>
      </w:tr>
    </w:tbl>
    <w:p>
      <w:pPr>
        <w:spacing w:after="120"/>
      </w:pPr>
      <w:r>
        <w:rPr>
          <w:rFonts w:ascii="Times New Roman" w:hAnsi="Times New Roman"/>
          <w:b w:val="0"/>
          <w:i w:val="0"/>
          <w:sz w:val="20"/>
        </w:rPr>
      </w:r>
    </w:p>
    <w:p>
      <w:pPr>
        <w:pStyle w:val="BodyText"/>
        <w:ind w:firstLine="283"/>
      </w:pPr>
      <w:r>
        <w:rPr>
          <w:rFonts w:ascii="Times New Roman" w:hAnsi="Times New Roman"/>
          <w:sz w:val="20"/>
        </w:rPr>
        <w:t>A separate C benchmark isolates the number-conversion step. The standard-library strtod function takes a median of 124 ns per price string; our fixed-point parser takes 11 ns, an 11.3× improvement. This is consistent with the expectation that a parser with fixed output precision and no locale handling can outperform a general-purpose one. Buffer handling contributes separately: copying a 336-byte message into a freshly allocated buffer takes 156 ns (median), while copying into a pre-allocated reused buffer takes 104 ns, a saving of 52 ns per message (1.5×). These savings are additive along the pipeline.</w:t>
      </w:r>
    </w:p>
    <w:p>
      <w:pPr>
        <w:pStyle w:val="Heading2"/>
      </w:pPr>
      <w:r>
        <w:t>5.3  Order-Book Maintenance</w:t>
      </w:r>
    </w:p>
    <w:p>
      <w:pPr>
        <w:pStyle w:val="BodyText"/>
        <w:ind w:firstLine="0"/>
      </w:pPr>
      <w:r>
        <w:rPr>
          <w:rFonts w:ascii="Times New Roman" w:hAnsi="Times New Roman"/>
          <w:sz w:val="20"/>
        </w:rPr>
        <w:t>The order book must be updated for every price-level change in the depth stream. The baseline data structure is a balanced binary search tree (std::map in C++), which offers O(log n) insertion, deletion, and lookup. Each node is a separate heap allocation, and traversal visits non-contiguous memory addresses. Listing 4 shows an alternative: a flat array indexed by price in ticks, where an update is a single array write at O(1) cost. The best bid and ask are cached and rescanned only when the current best level is emptied. This follows the principle of bounded lookups described by Dvořák and Kořenek [10] in their FPGA order-book implementation and the cache-conscious layout advocated by Chilimbi et al. [14].</w:t>
      </w:r>
    </w:p>
    <w:p>
      <w:pPr>
        <w:spacing w:before="120" w:after="60"/>
      </w:pPr>
      <w:r>
        <w:rPr>
          <w:rFonts w:ascii="Times New Roman" w:hAnsi="Times New Roman"/>
          <w:i/>
          <w:sz w:val="18"/>
        </w:rPr>
        <w:t>Listing 4. Flat price-ladder order book (C++20).</w:t>
      </w:r>
    </w:p>
    <w:p>
      <w:pPr>
        <w:spacing w:before="0" w:after="0" w:line="220" w:lineRule="exact"/>
      </w:pPr>
      <w:r>
        <w:rPr>
          <w:rFonts w:ascii="Courier New" w:hAnsi="Courier New"/>
          <w:sz w:val="16"/>
        </w:rPr>
        <w:t>/* Listing 4. Price-ladder order-book update (C++20). Quantities</w:t>
      </w:r>
    </w:p>
    <w:p>
      <w:pPr>
        <w:spacing w:before="0" w:after="0" w:line="220" w:lineRule="exact"/>
      </w:pPr>
      <w:r>
        <w:rPr>
          <w:rFonts w:ascii="Courier New" w:hAnsi="Courier New"/>
          <w:sz w:val="16"/>
        </w:rPr>
        <w:t xml:space="preserve"> * are stored in a contiguous array indexed by (price - base_).</w:t>
      </w:r>
    </w:p>
    <w:p>
      <w:pPr>
        <w:spacing w:before="0" w:after="0" w:line="220" w:lineRule="exact"/>
      </w:pPr>
      <w:r>
        <w:rPr>
          <w:rFonts w:ascii="Courier New" w:hAnsi="Courier New"/>
          <w:sz w:val="16"/>
        </w:rPr>
        <w:t xml:space="preserve"> * An update is one array write. */</w:t>
      </w:r>
    </w:p>
    <w:p>
      <w:pPr>
        <w:spacing w:before="0" w:after="0" w:line="220" w:lineRule="exact"/>
      </w:pPr>
      <w:r>
        <w:rPr>
          <w:rFonts w:ascii="Courier New" w:hAnsi="Courier New"/>
          <w:sz w:val="16"/>
        </w:rPr>
        <w:t>bool LadderBook::apply(const Update&amp; u) {</w:t>
      </w:r>
    </w:p>
    <w:p>
      <w:pPr>
        <w:spacing w:before="0" w:after="0" w:line="220" w:lineRule="exact"/>
      </w:pPr>
      <w:r>
        <w:rPr>
          <w:rFonts w:ascii="Courier New" w:hAnsi="Courier New"/>
          <w:sz w:val="16"/>
        </w:rPr>
        <w:t xml:space="preserve">    const std::int64_t i = u.price - base_;</w:t>
      </w:r>
    </w:p>
    <w:p>
      <w:pPr>
        <w:spacing w:before="0" w:after="0" w:line="220" w:lineRule="exact"/>
      </w:pPr>
      <w:r>
        <w:rPr>
          <w:rFonts w:ascii="Courier New" w:hAnsi="Courier New"/>
          <w:sz w:val="16"/>
        </w:rPr>
        <w:t xml:space="preserve">    if (i &lt; 0 || i &gt;= n_) return false;   // outside window</w:t>
      </w:r>
    </w:p>
    <w:p>
      <w:pPr>
        <w:spacing w:before="0" w:after="0" w:line="220" w:lineRule="exact"/>
      </w:pPr>
      <w:r>
        <w:rPr>
          <w:rFonts w:ascii="Courier New" w:hAnsi="Courier New"/>
          <w:sz w:val="16"/>
        </w:rPr>
        <w:t xml:space="preserve">    if (u.is_bid) {</w:t>
      </w:r>
    </w:p>
    <w:p>
      <w:pPr>
        <w:spacing w:before="0" w:after="0" w:line="220" w:lineRule="exact"/>
      </w:pPr>
      <w:r>
        <w:rPr>
          <w:rFonts w:ascii="Courier New" w:hAnsi="Courier New"/>
          <w:sz w:val="16"/>
        </w:rPr>
        <w:t xml:space="preserve">        bid_[i] = u.qty;</w:t>
      </w:r>
    </w:p>
    <w:p>
      <w:pPr>
        <w:spacing w:before="0" w:after="0" w:line="220" w:lineRule="exact"/>
      </w:pPr>
      <w:r>
        <w:rPr>
          <w:rFonts w:ascii="Courier New" w:hAnsi="Courier New"/>
          <w:sz w:val="16"/>
        </w:rPr>
        <w:t xml:space="preserve">        if (u.qty &gt; 0) {</w:t>
      </w:r>
    </w:p>
    <w:p>
      <w:pPr>
        <w:spacing w:before="0" w:after="0" w:line="220" w:lineRule="exact"/>
      </w:pPr>
      <w:r>
        <w:rPr>
          <w:rFonts w:ascii="Courier New" w:hAnsi="Courier New"/>
          <w:sz w:val="16"/>
        </w:rPr>
        <w:t xml:space="preserve">            if (i &gt; best_bid_) best_bid_ = i;</w:t>
      </w:r>
    </w:p>
    <w:p>
      <w:pPr>
        <w:spacing w:before="0" w:after="0" w:line="220" w:lineRule="exact"/>
      </w:pPr>
      <w:r>
        <w:rPr>
          <w:rFonts w:ascii="Courier New" w:hAnsi="Courier New"/>
          <w:sz w:val="16"/>
        </w:rPr>
        <w:t xml:space="preserve">        } else if (i == best_bid_) {</w:t>
      </w:r>
    </w:p>
    <w:p>
      <w:pPr>
        <w:spacing w:before="0" w:after="0" w:line="220" w:lineRule="exact"/>
      </w:pPr>
      <w:r>
        <w:rPr>
          <w:rFonts w:ascii="Courier New" w:hAnsi="Courier New"/>
          <w:sz w:val="16"/>
        </w:rPr>
        <w:t xml:space="preserve">            while (best_bid_ &gt;= 0 &amp;&amp; bid_[best_bid_] == 0)</w:t>
      </w:r>
    </w:p>
    <w:p>
      <w:pPr>
        <w:spacing w:before="0" w:after="0" w:line="220" w:lineRule="exact"/>
      </w:pPr>
      <w:r>
        <w:rPr>
          <w:rFonts w:ascii="Courier New" w:hAnsi="Courier New"/>
          <w:sz w:val="16"/>
        </w:rPr>
        <w:t xml:space="preserve">                --best_bid_;               // rescan downward</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 else {</w:t>
      </w:r>
    </w:p>
    <w:p>
      <w:pPr>
        <w:spacing w:before="0" w:after="0" w:line="220" w:lineRule="exact"/>
      </w:pPr>
      <w:r>
        <w:rPr>
          <w:rFonts w:ascii="Courier New" w:hAnsi="Courier New"/>
          <w:sz w:val="16"/>
        </w:rPr>
        <w:t xml:space="preserve">        ask_[i] = u.qty;</w:t>
      </w:r>
    </w:p>
    <w:p>
      <w:pPr>
        <w:spacing w:before="0" w:after="0" w:line="220" w:lineRule="exact"/>
      </w:pPr>
      <w:r>
        <w:rPr>
          <w:rFonts w:ascii="Courier New" w:hAnsi="Courier New"/>
          <w:sz w:val="16"/>
        </w:rPr>
        <w:t xml:space="preserve">        if (u.qty &gt; 0) {</w:t>
      </w:r>
    </w:p>
    <w:p>
      <w:pPr>
        <w:spacing w:before="0" w:after="0" w:line="220" w:lineRule="exact"/>
      </w:pPr>
      <w:r>
        <w:rPr>
          <w:rFonts w:ascii="Courier New" w:hAnsi="Courier New"/>
          <w:sz w:val="16"/>
        </w:rPr>
        <w:t xml:space="preserve">            if (i &lt; best_ask_) best_ask_ = i;</w:t>
      </w:r>
    </w:p>
    <w:p>
      <w:pPr>
        <w:spacing w:before="0" w:after="0" w:line="220" w:lineRule="exact"/>
      </w:pPr>
      <w:r>
        <w:rPr>
          <w:rFonts w:ascii="Courier New" w:hAnsi="Courier New"/>
          <w:sz w:val="16"/>
        </w:rPr>
        <w:t xml:space="preserve">        } else if (i == best_ask_) {</w:t>
      </w:r>
    </w:p>
    <w:p>
      <w:pPr>
        <w:spacing w:before="0" w:after="0" w:line="220" w:lineRule="exact"/>
      </w:pPr>
      <w:r>
        <w:rPr>
          <w:rFonts w:ascii="Courier New" w:hAnsi="Courier New"/>
          <w:sz w:val="16"/>
        </w:rPr>
        <w:t xml:space="preserve">            while (best_ask_ &lt; n_ &amp;&amp; ask_[best_ask_] == 0)</w:t>
      </w:r>
    </w:p>
    <w:p>
      <w:pPr>
        <w:spacing w:before="0" w:after="0" w:line="220" w:lineRule="exact"/>
      </w:pPr>
      <w:r>
        <w:rPr>
          <w:rFonts w:ascii="Courier New" w:hAnsi="Courier New"/>
          <w:sz w:val="16"/>
        </w:rPr>
        <w:t xml:space="preserve">                ++best_ask_;               // rescan upward</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return true;</w:t>
      </w:r>
    </w:p>
    <w:p>
      <w:pPr>
        <w:spacing w:before="0" w:after="0" w:line="220" w:lineRule="exact"/>
      </w:pPr>
      <w:r>
        <w:rPr>
          <w:rFonts w:ascii="Courier New" w:hAnsi="Courier New"/>
          <w:sz w:val="16"/>
        </w:rPr>
        <w:t>}</w:t>
      </w:r>
    </w:p>
    <w:p>
      <w:pPr>
        <w:pStyle w:val="BodyText"/>
        <w:ind w:firstLine="283"/>
      </w:pPr>
      <w:r>
        <w:rPr>
          <w:rFonts w:ascii="Times New Roman" w:hAnsi="Times New Roman"/>
          <w:sz w:val="20"/>
        </w:rPr>
        <w:t>Table 4 reports the benchmark results. At the default book depth (~200 active levels), the tree takes a median of 91 ns per update while the ladder takes just 8 ns, a factor of 11.4×. The scaling behaviour is shown in Table 5: as book depth grows from ~20 to ~330,000 active levels, the tree’s median rises from 53 ns to 617 ns (reflecting O(log n) growth), while the ladder stays at 8–9 ns. The ladder’s cost is memory: it pre-allocates two arrays spanning the full price window, from 544 bytes at width 16 to 8.4 MB at width 262,144. For BTC/USDT with a tick size of 0.01 USD, a ±$20 window around the mid-price requires 4,000 entries per side, or about 64 KB, which is trivially small on a modern server.</w:t>
      </w:r>
    </w:p>
    <w:p>
      <w:pPr>
        <w:spacing w:before="160" w:after="80"/>
      </w:pPr>
      <w:r>
        <w:rPr>
          <w:rFonts w:ascii="Times New Roman" w:hAnsi="Times New Roman"/>
          <w:sz w:val="18"/>
        </w:rPr>
        <w:t>Table 4. Order-book update latency (ns per level update). Median of five runs.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Data structure</w:t>
            </w:r>
          </w:p>
        </w:tc>
        <w:tc>
          <w:tcPr>
            <w:tcW w:type="dxa" w:w="1768"/>
          </w:tcPr>
          <w:p>
            <w:r/>
            <w:r>
              <w:rPr>
                <w:rFonts w:ascii="Times New Roman" w:hAnsi="Times New Roman"/>
                <w:b/>
                <w:sz w:val="18"/>
              </w:rPr>
              <w:t>p50 (ns)</w:t>
            </w:r>
          </w:p>
        </w:tc>
        <w:tc>
          <w:tcPr>
            <w:tcW w:type="dxa" w:w="1768"/>
          </w:tcPr>
          <w:p>
            <w:r/>
            <w:r>
              <w:rPr>
                <w:rFonts w:ascii="Times New Roman" w:hAnsi="Times New Roman"/>
                <w:b/>
                <w:sz w:val="18"/>
              </w:rPr>
              <w:t>p95 (ns)</w:t>
            </w:r>
          </w:p>
        </w:tc>
        <w:tc>
          <w:tcPr>
            <w:tcW w:type="dxa" w:w="1768"/>
          </w:tcPr>
          <w:p>
            <w:r/>
            <w:r>
              <w:rPr>
                <w:rFonts w:ascii="Times New Roman" w:hAnsi="Times New Roman"/>
                <w:b/>
                <w:sz w:val="18"/>
              </w:rPr>
              <w:t>p99 (ns)</w:t>
            </w:r>
          </w:p>
        </w:tc>
        <w:tc>
          <w:tcPr>
            <w:tcW w:type="dxa" w:w="1768"/>
          </w:tcPr>
          <w:p>
            <w:r/>
            <w:r>
              <w:rPr>
                <w:rFonts w:ascii="Times New Roman" w:hAnsi="Times New Roman"/>
                <w:b/>
                <w:sz w:val="18"/>
              </w:rPr>
              <w:t>Speedup</w:t>
            </w:r>
          </w:p>
        </w:tc>
      </w:tr>
      <w:tr>
        <w:tc>
          <w:tcPr>
            <w:tcW w:type="dxa" w:w="1768"/>
          </w:tcPr>
          <w:p>
            <w:r/>
            <w:r>
              <w:rPr>
                <w:rFonts w:ascii="Times New Roman" w:hAnsi="Times New Roman"/>
                <w:sz w:val="18"/>
              </w:rPr>
              <w:t>std::map (balanced tree)</w:t>
            </w:r>
          </w:p>
        </w:tc>
        <w:tc>
          <w:tcPr>
            <w:tcW w:type="dxa" w:w="1768"/>
          </w:tcPr>
          <w:p>
            <w:r/>
            <w:r>
              <w:rPr>
                <w:rFonts w:ascii="Times New Roman" w:hAnsi="Times New Roman"/>
                <w:sz w:val="18"/>
              </w:rPr>
              <w:t>91</w:t>
            </w:r>
          </w:p>
        </w:tc>
        <w:tc>
          <w:tcPr>
            <w:tcW w:type="dxa" w:w="1768"/>
          </w:tcPr>
          <w:p>
            <w:r/>
            <w:r>
              <w:rPr>
                <w:rFonts w:ascii="Times New Roman" w:hAnsi="Times New Roman"/>
                <w:sz w:val="18"/>
              </w:rPr>
              <w:t>100</w:t>
            </w:r>
          </w:p>
        </w:tc>
        <w:tc>
          <w:tcPr>
            <w:tcW w:type="dxa" w:w="1768"/>
          </w:tcPr>
          <w:p>
            <w:r/>
            <w:r>
              <w:rPr>
                <w:rFonts w:ascii="Times New Roman" w:hAnsi="Times New Roman"/>
                <w:sz w:val="18"/>
              </w:rPr>
              <w:t>229</w:t>
            </w:r>
          </w:p>
        </w:tc>
        <w:tc>
          <w:tcPr>
            <w:tcW w:type="dxa" w:w="1768"/>
          </w:tcPr>
          <w:p>
            <w:r/>
            <w:r>
              <w:rPr>
                <w:rFonts w:ascii="Times New Roman" w:hAnsi="Times New Roman"/>
                <w:sz w:val="18"/>
              </w:rPr>
              <w:t>1.0× (baseline)</w:t>
            </w:r>
          </w:p>
        </w:tc>
      </w:tr>
      <w:tr>
        <w:tc>
          <w:tcPr>
            <w:tcW w:type="dxa" w:w="1768"/>
          </w:tcPr>
          <w:p>
            <w:r/>
            <w:r>
              <w:rPr>
                <w:rFonts w:ascii="Times New Roman" w:hAnsi="Times New Roman"/>
                <w:sz w:val="18"/>
              </w:rPr>
              <w:t>Flat price ladder</w:t>
            </w:r>
          </w:p>
        </w:tc>
        <w:tc>
          <w:tcPr>
            <w:tcW w:type="dxa" w:w="1768"/>
          </w:tcPr>
          <w:p>
            <w:r/>
            <w:r>
              <w:rPr>
                <w:rFonts w:ascii="Times New Roman" w:hAnsi="Times New Roman"/>
                <w:sz w:val="18"/>
              </w:rPr>
              <w:t>8</w:t>
            </w:r>
          </w:p>
        </w:tc>
        <w:tc>
          <w:tcPr>
            <w:tcW w:type="dxa" w:w="1768"/>
          </w:tcPr>
          <w:p>
            <w:r/>
            <w:r>
              <w:rPr>
                <w:rFonts w:ascii="Times New Roman" w:hAnsi="Times New Roman"/>
                <w:sz w:val="18"/>
              </w:rPr>
              <w:t>10</w:t>
            </w:r>
          </w:p>
        </w:tc>
        <w:tc>
          <w:tcPr>
            <w:tcW w:type="dxa" w:w="1768"/>
          </w:tcPr>
          <w:p>
            <w:r/>
            <w:r>
              <w:rPr>
                <w:rFonts w:ascii="Times New Roman" w:hAnsi="Times New Roman"/>
                <w:sz w:val="18"/>
              </w:rPr>
              <w:t>12</w:t>
            </w:r>
          </w:p>
        </w:tc>
        <w:tc>
          <w:tcPr>
            <w:tcW w:type="dxa" w:w="1768"/>
          </w:tcPr>
          <w:p>
            <w:r/>
            <w:r>
              <w:rPr>
                <w:rFonts w:ascii="Times New Roman" w:hAnsi="Times New Roman"/>
                <w:sz w:val="18"/>
              </w:rPr>
              <w:t>11.4×</w:t>
            </w:r>
          </w:p>
        </w:tc>
      </w:tr>
    </w:tbl>
    <w:p>
      <w:pPr>
        <w:spacing w:after="120"/>
      </w:pPr>
      <w:r>
        <w:rPr>
          <w:rFonts w:ascii="Times New Roman" w:hAnsi="Times New Roman"/>
          <w:b w:val="0"/>
          <w:i w:val="0"/>
          <w:sz w:val="20"/>
        </w:rPr>
      </w:r>
    </w:p>
    <w:p>
      <w:pPr>
        <w:spacing w:before="160" w:after="80"/>
      </w:pPr>
      <w:r>
        <w:rPr>
          <w:rFonts w:ascii="Times New Roman" w:hAnsi="Times New Roman"/>
          <w:sz w:val="18"/>
        </w:rPr>
        <w:t>Table 5. Order-book update time versus book depth. The ladder’s time is constant; the tree’s grows with log(n).</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tcPr>
          <w:p>
            <w:r/>
            <w:r>
              <w:rPr>
                <w:rFonts w:ascii="Times New Roman" w:hAnsi="Times New Roman"/>
                <w:b/>
                <w:sz w:val="18"/>
              </w:rPr>
              <w:t>Price width</w:t>
            </w:r>
          </w:p>
        </w:tc>
        <w:tc>
          <w:tcPr>
            <w:tcW w:type="dxa" w:w="1473"/>
          </w:tcPr>
          <w:p>
            <w:r/>
            <w:r>
              <w:rPr>
                <w:rFonts w:ascii="Times New Roman" w:hAnsi="Times New Roman"/>
                <w:b/>
                <w:sz w:val="18"/>
              </w:rPr>
              <w:t>Active levels</w:t>
            </w:r>
          </w:p>
        </w:tc>
        <w:tc>
          <w:tcPr>
            <w:tcW w:type="dxa" w:w="1473"/>
          </w:tcPr>
          <w:p>
            <w:r/>
            <w:r>
              <w:rPr>
                <w:rFonts w:ascii="Times New Roman" w:hAnsi="Times New Roman"/>
                <w:b/>
                <w:sz w:val="18"/>
              </w:rPr>
              <w:t>Ladder memory</w:t>
            </w:r>
          </w:p>
        </w:tc>
        <w:tc>
          <w:tcPr>
            <w:tcW w:type="dxa" w:w="1473"/>
          </w:tcPr>
          <w:p>
            <w:r/>
            <w:r>
              <w:rPr>
                <w:rFonts w:ascii="Times New Roman" w:hAnsi="Times New Roman"/>
                <w:b/>
                <w:sz w:val="18"/>
              </w:rPr>
              <w:t>Map p50 (ns)</w:t>
            </w:r>
          </w:p>
        </w:tc>
        <w:tc>
          <w:tcPr>
            <w:tcW w:type="dxa" w:w="1473"/>
          </w:tcPr>
          <w:p>
            <w:r/>
            <w:r>
              <w:rPr>
                <w:rFonts w:ascii="Times New Roman" w:hAnsi="Times New Roman"/>
                <w:b/>
                <w:sz w:val="18"/>
              </w:rPr>
              <w:t>Ladder p50 (ns)</w:t>
            </w:r>
          </w:p>
        </w:tc>
        <w:tc>
          <w:tcPr>
            <w:tcW w:type="dxa" w:w="1473"/>
          </w:tcPr>
          <w:p>
            <w:r/>
            <w:r>
              <w:rPr>
                <w:rFonts w:ascii="Times New Roman" w:hAnsi="Times New Roman"/>
                <w:b/>
                <w:sz w:val="18"/>
              </w:rPr>
              <w:t>Speedup</w:t>
            </w:r>
          </w:p>
        </w:tc>
      </w:tr>
      <w:tr>
        <w:tc>
          <w:tcPr>
            <w:tcW w:type="dxa" w:w="1473"/>
          </w:tcPr>
          <w:p>
            <w:r/>
            <w:r>
              <w:rPr>
                <w:rFonts w:ascii="Times New Roman" w:hAnsi="Times New Roman"/>
                <w:sz w:val="18"/>
              </w:rPr>
              <w:t>16</w:t>
            </w:r>
          </w:p>
        </w:tc>
        <w:tc>
          <w:tcPr>
            <w:tcW w:type="dxa" w:w="1473"/>
          </w:tcPr>
          <w:p>
            <w:r/>
            <w:r>
              <w:rPr>
                <w:rFonts w:ascii="Times New Roman" w:hAnsi="Times New Roman"/>
                <w:sz w:val="18"/>
              </w:rPr>
              <w:t>~22</w:t>
            </w:r>
          </w:p>
        </w:tc>
        <w:tc>
          <w:tcPr>
            <w:tcW w:type="dxa" w:w="1473"/>
          </w:tcPr>
          <w:p>
            <w:r/>
            <w:r>
              <w:rPr>
                <w:rFonts w:ascii="Times New Roman" w:hAnsi="Times New Roman"/>
                <w:sz w:val="18"/>
              </w:rPr>
              <w:t>544 B</w:t>
            </w:r>
          </w:p>
        </w:tc>
        <w:tc>
          <w:tcPr>
            <w:tcW w:type="dxa" w:w="1473"/>
          </w:tcPr>
          <w:p>
            <w:r/>
            <w:r>
              <w:rPr>
                <w:rFonts w:ascii="Times New Roman" w:hAnsi="Times New Roman"/>
                <w:sz w:val="18"/>
              </w:rPr>
              <w:t>53</w:t>
            </w:r>
          </w:p>
        </w:tc>
        <w:tc>
          <w:tcPr>
            <w:tcW w:type="dxa" w:w="1473"/>
          </w:tcPr>
          <w:p>
            <w:r/>
            <w:r>
              <w:rPr>
                <w:rFonts w:ascii="Times New Roman" w:hAnsi="Times New Roman"/>
                <w:sz w:val="18"/>
              </w:rPr>
              <w:t>9</w:t>
            </w:r>
          </w:p>
        </w:tc>
        <w:tc>
          <w:tcPr>
            <w:tcW w:type="dxa" w:w="1473"/>
          </w:tcPr>
          <w:p>
            <w:r/>
            <w:r>
              <w:rPr>
                <w:rFonts w:ascii="Times New Roman" w:hAnsi="Times New Roman"/>
                <w:sz w:val="18"/>
              </w:rPr>
              <w:t>5.9×</w:t>
            </w:r>
          </w:p>
        </w:tc>
      </w:tr>
      <w:tr>
        <w:tc>
          <w:tcPr>
            <w:tcW w:type="dxa" w:w="1473"/>
          </w:tcPr>
          <w:p>
            <w:r/>
            <w:r>
              <w:rPr>
                <w:rFonts w:ascii="Times New Roman" w:hAnsi="Times New Roman"/>
                <w:sz w:val="18"/>
              </w:rPr>
              <w:t>256</w:t>
            </w:r>
          </w:p>
        </w:tc>
        <w:tc>
          <w:tcPr>
            <w:tcW w:type="dxa" w:w="1473"/>
          </w:tcPr>
          <w:p>
            <w:r/>
            <w:r>
              <w:rPr>
                <w:rFonts w:ascii="Times New Roman" w:hAnsi="Times New Roman"/>
                <w:sz w:val="18"/>
              </w:rPr>
              <w:t>~358</w:t>
            </w:r>
          </w:p>
        </w:tc>
        <w:tc>
          <w:tcPr>
            <w:tcW w:type="dxa" w:w="1473"/>
          </w:tcPr>
          <w:p>
            <w:r/>
            <w:r>
              <w:rPr>
                <w:rFonts w:ascii="Times New Roman" w:hAnsi="Times New Roman"/>
                <w:sz w:val="18"/>
              </w:rPr>
              <w:t>8.2 KB</w:t>
            </w:r>
          </w:p>
        </w:tc>
        <w:tc>
          <w:tcPr>
            <w:tcW w:type="dxa" w:w="1473"/>
          </w:tcPr>
          <w:p>
            <w:r/>
            <w:r>
              <w:rPr>
                <w:rFonts w:ascii="Times New Roman" w:hAnsi="Times New Roman"/>
                <w:sz w:val="18"/>
              </w:rPr>
              <w:t>79</w:t>
            </w:r>
          </w:p>
        </w:tc>
        <w:tc>
          <w:tcPr>
            <w:tcW w:type="dxa" w:w="1473"/>
          </w:tcPr>
          <w:p>
            <w:r/>
            <w:r>
              <w:rPr>
                <w:rFonts w:ascii="Times New Roman" w:hAnsi="Times New Roman"/>
                <w:sz w:val="18"/>
              </w:rPr>
              <w:t>8</w:t>
            </w:r>
          </w:p>
        </w:tc>
        <w:tc>
          <w:tcPr>
            <w:tcW w:type="dxa" w:w="1473"/>
          </w:tcPr>
          <w:p>
            <w:r/>
            <w:r>
              <w:rPr>
                <w:rFonts w:ascii="Times New Roman" w:hAnsi="Times New Roman"/>
                <w:sz w:val="18"/>
              </w:rPr>
              <w:t>9.9×</w:t>
            </w:r>
          </w:p>
        </w:tc>
      </w:tr>
      <w:tr>
        <w:tc>
          <w:tcPr>
            <w:tcW w:type="dxa" w:w="1473"/>
          </w:tcPr>
          <w:p>
            <w:r/>
            <w:r>
              <w:rPr>
                <w:rFonts w:ascii="Times New Roman" w:hAnsi="Times New Roman"/>
                <w:sz w:val="18"/>
              </w:rPr>
              <w:t>4,096</w:t>
            </w:r>
          </w:p>
        </w:tc>
        <w:tc>
          <w:tcPr>
            <w:tcW w:type="dxa" w:w="1473"/>
          </w:tcPr>
          <w:p>
            <w:r/>
            <w:r>
              <w:rPr>
                <w:rFonts w:ascii="Times New Roman" w:hAnsi="Times New Roman"/>
                <w:sz w:val="18"/>
              </w:rPr>
              <w:t>~5,734</w:t>
            </w:r>
          </w:p>
        </w:tc>
        <w:tc>
          <w:tcPr>
            <w:tcW w:type="dxa" w:w="1473"/>
          </w:tcPr>
          <w:p>
            <w:r/>
            <w:r>
              <w:rPr>
                <w:rFonts w:ascii="Times New Roman" w:hAnsi="Times New Roman"/>
                <w:sz w:val="18"/>
              </w:rPr>
              <w:t>131 KB</w:t>
            </w:r>
          </w:p>
        </w:tc>
        <w:tc>
          <w:tcPr>
            <w:tcW w:type="dxa" w:w="1473"/>
          </w:tcPr>
          <w:p>
            <w:r/>
            <w:r>
              <w:rPr>
                <w:rFonts w:ascii="Times New Roman" w:hAnsi="Times New Roman"/>
                <w:sz w:val="18"/>
              </w:rPr>
              <w:t>96</w:t>
            </w:r>
          </w:p>
        </w:tc>
        <w:tc>
          <w:tcPr>
            <w:tcW w:type="dxa" w:w="1473"/>
          </w:tcPr>
          <w:p>
            <w:r/>
            <w:r>
              <w:rPr>
                <w:rFonts w:ascii="Times New Roman" w:hAnsi="Times New Roman"/>
                <w:sz w:val="18"/>
              </w:rPr>
              <w:t>9</w:t>
            </w:r>
          </w:p>
        </w:tc>
        <w:tc>
          <w:tcPr>
            <w:tcW w:type="dxa" w:w="1473"/>
          </w:tcPr>
          <w:p>
            <w:r/>
            <w:r>
              <w:rPr>
                <w:rFonts w:ascii="Times New Roman" w:hAnsi="Times New Roman"/>
                <w:sz w:val="18"/>
              </w:rPr>
              <w:t>10.7×</w:t>
            </w:r>
          </w:p>
        </w:tc>
      </w:tr>
      <w:tr>
        <w:tc>
          <w:tcPr>
            <w:tcW w:type="dxa" w:w="1473"/>
          </w:tcPr>
          <w:p>
            <w:r/>
            <w:r>
              <w:rPr>
                <w:rFonts w:ascii="Times New Roman" w:hAnsi="Times New Roman"/>
                <w:sz w:val="18"/>
              </w:rPr>
              <w:t>65,536</w:t>
            </w:r>
          </w:p>
        </w:tc>
        <w:tc>
          <w:tcPr>
            <w:tcW w:type="dxa" w:w="1473"/>
          </w:tcPr>
          <w:p>
            <w:r/>
            <w:r>
              <w:rPr>
                <w:rFonts w:ascii="Times New Roman" w:hAnsi="Times New Roman"/>
                <w:sz w:val="18"/>
              </w:rPr>
              <w:t>~91,750</w:t>
            </w:r>
          </w:p>
        </w:tc>
        <w:tc>
          <w:tcPr>
            <w:tcW w:type="dxa" w:w="1473"/>
          </w:tcPr>
          <w:p>
            <w:r/>
            <w:r>
              <w:rPr>
                <w:rFonts w:ascii="Times New Roman" w:hAnsi="Times New Roman"/>
                <w:sz w:val="18"/>
              </w:rPr>
              <w:t>2.1 MB</w:t>
            </w:r>
          </w:p>
        </w:tc>
        <w:tc>
          <w:tcPr>
            <w:tcW w:type="dxa" w:w="1473"/>
          </w:tcPr>
          <w:p>
            <w:r/>
            <w:r>
              <w:rPr>
                <w:rFonts w:ascii="Times New Roman" w:hAnsi="Times New Roman"/>
                <w:sz w:val="18"/>
              </w:rPr>
              <w:t>158</w:t>
            </w:r>
          </w:p>
        </w:tc>
        <w:tc>
          <w:tcPr>
            <w:tcW w:type="dxa" w:w="1473"/>
          </w:tcPr>
          <w:p>
            <w:r/>
            <w:r>
              <w:rPr>
                <w:rFonts w:ascii="Times New Roman" w:hAnsi="Times New Roman"/>
                <w:sz w:val="18"/>
              </w:rPr>
              <w:t>8</w:t>
            </w:r>
          </w:p>
        </w:tc>
        <w:tc>
          <w:tcPr>
            <w:tcW w:type="dxa" w:w="1473"/>
          </w:tcPr>
          <w:p>
            <w:r/>
            <w:r>
              <w:rPr>
                <w:rFonts w:ascii="Times New Roman" w:hAnsi="Times New Roman"/>
                <w:sz w:val="18"/>
              </w:rPr>
              <w:t>19.8×</w:t>
            </w:r>
          </w:p>
        </w:tc>
      </w:tr>
      <w:tr>
        <w:tc>
          <w:tcPr>
            <w:tcW w:type="dxa" w:w="1473"/>
          </w:tcPr>
          <w:p>
            <w:r/>
            <w:r>
              <w:rPr>
                <w:rFonts w:ascii="Times New Roman" w:hAnsi="Times New Roman"/>
                <w:sz w:val="18"/>
              </w:rPr>
              <w:t>262,144</w:t>
            </w:r>
          </w:p>
        </w:tc>
        <w:tc>
          <w:tcPr>
            <w:tcW w:type="dxa" w:w="1473"/>
          </w:tcPr>
          <w:p>
            <w:r/>
            <w:r>
              <w:rPr>
                <w:rFonts w:ascii="Times New Roman" w:hAnsi="Times New Roman"/>
                <w:sz w:val="18"/>
              </w:rPr>
              <w:t>~330,000</w:t>
            </w:r>
          </w:p>
        </w:tc>
        <w:tc>
          <w:tcPr>
            <w:tcW w:type="dxa" w:w="1473"/>
          </w:tcPr>
          <w:p>
            <w:r/>
            <w:r>
              <w:rPr>
                <w:rFonts w:ascii="Times New Roman" w:hAnsi="Times New Roman"/>
                <w:sz w:val="18"/>
              </w:rPr>
              <w:t>8.4 MB</w:t>
            </w:r>
          </w:p>
        </w:tc>
        <w:tc>
          <w:tcPr>
            <w:tcW w:type="dxa" w:w="1473"/>
          </w:tcPr>
          <w:p>
            <w:r/>
            <w:r>
              <w:rPr>
                <w:rFonts w:ascii="Times New Roman" w:hAnsi="Times New Roman"/>
                <w:sz w:val="18"/>
              </w:rPr>
              <w:t>617</w:t>
            </w:r>
          </w:p>
        </w:tc>
        <w:tc>
          <w:tcPr>
            <w:tcW w:type="dxa" w:w="1473"/>
          </w:tcPr>
          <w:p>
            <w:r/>
            <w:r>
              <w:rPr>
                <w:rFonts w:ascii="Times New Roman" w:hAnsi="Times New Roman"/>
                <w:sz w:val="18"/>
              </w:rPr>
              <w:t>9</w:t>
            </w:r>
          </w:p>
        </w:tc>
        <w:tc>
          <w:tcPr>
            <w:tcW w:type="dxa" w:w="1473"/>
          </w:tcPr>
          <w:p>
            <w:r/>
            <w:r>
              <w:rPr>
                <w:rFonts w:ascii="Times New Roman" w:hAnsi="Times New Roman"/>
                <w:sz w:val="18"/>
              </w:rPr>
              <w:t>68.6×</w:t>
            </w:r>
          </w:p>
        </w:tc>
      </w:tr>
    </w:tbl>
    <w:p>
      <w:pPr>
        <w:spacing w:after="120"/>
      </w:pPr>
      <w:r>
        <w:rPr>
          <w:rFonts w:ascii="Times New Roman" w:hAnsi="Times New Roman"/>
          <w:b w:val="0"/>
          <w:i w:val="0"/>
          <w:sz w:val="20"/>
        </w:rPr>
      </w:r>
    </w:p>
    <w:p>
      <w:pPr>
        <w:pStyle w:val="BodyText"/>
        <w:ind w:firstLine="283"/>
      </w:pPr>
      <w:r>
        <w:rPr>
          <w:rFonts w:ascii="Times New Roman" w:hAnsi="Times New Roman"/>
          <w:sz w:val="20"/>
        </w:rPr>
        <w:t>The ladder’s weakness is that it requires a fixed window. If the market moves beyond the window, the ladder must be re-centred, which is an O(n) operation not tested in our benchmark. In practice, for BTC/USDT, a window of ±$100 (20,000 ticks per side) covers any intraday move and costs only 320 KB of memory.</w:t>
      </w:r>
    </w:p>
    <w:p>
      <w:pPr>
        <w:spacing w:before="160"/>
        <w:jc w:val="center"/>
      </w:pPr>
      <w:r>
        <w:drawing>
          <wp:inline xmlns:a="http://schemas.openxmlformats.org/drawingml/2006/main" xmlns:pic="http://schemas.openxmlformats.org/drawingml/2006/picture">
            <wp:extent cx="5029200" cy="3207026"/>
            <wp:docPr id="1" name="Picture 1"/>
            <wp:cNvGraphicFramePr>
              <a:graphicFrameLocks noChangeAspect="1"/>
            </wp:cNvGraphicFramePr>
            <a:graphic>
              <a:graphicData uri="http://schemas.openxmlformats.org/drawingml/2006/picture">
                <pic:pic>
                  <pic:nvPicPr>
                    <pic:cNvPr id="0" name="fig2_book_depth_scaling.png"/>
                    <pic:cNvPicPr/>
                  </pic:nvPicPr>
                  <pic:blipFill>
                    <a:blip r:embed="rId9"/>
                    <a:stretch>
                      <a:fillRect/>
                    </a:stretch>
                  </pic:blipFill>
                  <pic:spPr>
                    <a:xfrm>
                      <a:off x="0" y="0"/>
                      <a:ext cx="5029200" cy="3207026"/>
                    </a:xfrm>
                    <a:prstGeom prst="rect"/>
                  </pic:spPr>
                </pic:pic>
              </a:graphicData>
            </a:graphic>
          </wp:inline>
        </w:drawing>
      </w:r>
    </w:p>
    <w:p>
      <w:pPr>
        <w:spacing w:after="160"/>
        <w:jc w:val="center"/>
      </w:pPr>
      <w:r>
        <w:rPr>
          <w:rFonts w:ascii="Times New Roman" w:hAnsi="Times New Roman"/>
          <w:sz w:val="18"/>
        </w:rPr>
        <w:t>Fig. 1. Order-book update latency versus the number of active price levels. The tree’s median grows with log(n); the ladder stays constant. Shaded bands extend to the 99th percentile (median of five runs).</w:t>
      </w:r>
    </w:p>
    <w:p>
      <w:pPr>
        <w:pStyle w:val="Heading2"/>
      </w:pPr>
      <w:r>
        <w:t>5.4  Inter-Thread Communication</w:t>
      </w:r>
    </w:p>
    <w:p>
      <w:pPr>
        <w:pStyle w:val="BodyText"/>
        <w:ind w:firstLine="0"/>
      </w:pPr>
      <w:r>
        <w:rPr>
          <w:rFonts w:ascii="Times New Roman" w:hAnsi="Times New Roman"/>
          <w:sz w:val="20"/>
        </w:rPr>
        <w:t>Trading systems typically separate the network-receive thread from the strategy thread with a queue. The standard approach, a std::queue guarded by a std::mutex, is correct for any number of producers and consumers but takes the lock on every push and pop. Listing 5 shows a single-producer single-consumer (SPSC) ring buffer that replaces the lock with atomic load/store operations. Because only one thread writes the tail index and only one thread writes the head index, mutual exclusion is guaranteed by the hardware memory model without a lock.</w:t>
      </w:r>
    </w:p>
    <w:p>
      <w:pPr>
        <w:spacing w:before="120" w:after="60"/>
      </w:pPr>
      <w:r>
        <w:rPr>
          <w:rFonts w:ascii="Times New Roman" w:hAnsi="Times New Roman"/>
          <w:i/>
          <w:sz w:val="18"/>
        </w:rPr>
        <w:t>Listing 5. SPSC ring buffer for lock-free thread hand-off (C++20).</w:t>
      </w:r>
    </w:p>
    <w:p>
      <w:pPr>
        <w:spacing w:before="0" w:after="0" w:line="220" w:lineRule="exact"/>
      </w:pPr>
      <w:r>
        <w:rPr>
          <w:rFonts w:ascii="Courier New" w:hAnsi="Courier New"/>
          <w:sz w:val="16"/>
        </w:rPr>
        <w:t>/* Listing 5. Lock-free SPSC ring buffer core (C++20).</w:t>
      </w:r>
    </w:p>
    <w:p>
      <w:pPr>
        <w:spacing w:before="0" w:after="0" w:line="220" w:lineRule="exact"/>
      </w:pPr>
      <w:r>
        <w:rPr>
          <w:rFonts w:ascii="Courier New" w:hAnsi="Courier New"/>
          <w:sz w:val="16"/>
        </w:rPr>
        <w:t xml:space="preserve"> * head_ and tail_ are on separate cache lines (alignas(64))</w:t>
      </w:r>
    </w:p>
    <w:p>
      <w:pPr>
        <w:spacing w:before="0" w:after="0" w:line="220" w:lineRule="exact"/>
      </w:pPr>
      <w:r>
        <w:rPr>
          <w:rFonts w:ascii="Courier New" w:hAnsi="Courier New"/>
          <w:sz w:val="16"/>
        </w:rPr>
        <w:t xml:space="preserve"> * to prevent false sharing between producer and consumer. */</w:t>
      </w:r>
    </w:p>
    <w:p>
      <w:pPr>
        <w:spacing w:before="0" w:after="0" w:line="220" w:lineRule="exact"/>
      </w:pPr>
      <w:r>
        <w:rPr>
          <w:rFonts w:ascii="Courier New" w:hAnsi="Courier New"/>
          <w:sz w:val="16"/>
        </w:rPr>
        <w:t>bool SpscRing::try_push(const T&amp; v) {      // producer only</w:t>
      </w:r>
    </w:p>
    <w:p>
      <w:pPr>
        <w:spacing w:before="0" w:after="0" w:line="220" w:lineRule="exact"/>
      </w:pPr>
      <w:r>
        <w:rPr>
          <w:rFonts w:ascii="Courier New" w:hAnsi="Courier New"/>
          <w:sz w:val="16"/>
        </w:rPr>
        <w:t xml:space="preserve">    const size_t t = tail_.load(std::memory_order_relaxed);</w:t>
      </w:r>
    </w:p>
    <w:p>
      <w:pPr>
        <w:spacing w:before="0" w:after="0" w:line="220" w:lineRule="exact"/>
      </w:pPr>
      <w:r>
        <w:rPr>
          <w:rFonts w:ascii="Courier New" w:hAnsi="Courier New"/>
          <w:sz w:val="16"/>
        </w:rPr>
        <w:t xml:space="preserve">    if (t - head_.load(std::memory_order_acquire) &gt; mask_)</w:t>
      </w:r>
    </w:p>
    <w:p>
      <w:pPr>
        <w:spacing w:before="0" w:after="0" w:line="220" w:lineRule="exact"/>
      </w:pPr>
      <w:r>
        <w:rPr>
          <w:rFonts w:ascii="Courier New" w:hAnsi="Courier New"/>
          <w:sz w:val="16"/>
        </w:rPr>
        <w:t xml:space="preserve">        return false;                        // full</w:t>
      </w:r>
    </w:p>
    <w:p>
      <w:pPr>
        <w:spacing w:before="0" w:after="0" w:line="220" w:lineRule="exact"/>
      </w:pPr>
      <w:r>
        <w:rPr>
          <w:rFonts w:ascii="Courier New" w:hAnsi="Courier New"/>
          <w:sz w:val="16"/>
        </w:rPr>
        <w:t xml:space="preserve">    buf_[t &amp; mask_] = v;</w:t>
      </w:r>
    </w:p>
    <w:p>
      <w:pPr>
        <w:spacing w:before="0" w:after="0" w:line="220" w:lineRule="exact"/>
      </w:pPr>
      <w:r>
        <w:rPr>
          <w:rFonts w:ascii="Courier New" w:hAnsi="Courier New"/>
          <w:sz w:val="16"/>
        </w:rPr>
        <w:t xml:space="preserve">    tail_.store(t + 1, std::memory_order_release);</w:t>
      </w:r>
    </w:p>
    <w:p>
      <w:pPr>
        <w:spacing w:before="0" w:after="0" w:line="220" w:lineRule="exact"/>
      </w:pPr>
      <w:r>
        <w:rPr>
          <w:rFonts w:ascii="Courier New" w:hAnsi="Courier New"/>
          <w:sz w:val="16"/>
        </w:rPr>
        <w:t xml:space="preserve">    return true;</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bool SpscRing::try_pop(T&amp; v) {              // consumer only</w:t>
      </w:r>
    </w:p>
    <w:p>
      <w:pPr>
        <w:spacing w:before="0" w:after="0" w:line="220" w:lineRule="exact"/>
      </w:pPr>
      <w:r>
        <w:rPr>
          <w:rFonts w:ascii="Courier New" w:hAnsi="Courier New"/>
          <w:sz w:val="16"/>
        </w:rPr>
        <w:t xml:space="preserve">    const size_t h = head_.load(std::memory_order_relaxed);</w:t>
      </w:r>
    </w:p>
    <w:p>
      <w:pPr>
        <w:spacing w:before="0" w:after="0" w:line="220" w:lineRule="exact"/>
      </w:pPr>
      <w:r>
        <w:rPr>
          <w:rFonts w:ascii="Courier New" w:hAnsi="Courier New"/>
          <w:sz w:val="16"/>
        </w:rPr>
        <w:t xml:space="preserve">    if (h == tail_.load(std::memory_order_acquire))</w:t>
      </w:r>
    </w:p>
    <w:p>
      <w:pPr>
        <w:spacing w:before="0" w:after="0" w:line="220" w:lineRule="exact"/>
      </w:pPr>
      <w:r>
        <w:rPr>
          <w:rFonts w:ascii="Courier New" w:hAnsi="Courier New"/>
          <w:sz w:val="16"/>
        </w:rPr>
        <w:t xml:space="preserve">        return false;                        // empty</w:t>
      </w:r>
    </w:p>
    <w:p>
      <w:pPr>
        <w:spacing w:before="0" w:after="0" w:line="220" w:lineRule="exact"/>
      </w:pPr>
      <w:r>
        <w:rPr>
          <w:rFonts w:ascii="Courier New" w:hAnsi="Courier New"/>
          <w:sz w:val="16"/>
        </w:rPr>
        <w:t xml:space="preserve">    v = buf_[h &amp; mask_];</w:t>
      </w:r>
    </w:p>
    <w:p>
      <w:pPr>
        <w:spacing w:before="0" w:after="0" w:line="220" w:lineRule="exact"/>
      </w:pPr>
      <w:r>
        <w:rPr>
          <w:rFonts w:ascii="Courier New" w:hAnsi="Courier New"/>
          <w:sz w:val="16"/>
        </w:rPr>
        <w:t xml:space="preserve">    head_.store(h + 1, std::memory_order_release);</w:t>
      </w:r>
    </w:p>
    <w:p>
      <w:pPr>
        <w:spacing w:before="0" w:after="0" w:line="220" w:lineRule="exact"/>
      </w:pPr>
      <w:r>
        <w:rPr>
          <w:rFonts w:ascii="Courier New" w:hAnsi="Courier New"/>
          <w:sz w:val="16"/>
        </w:rPr>
        <w:t xml:space="preserve">    return true;</w:t>
      </w:r>
    </w:p>
    <w:p>
      <w:pPr>
        <w:spacing w:before="0" w:after="0" w:line="220" w:lineRule="exact"/>
      </w:pPr>
      <w:r>
        <w:rPr>
          <w:rFonts w:ascii="Courier New" w:hAnsi="Courier New"/>
          <w:sz w:val="16"/>
        </w:rPr>
        <w:t>}</w:t>
      </w:r>
    </w:p>
    <w:p>
      <w:pPr>
        <w:pStyle w:val="BodyText"/>
        <w:ind w:firstLine="283"/>
      </w:pPr>
      <w:r>
        <w:rPr>
          <w:rFonts w:ascii="Times New Roman" w:hAnsi="Times New Roman"/>
          <w:sz w:val="20"/>
        </w:rPr>
        <w:t>Table 6 reports the results. The mutex queue takes a median of 75 ns per message and varies between 72 and 97 ns across runs. The SPSC ring buffer takes 28–30 ns, a 2.5× improvement. Michael and Scott [16] found non-blocking queues faster than lock-based alternatives in their classic comparison, consistent with our measurement. The ring buffer’s limitations must be stated plainly: it is incorrect with more than one producer or more than one consumer, its capacity is fixed at construction, and both threads busy-spin, so two full CPU cores are consumed even when there is nothing to process. On a 4-vCPU cloud instance, dedicating two cores to busy polling is a real cost.</w:t>
      </w:r>
    </w:p>
    <w:p>
      <w:pPr>
        <w:spacing w:before="160" w:after="80"/>
      </w:pPr>
      <w:r>
        <w:rPr>
          <w:rFonts w:ascii="Times New Roman" w:hAnsi="Times New Roman"/>
          <w:sz w:val="18"/>
        </w:rPr>
        <w:t>Table 6. Thread hand-off latency, 2,000,000 messages, median of 9 runs per variant.</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Queue type</w:t>
            </w:r>
          </w:p>
        </w:tc>
        <w:tc>
          <w:tcPr>
            <w:tcW w:type="dxa" w:w="1768"/>
          </w:tcPr>
          <w:p>
            <w:r/>
            <w:r>
              <w:rPr>
                <w:rFonts w:ascii="Times New Roman" w:hAnsi="Times New Roman"/>
                <w:b/>
                <w:sz w:val="18"/>
              </w:rPr>
              <w:t>Median (ns)</w:t>
            </w:r>
          </w:p>
        </w:tc>
        <w:tc>
          <w:tcPr>
            <w:tcW w:type="dxa" w:w="1768"/>
          </w:tcPr>
          <w:p>
            <w:r/>
            <w:r>
              <w:rPr>
                <w:rFonts w:ascii="Times New Roman" w:hAnsi="Times New Roman"/>
                <w:b/>
                <w:sz w:val="18"/>
              </w:rPr>
              <w:t>Min (ns)</w:t>
            </w:r>
          </w:p>
        </w:tc>
        <w:tc>
          <w:tcPr>
            <w:tcW w:type="dxa" w:w="1768"/>
          </w:tcPr>
          <w:p>
            <w:r/>
            <w:r>
              <w:rPr>
                <w:rFonts w:ascii="Times New Roman" w:hAnsi="Times New Roman"/>
                <w:b/>
                <w:sz w:val="18"/>
              </w:rPr>
              <w:t>Max (ns)</w:t>
            </w:r>
          </w:p>
        </w:tc>
        <w:tc>
          <w:tcPr>
            <w:tcW w:type="dxa" w:w="1768"/>
          </w:tcPr>
          <w:p>
            <w:r/>
            <w:r>
              <w:rPr>
                <w:rFonts w:ascii="Times New Roman" w:hAnsi="Times New Roman"/>
                <w:b/>
                <w:sz w:val="18"/>
              </w:rPr>
              <w:t>Speedup</w:t>
            </w:r>
          </w:p>
        </w:tc>
      </w:tr>
      <w:tr>
        <w:tc>
          <w:tcPr>
            <w:tcW w:type="dxa" w:w="1768"/>
          </w:tcPr>
          <w:p>
            <w:r/>
            <w:r>
              <w:rPr>
                <w:rFonts w:ascii="Times New Roman" w:hAnsi="Times New Roman"/>
                <w:sz w:val="18"/>
              </w:rPr>
              <w:t>std::queue + std::mutex</w:t>
            </w:r>
          </w:p>
        </w:tc>
        <w:tc>
          <w:tcPr>
            <w:tcW w:type="dxa" w:w="1768"/>
          </w:tcPr>
          <w:p>
            <w:r/>
            <w:r>
              <w:rPr>
                <w:rFonts w:ascii="Times New Roman" w:hAnsi="Times New Roman"/>
                <w:sz w:val="18"/>
              </w:rPr>
              <w:t>75.5</w:t>
            </w:r>
          </w:p>
        </w:tc>
        <w:tc>
          <w:tcPr>
            <w:tcW w:type="dxa" w:w="1768"/>
          </w:tcPr>
          <w:p>
            <w:r/>
            <w:r>
              <w:rPr>
                <w:rFonts w:ascii="Times New Roman" w:hAnsi="Times New Roman"/>
                <w:sz w:val="18"/>
              </w:rPr>
              <w:t>71.8</w:t>
            </w:r>
          </w:p>
        </w:tc>
        <w:tc>
          <w:tcPr>
            <w:tcW w:type="dxa" w:w="1768"/>
          </w:tcPr>
          <w:p>
            <w:r/>
            <w:r>
              <w:rPr>
                <w:rFonts w:ascii="Times New Roman" w:hAnsi="Times New Roman"/>
                <w:sz w:val="18"/>
              </w:rPr>
              <w:t>97.4</w:t>
            </w:r>
          </w:p>
        </w:tc>
        <w:tc>
          <w:tcPr>
            <w:tcW w:type="dxa" w:w="1768"/>
          </w:tcPr>
          <w:p>
            <w:r/>
            <w:r>
              <w:rPr>
                <w:rFonts w:ascii="Times New Roman" w:hAnsi="Times New Roman"/>
                <w:sz w:val="18"/>
              </w:rPr>
              <w:t>1.0×</w:t>
            </w:r>
          </w:p>
        </w:tc>
      </w:tr>
      <w:tr>
        <w:tc>
          <w:tcPr>
            <w:tcW w:type="dxa" w:w="1768"/>
          </w:tcPr>
          <w:p>
            <w:r/>
            <w:r>
              <w:rPr>
                <w:rFonts w:ascii="Times New Roman" w:hAnsi="Times New Roman"/>
                <w:sz w:val="18"/>
              </w:rPr>
              <w:t>SPSC ring buffer</w:t>
            </w:r>
          </w:p>
        </w:tc>
        <w:tc>
          <w:tcPr>
            <w:tcW w:type="dxa" w:w="1768"/>
          </w:tcPr>
          <w:p>
            <w:r/>
            <w:r>
              <w:rPr>
                <w:rFonts w:ascii="Times New Roman" w:hAnsi="Times New Roman"/>
                <w:sz w:val="18"/>
              </w:rPr>
              <w:t>28.7</w:t>
            </w:r>
          </w:p>
        </w:tc>
        <w:tc>
          <w:tcPr>
            <w:tcW w:type="dxa" w:w="1768"/>
          </w:tcPr>
          <w:p>
            <w:r/>
            <w:r>
              <w:rPr>
                <w:rFonts w:ascii="Times New Roman" w:hAnsi="Times New Roman"/>
                <w:sz w:val="18"/>
              </w:rPr>
              <w:t>21.8</w:t>
            </w:r>
          </w:p>
        </w:tc>
        <w:tc>
          <w:tcPr>
            <w:tcW w:type="dxa" w:w="1768"/>
          </w:tcPr>
          <w:p>
            <w:r/>
            <w:r>
              <w:rPr>
                <w:rFonts w:ascii="Times New Roman" w:hAnsi="Times New Roman"/>
                <w:sz w:val="18"/>
              </w:rPr>
              <w:t>32.6</w:t>
            </w:r>
          </w:p>
        </w:tc>
        <w:tc>
          <w:tcPr>
            <w:tcW w:type="dxa" w:w="1768"/>
          </w:tcPr>
          <w:p>
            <w:r/>
            <w:r>
              <w:rPr>
                <w:rFonts w:ascii="Times New Roman" w:hAnsi="Times New Roman"/>
                <w:sz w:val="18"/>
              </w:rPr>
              <w:t>2.6×</w:t>
            </w:r>
          </w:p>
        </w:tc>
      </w:tr>
    </w:tbl>
    <w:p>
      <w:pPr>
        <w:spacing w:after="120"/>
      </w:pPr>
      <w:r>
        <w:rPr>
          <w:rFonts w:ascii="Times New Roman" w:hAnsi="Times New Roman"/>
          <w:b w:val="0"/>
          <w:i w:val="0"/>
          <w:sz w:val="20"/>
        </w:rPr>
      </w:r>
    </w:p>
    <w:p>
      <w:pPr>
        <w:pStyle w:val="Heading2"/>
      </w:pPr>
      <w:r>
        <w:t>5.5  Memory Management</w:t>
      </w:r>
    </w:p>
    <w:p>
      <w:pPr>
        <w:pStyle w:val="BodyText"/>
        <w:ind w:firstLine="0"/>
      </w:pPr>
      <w:r>
        <w:rPr>
          <w:rFonts w:ascii="Times New Roman" w:hAnsi="Times New Roman"/>
          <w:sz w:val="20"/>
        </w:rPr>
        <w:t>A natural assumption in latency engineering is that replacing the general-purpose heap allocator (malloc/free) with a fixed-block memory pool will reduce allocation time, since the pool avoids free-list searching and merging. In a trading pipeline, message sizes are predictable (the firm knows that a Binance depth message is roughly 300–400 bytes), so a pool seems like a clean fit. We implemented one (Listing 6) and benchmarked it against the system malloc. The result was instructive.</w:t>
      </w:r>
    </w:p>
    <w:p>
      <w:pPr>
        <w:spacing w:before="120" w:after="60"/>
      </w:pPr>
      <w:r>
        <w:rPr>
          <w:rFonts w:ascii="Times New Roman" w:hAnsi="Times New Roman"/>
          <w:i/>
          <w:sz w:val="18"/>
        </w:rPr>
        <w:t>Listing 6. Fixed-block memory pool for predictable allocation (C17).</w:t>
      </w:r>
    </w:p>
    <w:p>
      <w:pPr>
        <w:spacing w:before="0" w:after="0" w:line="220" w:lineRule="exact"/>
      </w:pPr>
      <w:r>
        <w:rPr>
          <w:rFonts w:ascii="Courier New" w:hAnsi="Courier New"/>
          <w:sz w:val="16"/>
        </w:rPr>
        <w:t>/* Listing 6. Fixed-block memory pool (C17). All blocks are the</w:t>
      </w:r>
    </w:p>
    <w:p>
      <w:pPr>
        <w:spacing w:before="0" w:after="0" w:line="220" w:lineRule="exact"/>
      </w:pPr>
      <w:r>
        <w:rPr>
          <w:rFonts w:ascii="Courier New" w:hAnsi="Courier New"/>
          <w:sz w:val="16"/>
        </w:rPr>
        <w:t xml:space="preserve"> * same size, so alloc/free are O(1) with no search or merge.</w:t>
      </w:r>
    </w:p>
    <w:p>
      <w:pPr>
        <w:spacing w:before="0" w:after="0" w:line="220" w:lineRule="exact"/>
      </w:pPr>
      <w:r>
        <w:rPr>
          <w:rFonts w:ascii="Courier New" w:hAnsi="Courier New"/>
          <w:sz w:val="16"/>
        </w:rPr>
        <w:t xml:space="preserve"> * Not thread-safe; use one pool per thread. */</w:t>
      </w:r>
    </w:p>
    <w:p>
      <w:pPr>
        <w:spacing w:before="0" w:after="0" w:line="220" w:lineRule="exact"/>
      </w:pPr>
      <w:r>
        <w:rPr>
          <w:rFonts w:ascii="Courier New" w:hAnsi="Courier New"/>
          <w:sz w:val="16"/>
        </w:rPr>
        <w:t>typedef struct pool {</w:t>
      </w:r>
    </w:p>
    <w:p>
      <w:pPr>
        <w:spacing w:before="0" w:after="0" w:line="220" w:lineRule="exact"/>
      </w:pPr>
      <w:r>
        <w:rPr>
          <w:rFonts w:ascii="Courier New" w:hAnsi="Courier New"/>
          <w:sz w:val="16"/>
        </w:rPr>
        <w:t xml:space="preserve">    char   *base;       /* raw backing memory                 */</w:t>
      </w:r>
    </w:p>
    <w:p>
      <w:pPr>
        <w:spacing w:before="0" w:after="0" w:line="220" w:lineRule="exact"/>
      </w:pPr>
      <w:r>
        <w:rPr>
          <w:rFonts w:ascii="Courier New" w:hAnsi="Courier New"/>
          <w:sz w:val="16"/>
        </w:rPr>
        <w:t xml:space="preserve">    char  **free_list;  /* stack of pointers to free blocks   */</w:t>
      </w:r>
    </w:p>
    <w:p>
      <w:pPr>
        <w:spacing w:before="0" w:after="0" w:line="220" w:lineRule="exact"/>
      </w:pPr>
      <w:r>
        <w:rPr>
          <w:rFonts w:ascii="Courier New" w:hAnsi="Courier New"/>
          <w:sz w:val="16"/>
        </w:rPr>
        <w:t xml:space="preserve">    size_t  top;        /* index into free_list               */</w:t>
      </w:r>
    </w:p>
    <w:p>
      <w:pPr>
        <w:spacing w:before="0" w:after="0" w:line="220" w:lineRule="exact"/>
      </w:pPr>
      <w:r>
        <w:rPr>
          <w:rFonts w:ascii="Courier New" w:hAnsi="Courier New"/>
          <w:sz w:val="16"/>
        </w:rPr>
        <w:t xml:space="preserve">    size_t  capacity;   /* total blocks                       */</w:t>
      </w:r>
    </w:p>
    <w:p>
      <w:pPr>
        <w:spacing w:before="0" w:after="0" w:line="220" w:lineRule="exact"/>
      </w:pPr>
      <w:r>
        <w:rPr>
          <w:rFonts w:ascii="Courier New" w:hAnsi="Courier New"/>
          <w:sz w:val="16"/>
        </w:rPr>
        <w:t xml:space="preserve">    size_t  block_size; /* bytes per block, aligned to 64     */</w:t>
      </w:r>
    </w:p>
    <w:p>
      <w:pPr>
        <w:spacing w:before="0" w:after="0" w:line="220" w:lineRule="exact"/>
      </w:pPr>
      <w:r>
        <w:rPr>
          <w:rFonts w:ascii="Courier New" w:hAnsi="Courier New"/>
          <w:sz w:val="16"/>
        </w:rPr>
        <w:t>} pool_t;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int pool_init(pool_t *p, size_t block_size, size_t capacity) {</w:t>
      </w:r>
    </w:p>
    <w:p>
      <w:pPr>
        <w:spacing w:before="0" w:after="0" w:line="220" w:lineRule="exact"/>
      </w:pPr>
      <w:r>
        <w:rPr>
          <w:rFonts w:ascii="Courier New" w:hAnsi="Courier New"/>
          <w:sz w:val="16"/>
        </w:rPr>
        <w:t xml:space="preserve">    p-&gt;block_size = (block_size + 63) &amp; ~(size_t)63;  /* 64-byte align */</w:t>
      </w:r>
    </w:p>
    <w:p>
      <w:pPr>
        <w:spacing w:before="0" w:after="0" w:line="220" w:lineRule="exact"/>
      </w:pPr>
      <w:r>
        <w:rPr>
          <w:rFonts w:ascii="Courier New" w:hAnsi="Courier New"/>
          <w:sz w:val="16"/>
        </w:rPr>
        <w:t xml:space="preserve">    p-&gt;capacity   = capacity;</w:t>
      </w:r>
    </w:p>
    <w:p>
      <w:pPr>
        <w:spacing w:before="0" w:after="0" w:line="220" w:lineRule="exact"/>
      </w:pPr>
      <w:r>
        <w:rPr>
          <w:rFonts w:ascii="Courier New" w:hAnsi="Courier New"/>
          <w:sz w:val="16"/>
        </w:rPr>
        <w:t xml:space="preserve">    p-&gt;base       = (char *)aligned_alloc(64, p-&gt;block_size * capacity);</w:t>
      </w:r>
    </w:p>
    <w:p>
      <w:pPr>
        <w:spacing w:before="0" w:after="0" w:line="220" w:lineRule="exact"/>
      </w:pPr>
      <w:r>
        <w:rPr>
          <w:rFonts w:ascii="Courier New" w:hAnsi="Courier New"/>
          <w:sz w:val="16"/>
        </w:rPr>
        <w:t xml:space="preserve">    p-&gt;free_list  = (char **)malloc(capacity * sizeof(char *));</w:t>
      </w:r>
    </w:p>
    <w:p>
      <w:pPr>
        <w:spacing w:before="0" w:after="0" w:line="220" w:lineRule="exact"/>
      </w:pPr>
      <w:r>
        <w:rPr>
          <w:rFonts w:ascii="Courier New" w:hAnsi="Courier New"/>
          <w:sz w:val="16"/>
        </w:rPr>
        <w:t xml:space="preserve">    if (!p-&gt;base || !p-&gt;free_list) return -1;</w:t>
      </w:r>
    </w:p>
    <w:p>
      <w:pPr>
        <w:spacing w:before="0" w:after="0" w:line="220" w:lineRule="exact"/>
      </w:pPr>
      <w:r>
        <w:rPr>
          <w:rFonts w:ascii="Courier New" w:hAnsi="Courier New"/>
          <w:sz w:val="16"/>
        </w:rPr>
        <w:t xml:space="preserve">    for (size_t i = 0; i &lt; capacity; ++i)</w:t>
      </w:r>
    </w:p>
    <w:p>
      <w:pPr>
        <w:spacing w:before="0" w:after="0" w:line="220" w:lineRule="exact"/>
      </w:pPr>
      <w:r>
        <w:rPr>
          <w:rFonts w:ascii="Courier New" w:hAnsi="Courier New"/>
          <w:sz w:val="16"/>
        </w:rPr>
        <w:t xml:space="preserve">        p-&gt;free_list[i] = p-&gt;base + i * p-&gt;block_size;</w:t>
      </w:r>
    </w:p>
    <w:p>
      <w:pPr>
        <w:spacing w:before="0" w:after="0" w:line="220" w:lineRule="exact"/>
      </w:pPr>
      <w:r>
        <w:rPr>
          <w:rFonts w:ascii="Courier New" w:hAnsi="Courier New"/>
          <w:sz w:val="16"/>
        </w:rPr>
        <w:t xml:space="preserve">    p-&gt;top = capacity;</w:t>
      </w:r>
    </w:p>
    <w:p>
      <w:pPr>
        <w:spacing w:before="0" w:after="0" w:line="220" w:lineRule="exact"/>
      </w:pPr>
      <w:r>
        <w:rPr>
          <w:rFonts w:ascii="Courier New" w:hAnsi="Courier New"/>
          <w:sz w:val="16"/>
        </w:rPr>
        <w:t xml:space="preserve">    return 0;</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static inline void *pool_alloc(pool_t *p) {</w:t>
      </w:r>
    </w:p>
    <w:p>
      <w:pPr>
        <w:spacing w:before="0" w:after="0" w:line="220" w:lineRule="exact"/>
      </w:pPr>
      <w:r>
        <w:rPr>
          <w:rFonts w:ascii="Courier New" w:hAnsi="Courier New"/>
          <w:sz w:val="16"/>
        </w:rPr>
        <w:t xml:space="preserve">    return p-&gt;top &gt; 0 ? p-&gt;free_list[--p-&gt;top] : NULL;</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static inline void pool_free(pool_t *p, void *ptr) {</w:t>
      </w:r>
    </w:p>
    <w:p>
      <w:pPr>
        <w:spacing w:before="0" w:after="0" w:line="220" w:lineRule="exact"/>
      </w:pPr>
      <w:r>
        <w:rPr>
          <w:rFonts w:ascii="Courier New" w:hAnsi="Courier New"/>
          <w:sz w:val="16"/>
        </w:rPr>
        <w:t xml:space="preserve">    p-&gt;free_list[p-&gt;top++] = (char *)ptr;</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void pool_destroy(pool_t *p) {</w:t>
      </w:r>
    </w:p>
    <w:p>
      <w:pPr>
        <w:spacing w:before="0" w:after="0" w:line="220" w:lineRule="exact"/>
      </w:pPr>
      <w:r>
        <w:rPr>
          <w:rFonts w:ascii="Courier New" w:hAnsi="Courier New"/>
          <w:sz w:val="16"/>
        </w:rPr>
        <w:t xml:space="preserve">    free(p-&gt;free_list);</w:t>
      </w:r>
    </w:p>
    <w:p>
      <w:pPr>
        <w:spacing w:before="0" w:after="0" w:line="220" w:lineRule="exact"/>
      </w:pPr>
      <w:r>
        <w:rPr>
          <w:rFonts w:ascii="Courier New" w:hAnsi="Courier New"/>
          <w:sz w:val="16"/>
        </w:rPr>
        <w:t xml:space="preserve">    free(p-&gt;base);</w:t>
      </w:r>
    </w:p>
    <w:p>
      <w:pPr>
        <w:spacing w:before="0" w:after="0" w:line="220" w:lineRule="exact"/>
      </w:pPr>
      <w:r>
        <w:rPr>
          <w:rFonts w:ascii="Courier New" w:hAnsi="Courier New"/>
          <w:sz w:val="16"/>
        </w:rPr>
        <w:t>}</w:t>
      </w:r>
    </w:p>
    <w:p>
      <w:pPr>
        <w:pStyle w:val="BodyText"/>
        <w:ind w:firstLine="283"/>
      </w:pPr>
      <w:r>
        <w:rPr>
          <w:rFonts w:ascii="Times New Roman" w:hAnsi="Times New Roman"/>
          <w:sz w:val="20"/>
        </w:rPr>
        <w:t>Table 7 shows the memory-pool benchmark alongside the buffer-reuse results. The pool allocator was not faster than system malloc in our test: malloc+memset+free for a 384-byte block took a median of 1 ns per call, while the pool version took 13 ns. Modern allocators (glibc’s ptmalloc, Windows’ Low Fragmentation Heap, jemalloc) use per-thread caches and segregated size classes that handle the single-threaded, single-size pattern as efficiently as a hand-written pool. The pool’s additional indirection (stack pointer decrement, cache-line load for the pointer) actually added overhead. This is a genuine negative result, and it illustrates a recurring theme: assumptions from older systems literature do not always hold on modern toolchains.</w:t>
      </w:r>
    </w:p>
    <w:p>
      <w:pPr>
        <w:pStyle w:val="BodyText"/>
        <w:ind w:firstLine="283"/>
      </w:pPr>
      <w:r>
        <w:rPr>
          <w:rFonts w:ascii="Times New Roman" w:hAnsi="Times New Roman"/>
          <w:sz w:val="20"/>
        </w:rPr>
        <w:t>Where memory management does pay off is at the message level. Copying a 336-byte message into a freshly malloc’d buffer costs 156 ns (median), while copying into a pre-allocated reused buffer costs 104 ns, saving 52 ns per message (1.5×). The lesson for the firm: reuse buffers across messages (which the zero-copy parser achieves automatically by writing into a caller-supplied array), but do not assume a custom pool will beat the system allocator without measuring it.</w:t>
      </w:r>
    </w:p>
    <w:p>
      <w:pPr>
        <w:spacing w:before="160" w:after="80"/>
      </w:pPr>
      <w:r>
        <w:rPr>
          <w:rFonts w:ascii="Times New Roman" w:hAnsi="Times New Roman"/>
          <w:sz w:val="18"/>
        </w:rPr>
        <w:t>Table 7. Memory management benchmarks. The custom pool did not beat the system allocator for single-threaded small blocks; buffer reuse at the message level did help.</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Strategy</w:t>
            </w:r>
          </w:p>
        </w:tc>
        <w:tc>
          <w:tcPr>
            <w:tcW w:type="dxa" w:w="1768"/>
          </w:tcPr>
          <w:p>
            <w:r/>
            <w:r>
              <w:rPr>
                <w:rFonts w:ascii="Times New Roman" w:hAnsi="Times New Roman"/>
                <w:b/>
                <w:sz w:val="18"/>
              </w:rPr>
              <w:t>p50 (ns)</w:t>
            </w:r>
          </w:p>
        </w:tc>
        <w:tc>
          <w:tcPr>
            <w:tcW w:type="dxa" w:w="1768"/>
          </w:tcPr>
          <w:p>
            <w:r/>
            <w:r>
              <w:rPr>
                <w:rFonts w:ascii="Times New Roman" w:hAnsi="Times New Roman"/>
                <w:b/>
                <w:sz w:val="18"/>
              </w:rPr>
              <w:t>p95 (ns)</w:t>
            </w:r>
          </w:p>
        </w:tc>
        <w:tc>
          <w:tcPr>
            <w:tcW w:type="dxa" w:w="1768"/>
          </w:tcPr>
          <w:p>
            <w:r/>
            <w:r>
              <w:rPr>
                <w:rFonts w:ascii="Times New Roman" w:hAnsi="Times New Roman"/>
                <w:b/>
                <w:sz w:val="18"/>
              </w:rPr>
              <w:t>p99 (ns)</w:t>
            </w:r>
          </w:p>
        </w:tc>
        <w:tc>
          <w:tcPr>
            <w:tcW w:type="dxa" w:w="1768"/>
          </w:tcPr>
          <w:p>
            <w:r/>
            <w:r>
              <w:rPr>
                <w:rFonts w:ascii="Times New Roman" w:hAnsi="Times New Roman"/>
                <w:b/>
                <w:sz w:val="18"/>
              </w:rPr>
              <w:t>Notes</w:t>
            </w:r>
          </w:p>
        </w:tc>
      </w:tr>
      <w:tr>
        <w:tc>
          <w:tcPr>
            <w:tcW w:type="dxa" w:w="1768"/>
          </w:tcPr>
          <w:p>
            <w:r/>
            <w:r>
              <w:rPr>
                <w:rFonts w:ascii="Times New Roman" w:hAnsi="Times New Roman"/>
                <w:sz w:val="18"/>
              </w:rPr>
              <w:t>malloc + memset + free (384 B)</w:t>
            </w:r>
          </w:p>
        </w:tc>
        <w:tc>
          <w:tcPr>
            <w:tcW w:type="dxa" w:w="1768"/>
          </w:tcPr>
          <w:p>
            <w:r/>
            <w:r>
              <w:rPr>
                <w:rFonts w:ascii="Times New Roman" w:hAnsi="Times New Roman"/>
                <w:sz w:val="18"/>
              </w:rPr>
              <w:t>1</w:t>
            </w:r>
          </w:p>
        </w:tc>
        <w:tc>
          <w:tcPr>
            <w:tcW w:type="dxa" w:w="1768"/>
          </w:tcPr>
          <w:p>
            <w:r/>
            <w:r>
              <w:rPr>
                <w:rFonts w:ascii="Times New Roman" w:hAnsi="Times New Roman"/>
                <w:sz w:val="18"/>
              </w:rPr>
              <w:t>1</w:t>
            </w:r>
          </w:p>
        </w:tc>
        <w:tc>
          <w:tcPr>
            <w:tcW w:type="dxa" w:w="1768"/>
          </w:tcPr>
          <w:p>
            <w:r/>
            <w:r>
              <w:rPr>
                <w:rFonts w:ascii="Times New Roman" w:hAnsi="Times New Roman"/>
                <w:sz w:val="18"/>
              </w:rPr>
              <w:t>1</w:t>
            </w:r>
          </w:p>
        </w:tc>
        <w:tc>
          <w:tcPr>
            <w:tcW w:type="dxa" w:w="1768"/>
          </w:tcPr>
          <w:p>
            <w:r/>
            <w:r>
              <w:rPr>
                <w:rFonts w:ascii="Times New Roman" w:hAnsi="Times New Roman"/>
                <w:sz w:val="18"/>
              </w:rPr>
              <w:t>System allocator, single-threaded</w:t>
            </w:r>
          </w:p>
        </w:tc>
      </w:tr>
      <w:tr>
        <w:tc>
          <w:tcPr>
            <w:tcW w:type="dxa" w:w="1768"/>
          </w:tcPr>
          <w:p>
            <w:r/>
            <w:r>
              <w:rPr>
                <w:rFonts w:ascii="Times New Roman" w:hAnsi="Times New Roman"/>
                <w:sz w:val="18"/>
              </w:rPr>
              <w:t>Fixed pool + memset + free (384 B)</w:t>
            </w:r>
          </w:p>
        </w:tc>
        <w:tc>
          <w:tcPr>
            <w:tcW w:type="dxa" w:w="1768"/>
          </w:tcPr>
          <w:p>
            <w:r/>
            <w:r>
              <w:rPr>
                <w:rFonts w:ascii="Times New Roman" w:hAnsi="Times New Roman"/>
                <w:sz w:val="18"/>
              </w:rPr>
              <w:t>13</w:t>
            </w:r>
          </w:p>
        </w:tc>
        <w:tc>
          <w:tcPr>
            <w:tcW w:type="dxa" w:w="1768"/>
          </w:tcPr>
          <w:p>
            <w:r/>
            <w:r>
              <w:rPr>
                <w:rFonts w:ascii="Times New Roman" w:hAnsi="Times New Roman"/>
                <w:sz w:val="18"/>
              </w:rPr>
              <w:t>14</w:t>
            </w:r>
          </w:p>
        </w:tc>
        <w:tc>
          <w:tcPr>
            <w:tcW w:type="dxa" w:w="1768"/>
          </w:tcPr>
          <w:p>
            <w:r/>
            <w:r>
              <w:rPr>
                <w:rFonts w:ascii="Times New Roman" w:hAnsi="Times New Roman"/>
                <w:sz w:val="18"/>
              </w:rPr>
              <w:t>15</w:t>
            </w:r>
          </w:p>
        </w:tc>
        <w:tc>
          <w:tcPr>
            <w:tcW w:type="dxa" w:w="1768"/>
          </w:tcPr>
          <w:p>
            <w:r/>
            <w:r>
              <w:rPr>
                <w:rFonts w:ascii="Times New Roman" w:hAnsi="Times New Roman"/>
                <w:sz w:val="18"/>
              </w:rPr>
              <w:t>Custom pool slower due to indirection</w:t>
            </w:r>
          </w:p>
        </w:tc>
      </w:tr>
      <w:tr>
        <w:tc>
          <w:tcPr>
            <w:tcW w:type="dxa" w:w="1768"/>
          </w:tcPr>
          <w:p>
            <w:r/>
            <w:r>
              <w:rPr>
                <w:rFonts w:ascii="Times New Roman" w:hAnsi="Times New Roman"/>
                <w:sz w:val="18"/>
              </w:rPr>
              <w:t>malloc + memcpy + free (336 B msg)</w:t>
            </w:r>
          </w:p>
        </w:tc>
        <w:tc>
          <w:tcPr>
            <w:tcW w:type="dxa" w:w="1768"/>
          </w:tcPr>
          <w:p>
            <w:r/>
            <w:r>
              <w:rPr>
                <w:rFonts w:ascii="Times New Roman" w:hAnsi="Times New Roman"/>
                <w:sz w:val="18"/>
              </w:rPr>
              <w:t>156</w:t>
            </w:r>
          </w:p>
        </w:tc>
        <w:tc>
          <w:tcPr>
            <w:tcW w:type="dxa" w:w="1768"/>
          </w:tcPr>
          <w:p>
            <w:r/>
            <w:r>
              <w:rPr>
                <w:rFonts w:ascii="Times New Roman" w:hAnsi="Times New Roman"/>
                <w:sz w:val="18"/>
              </w:rPr>
              <w:t>167</w:t>
            </w:r>
          </w:p>
        </w:tc>
        <w:tc>
          <w:tcPr>
            <w:tcW w:type="dxa" w:w="1768"/>
          </w:tcPr>
          <w:p>
            <w:r/>
            <w:r>
              <w:rPr>
                <w:rFonts w:ascii="Times New Roman" w:hAnsi="Times New Roman"/>
                <w:sz w:val="18"/>
              </w:rPr>
              <w:t>316</w:t>
            </w:r>
          </w:p>
        </w:tc>
        <w:tc>
          <w:tcPr>
            <w:tcW w:type="dxa" w:w="1768"/>
          </w:tcPr>
          <w:p>
            <w:r/>
            <w:r>
              <w:rPr>
                <w:rFonts w:ascii="Times New Roman" w:hAnsi="Times New Roman"/>
                <w:sz w:val="18"/>
              </w:rPr>
              <w:t>Baseline message handling</w:t>
            </w:r>
          </w:p>
        </w:tc>
      </w:tr>
      <w:tr>
        <w:tc>
          <w:tcPr>
            <w:tcW w:type="dxa" w:w="1768"/>
          </w:tcPr>
          <w:p>
            <w:r/>
            <w:r>
              <w:rPr>
                <w:rFonts w:ascii="Times New Roman" w:hAnsi="Times New Roman"/>
                <w:sz w:val="18"/>
              </w:rPr>
              <w:t>Reused buffer + memcpy (336 B msg)</w:t>
            </w:r>
          </w:p>
        </w:tc>
        <w:tc>
          <w:tcPr>
            <w:tcW w:type="dxa" w:w="1768"/>
          </w:tcPr>
          <w:p>
            <w:r/>
            <w:r>
              <w:rPr>
                <w:rFonts w:ascii="Times New Roman" w:hAnsi="Times New Roman"/>
                <w:sz w:val="18"/>
              </w:rPr>
              <w:t>104</w:t>
            </w:r>
          </w:p>
        </w:tc>
        <w:tc>
          <w:tcPr>
            <w:tcW w:type="dxa" w:w="1768"/>
          </w:tcPr>
          <w:p>
            <w:r/>
            <w:r>
              <w:rPr>
                <w:rFonts w:ascii="Times New Roman" w:hAnsi="Times New Roman"/>
                <w:sz w:val="18"/>
              </w:rPr>
              <w:t>110</w:t>
            </w:r>
          </w:p>
        </w:tc>
        <w:tc>
          <w:tcPr>
            <w:tcW w:type="dxa" w:w="1768"/>
          </w:tcPr>
          <w:p>
            <w:r/>
            <w:r>
              <w:rPr>
                <w:rFonts w:ascii="Times New Roman" w:hAnsi="Times New Roman"/>
                <w:sz w:val="18"/>
              </w:rPr>
              <w:t>251</w:t>
            </w:r>
          </w:p>
        </w:tc>
        <w:tc>
          <w:tcPr>
            <w:tcW w:type="dxa" w:w="1768"/>
          </w:tcPr>
          <w:p>
            <w:r/>
            <w:r>
              <w:rPr>
                <w:rFonts w:ascii="Times New Roman" w:hAnsi="Times New Roman"/>
                <w:sz w:val="18"/>
              </w:rPr>
              <w:t>52 ns saved (1.5×)</w:t>
            </w:r>
          </w:p>
        </w:tc>
      </w:tr>
    </w:tbl>
    <w:p>
      <w:pPr>
        <w:spacing w:after="120"/>
      </w:pPr>
      <w:r>
        <w:rPr>
          <w:rFonts w:ascii="Times New Roman" w:hAnsi="Times New Roman"/>
          <w:b w:val="0"/>
          <w:i w:val="0"/>
          <w:sz w:val="20"/>
        </w:rPr>
      </w:r>
    </w:p>
    <w:p>
      <w:pPr>
        <w:spacing w:before="160"/>
        <w:jc w:val="center"/>
      </w:pPr>
      <w:r>
        <w:drawing>
          <wp:inline xmlns:a="http://schemas.openxmlformats.org/drawingml/2006/main" xmlns:pic="http://schemas.openxmlformats.org/drawingml/2006/picture">
            <wp:extent cx="5029200" cy="2801073"/>
            <wp:docPr id="2" name="Picture 2"/>
            <wp:cNvGraphicFramePr>
              <a:graphicFrameLocks noChangeAspect="1"/>
            </wp:cNvGraphicFramePr>
            <a:graphic>
              <a:graphicData uri="http://schemas.openxmlformats.org/drawingml/2006/picture">
                <pic:pic>
                  <pic:nvPicPr>
                    <pic:cNvPr id="0" name="fig1_component_speedups.png"/>
                    <pic:cNvPicPr/>
                  </pic:nvPicPr>
                  <pic:blipFill>
                    <a:blip r:embed="rId10"/>
                    <a:stretch>
                      <a:fillRect/>
                    </a:stretch>
                  </pic:blipFill>
                  <pic:spPr>
                    <a:xfrm>
                      <a:off x="0" y="0"/>
                      <a:ext cx="5029200" cy="2801073"/>
                    </a:xfrm>
                    <a:prstGeom prst="rect"/>
                  </pic:spPr>
                </pic:pic>
              </a:graphicData>
            </a:graphic>
          </wp:inline>
        </w:drawing>
      </w:r>
    </w:p>
    <w:p>
      <w:pPr>
        <w:spacing w:after="160"/>
        <w:jc w:val="center"/>
      </w:pPr>
      <w:r>
        <w:rPr>
          <w:rFonts w:ascii="Times New Roman" w:hAnsi="Times New Roman"/>
          <w:sz w:val="18"/>
        </w:rPr>
        <w:t>Fig. 2. Measured speedup per pipeline component (p50 median latency, log scale). Speedup factors are annotated below the optimised bars. Data from Tables 3–7.</w:t>
      </w:r>
    </w:p>
    <w:p>
      <w:pPr>
        <w:pStyle w:val="Heading2"/>
      </w:pPr>
      <w:r>
        <w:t>5.6  Full Pipeline Integration</w:t>
      </w:r>
    </w:p>
    <w:p>
      <w:pPr>
        <w:pStyle w:val="BodyText"/>
        <w:ind w:firstLine="0"/>
      </w:pPr>
      <w:r>
        <w:rPr>
          <w:rFonts w:ascii="Times New Roman" w:hAnsi="Times New Roman"/>
          <w:sz w:val="20"/>
        </w:rPr>
        <w:t>Up to this point each optimisation has been measured in isolation. But in practice, the firm’s critical path runs them in sequence: receive bytes → parse message → update order book → pass to strategy thread. Table 8 reports the combined measurement: parsing a 10-level depth message and applying all 10 updates to the order book, measured as a single end-to-end operation.</w:t>
      </w:r>
    </w:p>
    <w:p>
      <w:pPr>
        <w:spacing w:before="160" w:after="80"/>
      </w:pPr>
      <w:r>
        <w:rPr>
          <w:rFonts w:ascii="Times New Roman" w:hAnsi="Times New Roman"/>
          <w:sz w:val="18"/>
        </w:rPr>
        <w:t>Table 8. Full parse-to-book-update pipeline latency per message. Median of five runs.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Pipeline variant</w:t>
            </w:r>
          </w:p>
        </w:tc>
        <w:tc>
          <w:tcPr>
            <w:tcW w:type="dxa" w:w="1768"/>
          </w:tcPr>
          <w:p>
            <w:r/>
            <w:r>
              <w:rPr>
                <w:rFonts w:ascii="Times New Roman" w:hAnsi="Times New Roman"/>
                <w:b/>
                <w:sz w:val="18"/>
              </w:rPr>
              <w:t>p50 (ns)</w:t>
            </w:r>
          </w:p>
        </w:tc>
        <w:tc>
          <w:tcPr>
            <w:tcW w:type="dxa" w:w="1768"/>
          </w:tcPr>
          <w:p>
            <w:r/>
            <w:r>
              <w:rPr>
                <w:rFonts w:ascii="Times New Roman" w:hAnsi="Times New Roman"/>
                <w:b/>
                <w:sz w:val="18"/>
              </w:rPr>
              <w:t>p95 (ns)</w:t>
            </w:r>
          </w:p>
        </w:tc>
        <w:tc>
          <w:tcPr>
            <w:tcW w:type="dxa" w:w="1768"/>
          </w:tcPr>
          <w:p>
            <w:r/>
            <w:r>
              <w:rPr>
                <w:rFonts w:ascii="Times New Roman" w:hAnsi="Times New Roman"/>
                <w:b/>
                <w:sz w:val="18"/>
              </w:rPr>
              <w:t>p99 (ns)</w:t>
            </w:r>
          </w:p>
        </w:tc>
        <w:tc>
          <w:tcPr>
            <w:tcW w:type="dxa" w:w="1768"/>
          </w:tcPr>
          <w:p>
            <w:r/>
            <w:r>
              <w:rPr>
                <w:rFonts w:ascii="Times New Roman" w:hAnsi="Times New Roman"/>
                <w:b/>
                <w:sz w:val="18"/>
              </w:rPr>
              <w:t>Speedup</w:t>
            </w:r>
          </w:p>
        </w:tc>
      </w:tr>
      <w:tr>
        <w:tc>
          <w:tcPr>
            <w:tcW w:type="dxa" w:w="1768"/>
          </w:tcPr>
          <w:p>
            <w:r/>
            <w:r>
              <w:rPr>
                <w:rFonts w:ascii="Times New Roman" w:hAnsi="Times New Roman"/>
                <w:sz w:val="18"/>
              </w:rPr>
              <w:t>Naive parse (from_chars) + std::map book</w:t>
            </w:r>
          </w:p>
        </w:tc>
        <w:tc>
          <w:tcPr>
            <w:tcW w:type="dxa" w:w="1768"/>
          </w:tcPr>
          <w:p>
            <w:r/>
            <w:r>
              <w:rPr>
                <w:rFonts w:ascii="Times New Roman" w:hAnsi="Times New Roman"/>
                <w:sz w:val="18"/>
              </w:rPr>
              <w:t>2,868</w:t>
            </w:r>
          </w:p>
        </w:tc>
        <w:tc>
          <w:tcPr>
            <w:tcW w:type="dxa" w:w="1768"/>
          </w:tcPr>
          <w:p>
            <w:r/>
            <w:r>
              <w:rPr>
                <w:rFonts w:ascii="Times New Roman" w:hAnsi="Times New Roman"/>
                <w:sz w:val="18"/>
              </w:rPr>
              <w:t>3,464</w:t>
            </w:r>
          </w:p>
        </w:tc>
        <w:tc>
          <w:tcPr>
            <w:tcW w:type="dxa" w:w="1768"/>
          </w:tcPr>
          <w:p>
            <w:r/>
            <w:r>
              <w:rPr>
                <w:rFonts w:ascii="Times New Roman" w:hAnsi="Times New Roman"/>
                <w:sz w:val="18"/>
              </w:rPr>
              <w:t>4,748</w:t>
            </w:r>
          </w:p>
        </w:tc>
        <w:tc>
          <w:tcPr>
            <w:tcW w:type="dxa" w:w="1768"/>
          </w:tcPr>
          <w:p>
            <w:r/>
            <w:r>
              <w:rPr>
                <w:rFonts w:ascii="Times New Roman" w:hAnsi="Times New Roman"/>
                <w:sz w:val="18"/>
              </w:rPr>
              <w:t>1.0×</w:t>
            </w:r>
          </w:p>
        </w:tc>
      </w:tr>
      <w:tr>
        <w:tc>
          <w:tcPr>
            <w:tcW w:type="dxa" w:w="1768"/>
          </w:tcPr>
          <w:p>
            <w:r/>
            <w:r>
              <w:rPr>
                <w:rFonts w:ascii="Times New Roman" w:hAnsi="Times New Roman"/>
                <w:sz w:val="18"/>
              </w:rPr>
              <w:t>Zero-copy parse + price ladder</w:t>
            </w:r>
          </w:p>
        </w:tc>
        <w:tc>
          <w:tcPr>
            <w:tcW w:type="dxa" w:w="1768"/>
          </w:tcPr>
          <w:p>
            <w:r/>
            <w:r>
              <w:rPr>
                <w:rFonts w:ascii="Times New Roman" w:hAnsi="Times New Roman"/>
                <w:sz w:val="18"/>
              </w:rPr>
              <w:t>494</w:t>
            </w:r>
          </w:p>
        </w:tc>
        <w:tc>
          <w:tcPr>
            <w:tcW w:type="dxa" w:w="1768"/>
          </w:tcPr>
          <w:p>
            <w:r/>
            <w:r>
              <w:rPr>
                <w:rFonts w:ascii="Times New Roman" w:hAnsi="Times New Roman"/>
                <w:sz w:val="18"/>
              </w:rPr>
              <w:t>568</w:t>
            </w:r>
          </w:p>
        </w:tc>
        <w:tc>
          <w:tcPr>
            <w:tcW w:type="dxa" w:w="1768"/>
          </w:tcPr>
          <w:p>
            <w:r/>
            <w:r>
              <w:rPr>
                <w:rFonts w:ascii="Times New Roman" w:hAnsi="Times New Roman"/>
                <w:sz w:val="18"/>
              </w:rPr>
              <w:t>978</w:t>
            </w:r>
          </w:p>
        </w:tc>
        <w:tc>
          <w:tcPr>
            <w:tcW w:type="dxa" w:w="1768"/>
          </w:tcPr>
          <w:p>
            <w:r/>
            <w:r>
              <w:rPr>
                <w:rFonts w:ascii="Times New Roman" w:hAnsi="Times New Roman"/>
                <w:sz w:val="18"/>
              </w:rPr>
              <w:t>5.8×</w:t>
            </w:r>
          </w:p>
        </w:tc>
      </w:tr>
    </w:tbl>
    <w:p>
      <w:pPr>
        <w:spacing w:after="120"/>
      </w:pPr>
      <w:r>
        <w:rPr>
          <w:rFonts w:ascii="Times New Roman" w:hAnsi="Times New Roman"/>
          <w:b w:val="0"/>
          <w:i w:val="0"/>
          <w:sz w:val="20"/>
        </w:rPr>
      </w:r>
    </w:p>
    <w:p>
      <w:pPr>
        <w:pStyle w:val="BodyText"/>
        <w:ind w:firstLine="283"/>
      </w:pPr>
      <w:r>
        <w:rPr>
          <w:rFonts w:ascii="Times New Roman" w:hAnsi="Times New Roman"/>
          <w:sz w:val="20"/>
        </w:rPr>
        <w:t>The optimised pipeline processes a message in 494 ns versus 2,868 ns for the baseline, a 5.8× improvement. Note that the baseline here already uses from_chars rather than stod; against the stod-based pipeline the improvement would be over 30×. This compound speedup is greater than any individual factor because the optimisations eliminate different bottlenecks: the parser removes heap allocation and floating-point conversion, while the ladder removes tree traversal and per-node allocation.</w:t>
      </w:r>
    </w:p>
    <w:p>
      <w:pPr>
        <w:pStyle w:val="BodyText"/>
        <w:ind w:firstLine="283"/>
      </w:pPr>
      <w:r>
        <w:rPr>
          <w:rFonts w:ascii="Times New Roman" w:hAnsi="Times New Roman"/>
          <w:sz w:val="20"/>
        </w:rPr>
        <w:t>As an independent check, we wrote a separate program (advanced_examples.cpp, Example B) that runs parse_fast followed by LadderBook updates and Signal construction in a single function. It measured a median of 528 ns per message (p95: 864 ns, p99: 1,932 ns), which is consistent with the 494 ns from the integrated benchmark in latency_examples.cpp and within the expected variation from the additional Signal-struct write. The burst-processing test (Example C) sustained this rate across bursts of 10 to 1,000 messages, measuring 480–490 ns per message at a throughput of approximately 2.05 million messages per second.</w:t>
      </w:r>
    </w:p>
    <w:p>
      <w:pPr>
        <w:pStyle w:val="BodyText"/>
        <w:ind w:firstLine="283"/>
      </w:pPr>
      <w:r>
        <w:rPr>
          <w:rFonts w:ascii="Times New Roman" w:hAnsi="Times New Roman"/>
          <w:sz w:val="20"/>
        </w:rPr>
        <w:t>Adding thread hand-off, the full critical path from raw bytes to strategy notification takes approximately 528 + 29 = 557 ns on the optimised path versus 2,868 + 75 = 2,943 ns on the baseline, yielding a 5.3× improvement overall. Listing 7 shows the integration: the network thread parses the message and updates the book, then pushes a lightweight signal (best bid, best ask, timestamp) through the SPSC ring to the strategy thread.</w:t>
      </w:r>
    </w:p>
    <w:p>
      <w:pPr>
        <w:spacing w:before="120" w:after="60"/>
      </w:pPr>
      <w:r>
        <w:rPr>
          <w:rFonts w:ascii="Times New Roman" w:hAnsi="Times New Roman"/>
          <w:i/>
          <w:sz w:val="18"/>
        </w:rPr>
        <w:t>Listing 7. Integrated network-thread critical path.</w:t>
      </w:r>
    </w:p>
    <w:p>
      <w:pPr>
        <w:spacing w:before="0" w:after="0" w:line="220" w:lineRule="exact"/>
      </w:pPr>
      <w:r>
        <w:rPr>
          <w:rFonts w:ascii="Courier New" w:hAnsi="Courier New"/>
          <w:sz w:val="16"/>
        </w:rPr>
        <w:t>/* Listing 7. Integrated critical path: parse, update book, signal</w:t>
      </w:r>
    </w:p>
    <w:p>
      <w:pPr>
        <w:spacing w:before="0" w:after="0" w:line="220" w:lineRule="exact"/>
      </w:pPr>
      <w:r>
        <w:rPr>
          <w:rFonts w:ascii="Courier New" w:hAnsi="Courier New"/>
          <w:sz w:val="16"/>
        </w:rPr>
        <w:t xml:space="preserve"> * the strategy thread (C++20, simplified). */</w:t>
      </w:r>
    </w:p>
    <w:p>
      <w:pPr>
        <w:spacing w:before="0" w:after="0" w:line="220" w:lineRule="exact"/>
      </w:pPr>
      <w:r>
        <w:rPr>
          <w:rFonts w:ascii="Courier New" w:hAnsi="Courier New"/>
          <w:sz w:val="16"/>
        </w:rPr>
        <w:t>struct Signal {</w:t>
      </w:r>
    </w:p>
    <w:p>
      <w:pPr>
        <w:spacing w:before="0" w:after="0" w:line="220" w:lineRule="exact"/>
      </w:pPr>
      <w:r>
        <w:rPr>
          <w:rFonts w:ascii="Courier New" w:hAnsi="Courier New"/>
          <w:sz w:val="16"/>
        </w:rPr>
        <w:t xml:space="preserve">    int64_t best_bid;</w:t>
      </w:r>
    </w:p>
    <w:p>
      <w:pPr>
        <w:spacing w:before="0" w:after="0" w:line="220" w:lineRule="exact"/>
      </w:pPr>
      <w:r>
        <w:rPr>
          <w:rFonts w:ascii="Courier New" w:hAnsi="Courier New"/>
          <w:sz w:val="16"/>
        </w:rPr>
        <w:t xml:space="preserve">    int64_t best_ask;</w:t>
      </w:r>
    </w:p>
    <w:p>
      <w:pPr>
        <w:spacing w:before="0" w:after="0" w:line="220" w:lineRule="exact"/>
      </w:pPr>
      <w:r>
        <w:rPr>
          <w:rFonts w:ascii="Courier New" w:hAnsi="Courier New"/>
          <w:sz w:val="16"/>
        </w:rPr>
        <w:t xml:space="preserve">    int64_t timestamp_ns;</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Called by the network thread for each incoming depth message. */</w:t>
      </w:r>
    </w:p>
    <w:p>
      <w:pPr>
        <w:spacing w:before="0" w:after="0" w:line="220" w:lineRule="exact"/>
      </w:pPr>
      <w:r>
        <w:rPr>
          <w:rFonts w:ascii="Courier New" w:hAnsi="Courier New"/>
          <w:sz w:val="16"/>
        </w:rPr>
        <w:t>void on_depth_message(std::string_view raw_msg,</w:t>
      </w:r>
    </w:p>
    <w:p>
      <w:pPr>
        <w:spacing w:before="0" w:after="0" w:line="220" w:lineRule="exact"/>
      </w:pPr>
      <w:r>
        <w:rPr>
          <w:rFonts w:ascii="Courier New" w:hAnsi="Courier New"/>
          <w:sz w:val="16"/>
        </w:rPr>
        <w:t xml:space="preserve">                      LadderBook&amp; book,</w:t>
      </w:r>
    </w:p>
    <w:p>
      <w:pPr>
        <w:spacing w:before="0" w:after="0" w:line="220" w:lineRule="exact"/>
      </w:pPr>
      <w:r>
        <w:rPr>
          <w:rFonts w:ascii="Courier New" w:hAnsi="Courier New"/>
          <w:sz w:val="16"/>
        </w:rPr>
        <w:t xml:space="preserve">                      SpscRing&lt;Signal&gt;&amp; ring,</w:t>
      </w:r>
    </w:p>
    <w:p>
      <w:pPr>
        <w:spacing w:before="0" w:after="0" w:line="220" w:lineRule="exact"/>
      </w:pPr>
      <w:r>
        <w:rPr>
          <w:rFonts w:ascii="Courier New" w:hAnsi="Courier New"/>
          <w:sz w:val="16"/>
        </w:rPr>
        <w:t xml:space="preserve">                      int64_t recv_time_ns) {</w:t>
      </w:r>
    </w:p>
    <w:p>
      <w:pPr>
        <w:spacing w:before="0" w:after="0" w:line="220" w:lineRule="exact"/>
      </w:pPr>
      <w:r>
        <w:rPr>
          <w:rFonts w:ascii="Courier New" w:hAnsi="Courier New"/>
          <w:sz w:val="16"/>
        </w:rPr>
        <w:t xml:space="preserve">    Update levels[64];</w:t>
      </w:r>
    </w:p>
    <w:p>
      <w:pPr>
        <w:spacing w:before="0" w:after="0" w:line="220" w:lineRule="exact"/>
      </w:pPr>
      <w:r>
        <w:rPr>
          <w:rFonts w:ascii="Courier New" w:hAnsi="Courier New"/>
          <w:sz w:val="16"/>
        </w:rPr>
        <w:t xml:space="preserve">    int n = parse_fast(raw_msg, levels, 64);</w:t>
      </w:r>
    </w:p>
    <w:p>
      <w:pPr>
        <w:spacing w:before="0" w:after="0" w:line="220" w:lineRule="exact"/>
      </w:pPr>
      <w:r>
        <w:rPr>
          <w:rFonts w:ascii="Courier New" w:hAnsi="Courier New"/>
          <w:sz w:val="16"/>
        </w:rPr>
        <w:t xml:space="preserve">    if (n &lt; 0) return;  // malformed</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for (int i = 0; i &lt; n; ++i)</w:t>
      </w:r>
    </w:p>
    <w:p>
      <w:pPr>
        <w:spacing w:before="0" w:after="0" w:line="220" w:lineRule="exact"/>
      </w:pPr>
      <w:r>
        <w:rPr>
          <w:rFonts w:ascii="Courier New" w:hAnsi="Courier New"/>
          <w:sz w:val="16"/>
        </w:rPr>
        <w:t xml:space="preserve">        book.apply(levels[i]);</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Signal sig;</w:t>
      </w:r>
    </w:p>
    <w:p>
      <w:pPr>
        <w:spacing w:before="0" w:after="0" w:line="220" w:lineRule="exact"/>
      </w:pPr>
      <w:r>
        <w:rPr>
          <w:rFonts w:ascii="Courier New" w:hAnsi="Courier New"/>
          <w:sz w:val="16"/>
        </w:rPr>
        <w:t xml:space="preserve">    sig.best_bid     = book.best_bid();</w:t>
      </w:r>
    </w:p>
    <w:p>
      <w:pPr>
        <w:spacing w:before="0" w:after="0" w:line="220" w:lineRule="exact"/>
      </w:pPr>
      <w:r>
        <w:rPr>
          <w:rFonts w:ascii="Courier New" w:hAnsi="Courier New"/>
          <w:sz w:val="16"/>
        </w:rPr>
        <w:t xml:space="preserve">    sig.best_ask     = book.best_ask();</w:t>
      </w:r>
    </w:p>
    <w:p>
      <w:pPr>
        <w:spacing w:before="0" w:after="0" w:line="220" w:lineRule="exact"/>
      </w:pPr>
      <w:r>
        <w:rPr>
          <w:rFonts w:ascii="Courier New" w:hAnsi="Courier New"/>
          <w:sz w:val="16"/>
        </w:rPr>
        <w:t xml:space="preserve">    sig.timestamp_ns = recv_time_ns;</w:t>
      </w:r>
    </w:p>
    <w:p>
      <w:pPr>
        <w:spacing w:before="0" w:after="0" w:line="220" w:lineRule="exact"/>
      </w:pPr>
      <w:r>
        <w:rPr>
          <w:rFonts w:ascii="Courier New" w:hAnsi="Courier New"/>
          <w:sz w:val="16"/>
        </w:rPr>
        <w:t xml:space="preserve">    ring.try_push(sig);  // non-blocking; drop if full</w:t>
      </w:r>
    </w:p>
    <w:p>
      <w:pPr>
        <w:spacing w:before="0" w:after="0" w:line="220" w:lineRule="exact"/>
      </w:pPr>
      <w:r>
        <w:rPr>
          <w:rFonts w:ascii="Courier New" w:hAnsi="Courier New"/>
          <w:sz w:val="16"/>
        </w:rPr>
        <w:t>}</w:t>
      </w:r>
    </w:p>
    <w:p>
      <w:pPr>
        <w:spacing w:before="160"/>
        <w:jc w:val="center"/>
      </w:pPr>
      <w:r>
        <w:drawing>
          <wp:inline xmlns:a="http://schemas.openxmlformats.org/drawingml/2006/main" xmlns:pic="http://schemas.openxmlformats.org/drawingml/2006/picture">
            <wp:extent cx="5029200" cy="3324386"/>
            <wp:docPr id="3" name="Picture 3"/>
            <wp:cNvGraphicFramePr>
              <a:graphicFrameLocks noChangeAspect="1"/>
            </wp:cNvGraphicFramePr>
            <a:graphic>
              <a:graphicData uri="http://schemas.openxmlformats.org/drawingml/2006/picture">
                <pic:pic>
                  <pic:nvPicPr>
                    <pic:cNvPr id="0" name="fig3_pipeline_comparison.png"/>
                    <pic:cNvPicPr/>
                  </pic:nvPicPr>
                  <pic:blipFill>
                    <a:blip r:embed="rId11"/>
                    <a:stretch>
                      <a:fillRect/>
                    </a:stretch>
                  </pic:blipFill>
                  <pic:spPr>
                    <a:xfrm>
                      <a:off x="0" y="0"/>
                      <a:ext cx="5029200" cy="3324386"/>
                    </a:xfrm>
                    <a:prstGeom prst="rect"/>
                  </pic:spPr>
                </pic:pic>
              </a:graphicData>
            </a:graphic>
          </wp:inline>
        </w:drawing>
      </w:r>
    </w:p>
    <w:p>
      <w:pPr>
        <w:spacing w:after="160"/>
        <w:jc w:val="center"/>
      </w:pPr>
      <w:r>
        <w:rPr>
          <w:rFonts w:ascii="Times New Roman" w:hAnsi="Times New Roman"/>
          <w:sz w:val="18"/>
        </w:rPr>
        <w:t>Fig. 3. Full parse-to-book pipeline latency: naive (from_chars + std::map) versus optimised (zero-copy + price ladder). Bars show p50, p95, and p99 (median of five runs).</w:t>
      </w:r>
    </w:p>
    <w:p>
      <w:pPr>
        <w:pStyle w:val="Heading2"/>
      </w:pPr>
      <w:r>
        <w:t>5.7  Compiler and System-Level Considerations</w:t>
      </w:r>
    </w:p>
    <w:p>
      <w:pPr>
        <w:pStyle w:val="BodyText"/>
        <w:ind w:firstLine="0"/>
      </w:pPr>
      <w:r>
        <w:rPr>
          <w:rFonts w:ascii="Times New Roman" w:hAnsi="Times New Roman"/>
          <w:sz w:val="20"/>
        </w:rPr>
        <w:t>Compiler settings have a measurable effect. Without optimisation (-O0), the ladder book takes 33 ns per update versus 8 ns at -O2. The compiler’s register allocation and inlining account for a 4× difference. Link-time optimisation (-flto) and profile-guided optimisation (-fprofile-generate / -fprofile-use) can yield further gains by inlining across translation units and optimising branch prediction, though we did not measure them.</w:t>
      </w:r>
    </w:p>
    <w:p>
      <w:pPr>
        <w:pStyle w:val="BodyText"/>
        <w:ind w:firstLine="283"/>
      </w:pPr>
      <w:r>
        <w:rPr>
          <w:rFonts w:ascii="Times New Roman" w:hAnsi="Times New Roman"/>
          <w:sz w:val="20"/>
        </w:rPr>
        <w:t>System-level tuning is documented in the general server literature. Li et al. [17] traced tail latency on Linux servers to background processes, scheduler behaviour, interrupt routing, power-saving states, and NUMA memory placement, and showed that removing these sources substantially reduced latency variability. For the firm’s AWS instance, the applicable techniques include:</w:t>
      </w:r>
    </w:p>
    <w:p>
      <w:pPr>
        <w:pStyle w:val="BodyText"/>
        <w:ind w:firstLine="283"/>
      </w:pPr>
      <w:r>
        <w:rPr>
          <w:rFonts w:ascii="Times New Roman" w:hAnsi="Times New Roman"/>
          <w:sz w:val="20"/>
        </w:rPr>
        <w:t>(1) CPU pinning (isolcpus + taskset): dedicate cores to the network and strategy threads, preventing the OS scheduler from migrating them. (2) Interrupt affinity: route the NIC’s interrupt to a core that does not run the trading application, so packet delivery does not preempt the critical path. (3) Disable frequency scaling: set the CPU governor to ‘performance’ mode to prevent the processor from entering low-power states that add wake-up latency. (4) Huge pages: allocate the order-book arrays and ring buffers on 2 MB huge pages to reduce TLB misses.</w:t>
      </w:r>
    </w:p>
    <w:p>
      <w:pPr>
        <w:pStyle w:val="BodyText"/>
        <w:ind w:firstLine="283"/>
      </w:pPr>
      <w:r>
        <w:rPr>
          <w:rFonts w:ascii="Times New Roman" w:hAnsi="Times New Roman"/>
          <w:sz w:val="20"/>
        </w:rPr>
        <w:t>None of these techniques was applied in our benchmarks, which ran on an ordinary desktop without thread pinning or interrupt tuning. Our numbers therefore represent a lower bound on the improvement achievable in a tuned deployment.</w:t>
      </w:r>
    </w:p>
    <w:p>
      <w:pPr>
        <w:pStyle w:val="Heading1"/>
      </w:pPr>
      <w:r>
        <w:t>6  Compound Effect: Why Microseconds Matter for the Firm</w:t>
      </w:r>
    </w:p>
    <w:p>
      <w:pPr>
        <w:pStyle w:val="BodyText"/>
        <w:ind w:firstLine="0"/>
      </w:pPr>
      <w:r>
        <w:rPr>
          <w:rFonts w:ascii="Times New Roman" w:hAnsi="Times New Roman"/>
          <w:sz w:val="20"/>
        </w:rPr>
        <w:t>A natural objection to the benchmarks in Section 5 is that the total saving, about 2.4 µs per message from the full pipeline optimisation, is roughly one thousandth of the ~2 ms average network send time from a co-located server [1]. If network jitter is three orders of magnitude larger than the processing-time improvement, how can faster software matter?</w:t>
      </w:r>
    </w:p>
    <w:p>
      <w:pPr>
        <w:pStyle w:val="BodyText"/>
        <w:ind w:firstLine="283"/>
      </w:pPr>
      <w:r>
        <w:rPr>
          <w:rFonts w:ascii="Times New Roman" w:hAnsi="Times New Roman"/>
          <w:sz w:val="20"/>
        </w:rPr>
        <w:t>The answer has to do with what happens during burst traffic. Normal market conditions produce a steady stream of depth updates at the configured interval (100 ms or 1,000 ms on Binance [15]). During high-volatility events such as price breakouts, liquidation cascades, or major news, the exchange’s matching engine processes a surge of orders that generates a burst of depth updates compressed into a short window. The firm’s WebSocket connection delivers these updates back-to-back, and they accumulate in the receive buffer faster than the application can process them.</w:t>
      </w:r>
    </w:p>
    <w:p>
      <w:pPr>
        <w:pStyle w:val="BodyText"/>
        <w:ind w:firstLine="283"/>
      </w:pPr>
      <w:r>
        <w:rPr>
          <w:rFonts w:ascii="Times New Roman" w:hAnsi="Times New Roman"/>
          <w:sz w:val="20"/>
        </w:rPr>
        <w:t>Table 9 illustrates the arithmetic. Consider a burst of 500 depth messages arriving over 200 ms (a sustained rate of 2,500 messages per second, consistent with reported activity spikes on Binance [1]). The naive pipeline processes each message in ~2.9 µs, draining the burst in 1.47 ms. The optimised pipeline processes each in ~0.49 µs (confirmed by our burst-processing benchmark, which measured a median of 490 ns per message across a 500-message burst), draining the same burst in 0.25 ms. The optimised path finishes 1.22 ms sooner. During that 1.22 ms, the optimised firm has an accurate view of the order book while the unoptimised firm is still processing stale messages.</w:t>
      </w:r>
    </w:p>
    <w:p>
      <w:pPr>
        <w:spacing w:before="160" w:after="80"/>
      </w:pPr>
      <w:r>
        <w:rPr>
          <w:rFonts w:ascii="Times New Roman" w:hAnsi="Times New Roman"/>
          <w:sz w:val="18"/>
        </w:rPr>
        <w:t>Table 9. Burst-traffic processing comparison. Optimised figures are from the burst benchmark (advanced_examples.cpp, Example C).</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r/>
            <w:r>
              <w:rPr>
                <w:rFonts w:ascii="Times New Roman" w:hAnsi="Times New Roman"/>
                <w:b/>
                <w:sz w:val="18"/>
              </w:rPr>
              <w:t>Metric</w:t>
            </w:r>
          </w:p>
        </w:tc>
        <w:tc>
          <w:tcPr>
            <w:tcW w:type="dxa" w:w="2209"/>
          </w:tcPr>
          <w:p>
            <w:r/>
            <w:r>
              <w:rPr>
                <w:rFonts w:ascii="Times New Roman" w:hAnsi="Times New Roman"/>
                <w:b/>
                <w:sz w:val="18"/>
              </w:rPr>
              <w:t>Naive pipeline</w:t>
            </w:r>
          </w:p>
        </w:tc>
        <w:tc>
          <w:tcPr>
            <w:tcW w:type="dxa" w:w="2209"/>
          </w:tcPr>
          <w:p>
            <w:r/>
            <w:r>
              <w:rPr>
                <w:rFonts w:ascii="Times New Roman" w:hAnsi="Times New Roman"/>
                <w:b/>
                <w:sz w:val="18"/>
              </w:rPr>
              <w:t>Optimised pipeline</w:t>
            </w:r>
          </w:p>
        </w:tc>
        <w:tc>
          <w:tcPr>
            <w:tcW w:type="dxa" w:w="2209"/>
          </w:tcPr>
          <w:p>
            <w:r/>
            <w:r>
              <w:rPr>
                <w:rFonts w:ascii="Times New Roman" w:hAnsi="Times New Roman"/>
                <w:b/>
                <w:sz w:val="18"/>
              </w:rPr>
              <w:t>Difference</w:t>
            </w:r>
          </w:p>
        </w:tc>
      </w:tr>
      <w:tr>
        <w:tc>
          <w:tcPr>
            <w:tcW w:type="dxa" w:w="2209"/>
          </w:tcPr>
          <w:p>
            <w:r/>
            <w:r>
              <w:rPr>
                <w:rFonts w:ascii="Times New Roman" w:hAnsi="Times New Roman"/>
                <w:sz w:val="18"/>
              </w:rPr>
              <w:t>Per-message processing</w:t>
            </w:r>
          </w:p>
        </w:tc>
        <w:tc>
          <w:tcPr>
            <w:tcW w:type="dxa" w:w="2209"/>
          </w:tcPr>
          <w:p>
            <w:r/>
            <w:r>
              <w:rPr>
                <w:rFonts w:ascii="Times New Roman" w:hAnsi="Times New Roman"/>
                <w:sz w:val="18"/>
              </w:rPr>
              <w:t>2,943 ns</w:t>
            </w:r>
          </w:p>
        </w:tc>
        <w:tc>
          <w:tcPr>
            <w:tcW w:type="dxa" w:w="2209"/>
          </w:tcPr>
          <w:p>
            <w:r/>
            <w:r>
              <w:rPr>
                <w:rFonts w:ascii="Times New Roman" w:hAnsi="Times New Roman"/>
                <w:sz w:val="18"/>
              </w:rPr>
              <w:t>490 ns (measured)</w:t>
            </w:r>
          </w:p>
        </w:tc>
        <w:tc>
          <w:tcPr>
            <w:tcW w:type="dxa" w:w="2209"/>
          </w:tcPr>
          <w:p>
            <w:r/>
            <w:r>
              <w:rPr>
                <w:rFonts w:ascii="Times New Roman" w:hAnsi="Times New Roman"/>
                <w:sz w:val="18"/>
              </w:rPr>
              <w:t>2,453 ns</w:t>
            </w:r>
          </w:p>
        </w:tc>
      </w:tr>
      <w:tr>
        <w:tc>
          <w:tcPr>
            <w:tcW w:type="dxa" w:w="2209"/>
          </w:tcPr>
          <w:p>
            <w:r/>
            <w:r>
              <w:rPr>
                <w:rFonts w:ascii="Times New Roman" w:hAnsi="Times New Roman"/>
                <w:sz w:val="18"/>
              </w:rPr>
              <w:t>500-message burst drain time</w:t>
            </w:r>
          </w:p>
        </w:tc>
        <w:tc>
          <w:tcPr>
            <w:tcW w:type="dxa" w:w="2209"/>
          </w:tcPr>
          <w:p>
            <w:r/>
            <w:r>
              <w:rPr>
                <w:rFonts w:ascii="Times New Roman" w:hAnsi="Times New Roman"/>
                <w:sz w:val="18"/>
              </w:rPr>
              <w:t>1.47 ms</w:t>
            </w:r>
          </w:p>
        </w:tc>
        <w:tc>
          <w:tcPr>
            <w:tcW w:type="dxa" w:w="2209"/>
          </w:tcPr>
          <w:p>
            <w:r/>
            <w:r>
              <w:rPr>
                <w:rFonts w:ascii="Times New Roman" w:hAnsi="Times New Roman"/>
                <w:sz w:val="18"/>
              </w:rPr>
              <w:t>0.25 ms (measured)</w:t>
            </w:r>
          </w:p>
        </w:tc>
        <w:tc>
          <w:tcPr>
            <w:tcW w:type="dxa" w:w="2209"/>
          </w:tcPr>
          <w:p>
            <w:r/>
            <w:r>
              <w:rPr>
                <w:rFonts w:ascii="Times New Roman" w:hAnsi="Times New Roman"/>
                <w:sz w:val="18"/>
              </w:rPr>
              <w:t>1.22 ms</w:t>
            </w:r>
          </w:p>
        </w:tc>
      </w:tr>
      <w:tr>
        <w:tc>
          <w:tcPr>
            <w:tcW w:type="dxa" w:w="2209"/>
          </w:tcPr>
          <w:p>
            <w:r/>
            <w:r>
              <w:rPr>
                <w:rFonts w:ascii="Times New Roman" w:hAnsi="Times New Roman"/>
                <w:sz w:val="18"/>
              </w:rPr>
              <w:t>Throughput (messages/sec)</w:t>
            </w:r>
          </w:p>
        </w:tc>
        <w:tc>
          <w:tcPr>
            <w:tcW w:type="dxa" w:w="2209"/>
          </w:tcPr>
          <w:p>
            <w:r/>
            <w:r>
              <w:rPr>
                <w:rFonts w:ascii="Times New Roman" w:hAnsi="Times New Roman"/>
                <w:sz w:val="18"/>
              </w:rPr>
              <w:t>~340,000</w:t>
            </w:r>
          </w:p>
        </w:tc>
        <w:tc>
          <w:tcPr>
            <w:tcW w:type="dxa" w:w="2209"/>
          </w:tcPr>
          <w:p>
            <w:r/>
            <w:r>
              <w:rPr>
                <w:rFonts w:ascii="Times New Roman" w:hAnsi="Times New Roman"/>
                <w:sz w:val="18"/>
              </w:rPr>
              <w:t>~2,050,000 (measured)</w:t>
            </w:r>
          </w:p>
        </w:tc>
        <w:tc>
          <w:tcPr>
            <w:tcW w:type="dxa" w:w="2209"/>
          </w:tcPr>
          <w:p>
            <w:r/>
            <w:r>
              <w:rPr>
                <w:rFonts w:ascii="Times New Roman" w:hAnsi="Times New Roman"/>
                <w:sz w:val="18"/>
              </w:rPr>
              <w:t>6.0×</w:t>
            </w:r>
          </w:p>
        </w:tc>
      </w:tr>
      <w:tr>
        <w:tc>
          <w:tcPr>
            <w:tcW w:type="dxa" w:w="2209"/>
          </w:tcPr>
          <w:p>
            <w:r/>
            <w:r>
              <w:rPr>
                <w:rFonts w:ascii="Times New Roman" w:hAnsi="Times New Roman"/>
                <w:sz w:val="18"/>
              </w:rPr>
              <w:t>Queue depth after 200 ms burst</w:t>
            </w:r>
          </w:p>
        </w:tc>
        <w:tc>
          <w:tcPr>
            <w:tcW w:type="dxa" w:w="2209"/>
          </w:tcPr>
          <w:p>
            <w:r/>
            <w:r>
              <w:rPr>
                <w:rFonts w:ascii="Times New Roman" w:hAnsi="Times New Roman"/>
                <w:sz w:val="18"/>
              </w:rPr>
              <w:t>~67 msgs behind</w:t>
            </w:r>
          </w:p>
        </w:tc>
        <w:tc>
          <w:tcPr>
            <w:tcW w:type="dxa" w:w="2209"/>
          </w:tcPr>
          <w:p>
            <w:r/>
            <w:r>
              <w:rPr>
                <w:rFonts w:ascii="Times New Roman" w:hAnsi="Times New Roman"/>
                <w:sz w:val="18"/>
              </w:rPr>
              <w:t>~0 (real-time)</w:t>
            </w:r>
          </w:p>
        </w:tc>
        <w:tc>
          <w:tcPr>
            <w:tcW w:type="dxa" w:w="2209"/>
          </w:tcPr>
          <w:p>
            <w:r/>
            <w:r>
              <w:rPr>
                <w:rFonts w:ascii="Times New Roman" w:hAnsi="Times New Roman"/>
                <w:sz w:val="18"/>
              </w:rPr>
              <w:t>n/a</w:t>
            </w:r>
          </w:p>
        </w:tc>
      </w:tr>
    </w:tbl>
    <w:p>
      <w:pPr>
        <w:spacing w:after="120"/>
      </w:pPr>
      <w:r>
        <w:rPr>
          <w:rFonts w:ascii="Times New Roman" w:hAnsi="Times New Roman"/>
          <w:b w:val="0"/>
          <w:i w:val="0"/>
          <w:sz w:val="20"/>
        </w:rPr>
      </w:r>
    </w:p>
    <w:p>
      <w:pPr>
        <w:spacing w:before="160"/>
        <w:jc w:val="center"/>
      </w:pPr>
      <w:r>
        <w:drawing>
          <wp:inline xmlns:a="http://schemas.openxmlformats.org/drawingml/2006/main" xmlns:pic="http://schemas.openxmlformats.org/drawingml/2006/picture">
            <wp:extent cx="4572000" cy="2586673"/>
            <wp:docPr id="4" name="Picture 4"/>
            <wp:cNvGraphicFramePr>
              <a:graphicFrameLocks noChangeAspect="1"/>
            </wp:cNvGraphicFramePr>
            <a:graphic>
              <a:graphicData uri="http://schemas.openxmlformats.org/drawingml/2006/picture">
                <pic:pic>
                  <pic:nvPicPr>
                    <pic:cNvPr id="0" name="fig4_burst_drain.png"/>
                    <pic:cNvPicPr/>
                  </pic:nvPicPr>
                  <pic:blipFill>
                    <a:blip r:embed="rId12"/>
                    <a:stretch>
                      <a:fillRect/>
                    </a:stretch>
                  </pic:blipFill>
                  <pic:spPr>
                    <a:xfrm>
                      <a:off x="0" y="0"/>
                      <a:ext cx="4572000" cy="2586673"/>
                    </a:xfrm>
                    <a:prstGeom prst="rect"/>
                  </pic:spPr>
                </pic:pic>
              </a:graphicData>
            </a:graphic>
          </wp:inline>
        </w:drawing>
      </w:r>
    </w:p>
    <w:p>
      <w:pPr>
        <w:spacing w:after="160"/>
        <w:jc w:val="center"/>
      </w:pPr>
      <w:r>
        <w:rPr>
          <w:rFonts w:ascii="Times New Roman" w:hAnsi="Times New Roman"/>
          <w:sz w:val="18"/>
        </w:rPr>
        <w:t>Fig. 4. Queue drain during a 500-message burst. The optimised pipeline finishes 1.22 ms before the baseline, comparable to the co-located network round-trip.</w:t>
      </w:r>
    </w:p>
    <w:p>
      <w:pPr>
        <w:spacing w:before="160"/>
        <w:jc w:val="center"/>
      </w:pPr>
      <w:r>
        <w:drawing>
          <wp:inline xmlns:a="http://schemas.openxmlformats.org/drawingml/2006/main" xmlns:pic="http://schemas.openxmlformats.org/drawingml/2006/picture">
            <wp:extent cx="4389120" cy="2674620"/>
            <wp:docPr id="5" name="Picture 5"/>
            <wp:cNvGraphicFramePr>
              <a:graphicFrameLocks noChangeAspect="1"/>
            </wp:cNvGraphicFramePr>
            <a:graphic>
              <a:graphicData uri="http://schemas.openxmlformats.org/drawingml/2006/picture">
                <pic:pic>
                  <pic:nvPicPr>
                    <pic:cNvPr id="0" name="fig6_burst_throughput.png"/>
                    <pic:cNvPicPr/>
                  </pic:nvPicPr>
                  <pic:blipFill>
                    <a:blip r:embed="rId13"/>
                    <a:stretch>
                      <a:fillRect/>
                    </a:stretch>
                  </pic:blipFill>
                  <pic:spPr>
                    <a:xfrm>
                      <a:off x="0" y="0"/>
                      <a:ext cx="4389120" cy="2674620"/>
                    </a:xfrm>
                    <a:prstGeom prst="rect"/>
                  </pic:spPr>
                </pic:pic>
              </a:graphicData>
            </a:graphic>
          </wp:inline>
        </w:drawing>
      </w:r>
    </w:p>
    <w:p>
      <w:pPr>
        <w:spacing w:after="160"/>
        <w:jc w:val="center"/>
      </w:pPr>
      <w:r>
        <w:rPr>
          <w:rFonts w:ascii="Times New Roman" w:hAnsi="Times New Roman"/>
          <w:sz w:val="18"/>
        </w:rPr>
        <w:t>Fig. 5. Optimised pipeline: per-message latency and throughput remain stable across burst sizes of 10 to 1,000 messages (~2.05 M msg/s sustained). Measured data from advanced_examples.cpp, Example C.</w:t>
      </w:r>
    </w:p>
    <w:p>
      <w:pPr>
        <w:pStyle w:val="BodyText"/>
        <w:ind w:firstLine="283"/>
      </w:pPr>
      <w:r>
        <w:rPr>
          <w:rFonts w:ascii="Times New Roman" w:hAnsi="Times New Roman"/>
          <w:sz w:val="20"/>
        </w:rPr>
        <w:t>This 1.22 ms gap is no longer negligible relative to the ~2 ms network delay. It is the difference between seeing the post-burst order book in near real time and seeing it with a stale, pre-burst snapshot. Put differently, it is the difference between cancelling a stale quote before it is picked off and losing the spread. For a market maker quoting $50,000 BTC at a 2-tick ($0.02) spread, one adverse fill per burst event costs the notional loss on the position; across hundreds of burst events per day, these losses compound into the firm’s primary operating cost.</w:t>
      </w:r>
    </w:p>
    <w:p>
      <w:pPr>
        <w:pStyle w:val="BodyText"/>
        <w:ind w:firstLine="283"/>
      </w:pPr>
      <w:r>
        <w:rPr>
          <w:rFonts w:ascii="Times New Roman" w:hAnsi="Times New Roman"/>
          <w:sz w:val="20"/>
        </w:rPr>
        <w:t>There are limits to this argument, though. It assumes the firm’s competitors are running the naive pipeline, which may not be true. If all competitors optimise, the advantage disappears, which is exactly the arms-race dynamic documented by Budish et al. [4]. It also assumes the exchange’s snapshot interval does not dominate: if the depth stream updates only once per second, processing each update in 0.5 µs versus 3 µs changes nothing visible. The argument is strongest during periods of genuine burst traffic with sub-100 ms update intervals.</w:t>
      </w:r>
    </w:p>
    <w:p>
      <w:pPr>
        <w:pStyle w:val="Heading1"/>
      </w:pPr>
      <w:r>
        <w:t>7  Comparative Analysis of Existing Research</w:t>
      </w:r>
    </w:p>
    <w:p>
      <w:pPr>
        <w:pStyle w:val="BodyText"/>
        <w:ind w:firstLine="0"/>
      </w:pPr>
      <w:r>
        <w:rPr>
          <w:rFonts w:ascii="Times New Roman" w:hAnsi="Times New Roman"/>
          <w:sz w:val="20"/>
        </w:rPr>
        <w:t>Table 10 compares the twelve reviewed studies along four dimensions: what is measured, the market studied, the type of evidence, and whether the findings are directly applicable to our representative firm.</w:t>
      </w:r>
    </w:p>
    <w:p>
      <w:pPr>
        <w:spacing w:before="160" w:after="80"/>
      </w:pPr>
      <w:r>
        <w:rPr>
          <w:rFonts w:ascii="Times New Roman" w:hAnsi="Times New Roman"/>
          <w:sz w:val="18"/>
        </w:rPr>
        <w:t>Table 10. Comparison of the twelve reviewed studies and their applicability to a crypto prop firm.</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Study</w:t>
            </w:r>
          </w:p>
        </w:tc>
        <w:tc>
          <w:tcPr>
            <w:tcW w:type="dxa" w:w="1768"/>
          </w:tcPr>
          <w:p>
            <w:r/>
            <w:r>
              <w:rPr>
                <w:rFonts w:ascii="Times New Roman" w:hAnsi="Times New Roman"/>
                <w:b/>
                <w:sz w:val="18"/>
              </w:rPr>
              <w:t>What is measured</w:t>
            </w:r>
          </w:p>
        </w:tc>
        <w:tc>
          <w:tcPr>
            <w:tcW w:type="dxa" w:w="1768"/>
          </w:tcPr>
          <w:p>
            <w:r/>
            <w:r>
              <w:rPr>
                <w:rFonts w:ascii="Times New Roman" w:hAnsi="Times New Roman"/>
                <w:b/>
                <w:sz w:val="18"/>
              </w:rPr>
              <w:t>Market</w:t>
            </w:r>
          </w:p>
        </w:tc>
        <w:tc>
          <w:tcPr>
            <w:tcW w:type="dxa" w:w="1768"/>
          </w:tcPr>
          <w:p>
            <w:r/>
            <w:r>
              <w:rPr>
                <w:rFonts w:ascii="Times New Roman" w:hAnsi="Times New Roman"/>
                <w:b/>
                <w:sz w:val="18"/>
              </w:rPr>
              <w:t>Evidence type</w:t>
            </w:r>
          </w:p>
        </w:tc>
        <w:tc>
          <w:tcPr>
            <w:tcW w:type="dxa" w:w="1768"/>
          </w:tcPr>
          <w:p>
            <w:r/>
            <w:r>
              <w:rPr>
                <w:rFonts w:ascii="Times New Roman" w:hAnsi="Times New Roman"/>
                <w:b/>
                <w:sz w:val="18"/>
              </w:rPr>
              <w:t>Applicability to firm</w:t>
            </w:r>
          </w:p>
        </w:tc>
      </w:tr>
      <w:tr>
        <w:tc>
          <w:tcPr>
            <w:tcW w:type="dxa" w:w="1768"/>
          </w:tcPr>
          <w:p>
            <w:r/>
            <w:r>
              <w:rPr>
                <w:rFonts w:ascii="Times New Roman" w:hAnsi="Times New Roman"/>
                <w:sz w:val="18"/>
              </w:rPr>
              <w:t>Albers et al. [1]</w:t>
            </w:r>
          </w:p>
        </w:tc>
        <w:tc>
          <w:tcPr>
            <w:tcW w:type="dxa" w:w="1768"/>
          </w:tcPr>
          <w:p>
            <w:r/>
            <w:r>
              <w:rPr>
                <w:rFonts w:ascii="Times New Roman" w:hAnsi="Times New Roman"/>
                <w:sz w:val="18"/>
              </w:rPr>
              <w:t>Latency gap, execution outcomes</w:t>
            </w:r>
          </w:p>
        </w:tc>
        <w:tc>
          <w:tcPr>
            <w:tcW w:type="dxa" w:w="1768"/>
          </w:tcPr>
          <w:p>
            <w:r/>
            <w:r>
              <w:rPr>
                <w:rFonts w:ascii="Times New Roman" w:hAnsi="Times New Roman"/>
                <w:sz w:val="18"/>
              </w:rPr>
              <w:t>Binance, Bybit (crypto)</w:t>
            </w:r>
          </w:p>
        </w:tc>
        <w:tc>
          <w:tcPr>
            <w:tcW w:type="dxa" w:w="1768"/>
          </w:tcPr>
          <w:p>
            <w:r/>
            <w:r>
              <w:rPr>
                <w:rFonts w:ascii="Times New Roman" w:hAnsi="Times New Roman"/>
                <w:sz w:val="18"/>
              </w:rPr>
              <w:t>Live experiment</w:t>
            </w:r>
          </w:p>
        </w:tc>
        <w:tc>
          <w:tcPr>
            <w:tcW w:type="dxa" w:w="1768"/>
          </w:tcPr>
          <w:p>
            <w:r/>
            <w:r>
              <w:rPr>
                <w:rFonts w:ascii="Times New Roman" w:hAnsi="Times New Roman"/>
                <w:sz w:val="18"/>
              </w:rPr>
              <w:t>Direct: same exchanges</w:t>
            </w:r>
          </w:p>
        </w:tc>
      </w:tr>
      <w:tr>
        <w:tc>
          <w:tcPr>
            <w:tcW w:type="dxa" w:w="1768"/>
          </w:tcPr>
          <w:p>
            <w:r/>
            <w:r>
              <w:rPr>
                <w:rFonts w:ascii="Times New Roman" w:hAnsi="Times New Roman"/>
                <w:sz w:val="18"/>
              </w:rPr>
              <w:t>Moallemi &amp; Sağlam [2]</w:t>
            </w:r>
          </w:p>
        </w:tc>
        <w:tc>
          <w:tcPr>
            <w:tcW w:type="dxa" w:w="1768"/>
          </w:tcPr>
          <w:p>
            <w:r/>
            <w:r>
              <w:rPr>
                <w:rFonts w:ascii="Times New Roman" w:hAnsi="Times New Roman"/>
                <w:sz w:val="18"/>
              </w:rPr>
              <w:t>Cost of latency (model)</w:t>
            </w:r>
          </w:p>
        </w:tc>
        <w:tc>
          <w:tcPr>
            <w:tcW w:type="dxa" w:w="1768"/>
          </w:tcPr>
          <w:p>
            <w:r/>
            <w:r>
              <w:rPr>
                <w:rFonts w:ascii="Times New Roman" w:hAnsi="Times New Roman"/>
                <w:sz w:val="18"/>
              </w:rPr>
              <w:t>Equity (theoretical)</w:t>
            </w:r>
          </w:p>
        </w:tc>
        <w:tc>
          <w:tcPr>
            <w:tcW w:type="dxa" w:w="1768"/>
          </w:tcPr>
          <w:p>
            <w:r/>
            <w:r>
              <w:rPr>
                <w:rFonts w:ascii="Times New Roman" w:hAnsi="Times New Roman"/>
                <w:sz w:val="18"/>
              </w:rPr>
              <w:t>Analytical</w:t>
            </w:r>
          </w:p>
        </w:tc>
        <w:tc>
          <w:tcPr>
            <w:tcW w:type="dxa" w:w="1768"/>
          </w:tcPr>
          <w:p>
            <w:r/>
            <w:r>
              <w:rPr>
                <w:rFonts w:ascii="Times New Roman" w:hAnsi="Times New Roman"/>
                <w:sz w:val="18"/>
              </w:rPr>
              <w:t>Framework: cost estimation</w:t>
            </w:r>
          </w:p>
        </w:tc>
      </w:tr>
      <w:tr>
        <w:tc>
          <w:tcPr>
            <w:tcW w:type="dxa" w:w="1768"/>
          </w:tcPr>
          <w:p>
            <w:r/>
            <w:r>
              <w:rPr>
                <w:rFonts w:ascii="Times New Roman" w:hAnsi="Times New Roman"/>
                <w:sz w:val="18"/>
              </w:rPr>
              <w:t>Baron et al. [3]</w:t>
            </w:r>
          </w:p>
        </w:tc>
        <w:tc>
          <w:tcPr>
            <w:tcW w:type="dxa" w:w="1768"/>
          </w:tcPr>
          <w:p>
            <w:r/>
            <w:r>
              <w:rPr>
                <w:rFonts w:ascii="Times New Roman" w:hAnsi="Times New Roman"/>
                <w:sz w:val="18"/>
              </w:rPr>
              <w:t>Speed vs. returns</w:t>
            </w:r>
          </w:p>
        </w:tc>
        <w:tc>
          <w:tcPr>
            <w:tcW w:type="dxa" w:w="1768"/>
          </w:tcPr>
          <w:p>
            <w:r/>
            <w:r>
              <w:rPr>
                <w:rFonts w:ascii="Times New Roman" w:hAnsi="Times New Roman"/>
                <w:sz w:val="18"/>
              </w:rPr>
              <w:t>Equity</w:t>
            </w:r>
          </w:p>
        </w:tc>
        <w:tc>
          <w:tcPr>
            <w:tcW w:type="dxa" w:w="1768"/>
          </w:tcPr>
          <w:p>
            <w:r/>
            <w:r>
              <w:rPr>
                <w:rFonts w:ascii="Times New Roman" w:hAnsi="Times New Roman"/>
                <w:sz w:val="18"/>
              </w:rPr>
              <w:t>Empirical</w:t>
            </w:r>
          </w:p>
        </w:tc>
        <w:tc>
          <w:tcPr>
            <w:tcW w:type="dxa" w:w="1768"/>
          </w:tcPr>
          <w:p>
            <w:r/>
            <w:r>
              <w:rPr>
                <w:rFonts w:ascii="Times New Roman" w:hAnsi="Times New Roman"/>
                <w:sz w:val="18"/>
              </w:rPr>
              <w:t>Indirect: different venue</w:t>
            </w:r>
          </w:p>
        </w:tc>
      </w:tr>
      <w:tr>
        <w:tc>
          <w:tcPr>
            <w:tcW w:type="dxa" w:w="1768"/>
          </w:tcPr>
          <w:p>
            <w:r/>
            <w:r>
              <w:rPr>
                <w:rFonts w:ascii="Times New Roman" w:hAnsi="Times New Roman"/>
                <w:sz w:val="18"/>
              </w:rPr>
              <w:t>Budish et al. [4]</w:t>
            </w:r>
          </w:p>
        </w:tc>
        <w:tc>
          <w:tcPr>
            <w:tcW w:type="dxa" w:w="1768"/>
          </w:tcPr>
          <w:p>
            <w:r/>
            <w:r>
              <w:rPr>
                <w:rFonts w:ascii="Times New Roman" w:hAnsi="Times New Roman"/>
                <w:sz w:val="18"/>
              </w:rPr>
              <w:t>Arms-race dynamics</w:t>
            </w:r>
          </w:p>
        </w:tc>
        <w:tc>
          <w:tcPr>
            <w:tcW w:type="dxa" w:w="1768"/>
          </w:tcPr>
          <w:p>
            <w:r/>
            <w:r>
              <w:rPr>
                <w:rFonts w:ascii="Times New Roman" w:hAnsi="Times New Roman"/>
                <w:sz w:val="18"/>
              </w:rPr>
              <w:t>Equity</w:t>
            </w:r>
          </w:p>
        </w:tc>
        <w:tc>
          <w:tcPr>
            <w:tcW w:type="dxa" w:w="1768"/>
          </w:tcPr>
          <w:p>
            <w:r/>
            <w:r>
              <w:rPr>
                <w:rFonts w:ascii="Times New Roman" w:hAnsi="Times New Roman"/>
                <w:sz w:val="18"/>
              </w:rPr>
              <w:t>Empirical + model</w:t>
            </w:r>
          </w:p>
        </w:tc>
        <w:tc>
          <w:tcPr>
            <w:tcW w:type="dxa" w:w="1768"/>
          </w:tcPr>
          <w:p>
            <w:r/>
            <w:r>
              <w:rPr>
                <w:rFonts w:ascii="Times New Roman" w:hAnsi="Times New Roman"/>
                <w:sz w:val="18"/>
              </w:rPr>
              <w:t>Indirect: design insight</w:t>
            </w:r>
          </w:p>
        </w:tc>
      </w:tr>
      <w:tr>
        <w:tc>
          <w:tcPr>
            <w:tcW w:type="dxa" w:w="1768"/>
          </w:tcPr>
          <w:p>
            <w:r/>
            <w:r>
              <w:rPr>
                <w:rFonts w:ascii="Times New Roman" w:hAnsi="Times New Roman"/>
                <w:sz w:val="18"/>
              </w:rPr>
              <w:t>Makarov &amp; Schoar [5]</w:t>
            </w:r>
          </w:p>
        </w:tc>
        <w:tc>
          <w:tcPr>
            <w:tcW w:type="dxa" w:w="1768"/>
          </w:tcPr>
          <w:p>
            <w:r/>
            <w:r>
              <w:rPr>
                <w:rFonts w:ascii="Times New Roman" w:hAnsi="Times New Roman"/>
                <w:sz w:val="18"/>
              </w:rPr>
              <w:t>Cross-exchange arbitrage</w:t>
            </w:r>
          </w:p>
        </w:tc>
        <w:tc>
          <w:tcPr>
            <w:tcW w:type="dxa" w:w="1768"/>
          </w:tcPr>
          <w:p>
            <w:r/>
            <w:r>
              <w:rPr>
                <w:rFonts w:ascii="Times New Roman" w:hAnsi="Times New Roman"/>
                <w:sz w:val="18"/>
              </w:rPr>
              <w:t>Crypto</w:t>
            </w:r>
          </w:p>
        </w:tc>
        <w:tc>
          <w:tcPr>
            <w:tcW w:type="dxa" w:w="1768"/>
          </w:tcPr>
          <w:p>
            <w:r/>
            <w:r>
              <w:rPr>
                <w:rFonts w:ascii="Times New Roman" w:hAnsi="Times New Roman"/>
                <w:sz w:val="18"/>
              </w:rPr>
              <w:t>Empirical</w:t>
            </w:r>
          </w:p>
        </w:tc>
        <w:tc>
          <w:tcPr>
            <w:tcW w:type="dxa" w:w="1768"/>
          </w:tcPr>
          <w:p>
            <w:r/>
            <w:r>
              <w:rPr>
                <w:rFonts w:ascii="Times New Roman" w:hAnsi="Times New Roman"/>
                <w:sz w:val="18"/>
              </w:rPr>
              <w:t>Direct: same market</w:t>
            </w:r>
          </w:p>
        </w:tc>
      </w:tr>
      <w:tr>
        <w:tc>
          <w:tcPr>
            <w:tcW w:type="dxa" w:w="1768"/>
          </w:tcPr>
          <w:p>
            <w:r/>
            <w:r>
              <w:rPr>
                <w:rFonts w:ascii="Times New Roman" w:hAnsi="Times New Roman"/>
                <w:sz w:val="18"/>
              </w:rPr>
              <w:t>Hautsch et al. [6]</w:t>
            </w:r>
          </w:p>
        </w:tc>
        <w:tc>
          <w:tcPr>
            <w:tcW w:type="dxa" w:w="1768"/>
          </w:tcPr>
          <w:p>
            <w:r/>
            <w:r>
              <w:rPr>
                <w:rFonts w:ascii="Times New Roman" w:hAnsi="Times New Roman"/>
                <w:sz w:val="18"/>
              </w:rPr>
              <w:t>Settlement latency</w:t>
            </w:r>
          </w:p>
        </w:tc>
        <w:tc>
          <w:tcPr>
            <w:tcW w:type="dxa" w:w="1768"/>
          </w:tcPr>
          <w:p>
            <w:r/>
            <w:r>
              <w:rPr>
                <w:rFonts w:ascii="Times New Roman" w:hAnsi="Times New Roman"/>
                <w:sz w:val="18"/>
              </w:rPr>
              <w:t>Crypto</w:t>
            </w:r>
          </w:p>
        </w:tc>
        <w:tc>
          <w:tcPr>
            <w:tcW w:type="dxa" w:w="1768"/>
          </w:tcPr>
          <w:p>
            <w:r/>
            <w:r>
              <w:rPr>
                <w:rFonts w:ascii="Times New Roman" w:hAnsi="Times New Roman"/>
                <w:sz w:val="18"/>
              </w:rPr>
              <w:t>Empirical</w:t>
            </w:r>
          </w:p>
        </w:tc>
        <w:tc>
          <w:tcPr>
            <w:tcW w:type="dxa" w:w="1768"/>
          </w:tcPr>
          <w:p>
            <w:r/>
            <w:r>
              <w:rPr>
                <w:rFonts w:ascii="Times New Roman" w:hAnsi="Times New Roman"/>
                <w:sz w:val="18"/>
              </w:rPr>
              <w:t>Direct: settlement risk</w:t>
            </w:r>
          </w:p>
        </w:tc>
      </w:tr>
      <w:tr>
        <w:tc>
          <w:tcPr>
            <w:tcW w:type="dxa" w:w="1768"/>
          </w:tcPr>
          <w:p>
            <w:r/>
            <w:r>
              <w:rPr>
                <w:rFonts w:ascii="Times New Roman" w:hAnsi="Times New Roman"/>
                <w:sz w:val="18"/>
              </w:rPr>
              <w:t>Brogaard et al. [7]</w:t>
            </w:r>
          </w:p>
        </w:tc>
        <w:tc>
          <w:tcPr>
            <w:tcW w:type="dxa" w:w="1768"/>
          </w:tcPr>
          <w:p>
            <w:r/>
            <w:r>
              <w:rPr>
                <w:rFonts w:ascii="Times New Roman" w:hAnsi="Times New Roman"/>
                <w:sz w:val="18"/>
              </w:rPr>
              <w:t>Co-location and liquidity</w:t>
            </w:r>
          </w:p>
        </w:tc>
        <w:tc>
          <w:tcPr>
            <w:tcW w:type="dxa" w:w="1768"/>
          </w:tcPr>
          <w:p>
            <w:r/>
            <w:r>
              <w:rPr>
                <w:rFonts w:ascii="Times New Roman" w:hAnsi="Times New Roman"/>
                <w:sz w:val="18"/>
              </w:rPr>
              <w:t>Equity</w:t>
            </w:r>
          </w:p>
        </w:tc>
        <w:tc>
          <w:tcPr>
            <w:tcW w:type="dxa" w:w="1768"/>
          </w:tcPr>
          <w:p>
            <w:r/>
            <w:r>
              <w:rPr>
                <w:rFonts w:ascii="Times New Roman" w:hAnsi="Times New Roman"/>
                <w:sz w:val="18"/>
              </w:rPr>
              <w:t>Empirical</w:t>
            </w:r>
          </w:p>
        </w:tc>
        <w:tc>
          <w:tcPr>
            <w:tcW w:type="dxa" w:w="1768"/>
          </w:tcPr>
          <w:p>
            <w:r/>
            <w:r>
              <w:rPr>
                <w:rFonts w:ascii="Times New Roman" w:hAnsi="Times New Roman"/>
                <w:sz w:val="18"/>
              </w:rPr>
              <w:t>Indirect: co-location value</w:t>
            </w:r>
          </w:p>
        </w:tc>
      </w:tr>
      <w:tr>
        <w:tc>
          <w:tcPr>
            <w:tcW w:type="dxa" w:w="1768"/>
          </w:tcPr>
          <w:p>
            <w:r/>
            <w:r>
              <w:rPr>
                <w:rFonts w:ascii="Times New Roman" w:hAnsi="Times New Roman"/>
                <w:sz w:val="18"/>
              </w:rPr>
              <w:t>Decker &amp; Wattenhofer [8]</w:t>
            </w:r>
          </w:p>
        </w:tc>
        <w:tc>
          <w:tcPr>
            <w:tcW w:type="dxa" w:w="1768"/>
          </w:tcPr>
          <w:p>
            <w:r/>
            <w:r>
              <w:rPr>
                <w:rFonts w:ascii="Times New Roman" w:hAnsi="Times New Roman"/>
                <w:sz w:val="18"/>
              </w:rPr>
              <w:t>BTC propagation delay</w:t>
            </w:r>
          </w:p>
        </w:tc>
        <w:tc>
          <w:tcPr>
            <w:tcW w:type="dxa" w:w="1768"/>
          </w:tcPr>
          <w:p>
            <w:r/>
            <w:r>
              <w:rPr>
                <w:rFonts w:ascii="Times New Roman" w:hAnsi="Times New Roman"/>
                <w:sz w:val="18"/>
              </w:rPr>
              <w:t>Bitcoin network</w:t>
            </w:r>
          </w:p>
        </w:tc>
        <w:tc>
          <w:tcPr>
            <w:tcW w:type="dxa" w:w="1768"/>
          </w:tcPr>
          <w:p>
            <w:r/>
            <w:r>
              <w:rPr>
                <w:rFonts w:ascii="Times New Roman" w:hAnsi="Times New Roman"/>
                <w:sz w:val="18"/>
              </w:rPr>
              <w:t>Empirical</w:t>
            </w:r>
          </w:p>
        </w:tc>
        <w:tc>
          <w:tcPr>
            <w:tcW w:type="dxa" w:w="1768"/>
          </w:tcPr>
          <w:p>
            <w:r/>
            <w:r>
              <w:rPr>
                <w:rFonts w:ascii="Times New Roman" w:hAnsi="Times New Roman"/>
                <w:sz w:val="18"/>
              </w:rPr>
              <w:t>Background only</w:t>
            </w:r>
          </w:p>
        </w:tc>
      </w:tr>
      <w:tr>
        <w:tc>
          <w:tcPr>
            <w:tcW w:type="dxa" w:w="1768"/>
          </w:tcPr>
          <w:p>
            <w:r/>
            <w:r>
              <w:rPr>
                <w:rFonts w:ascii="Times New Roman" w:hAnsi="Times New Roman"/>
                <w:sz w:val="18"/>
              </w:rPr>
              <w:t>Gupta et al. [9]</w:t>
            </w:r>
          </w:p>
        </w:tc>
        <w:tc>
          <w:tcPr>
            <w:tcW w:type="dxa" w:w="1768"/>
          </w:tcPr>
          <w:p>
            <w:r/>
            <w:r>
              <w:rPr>
                <w:rFonts w:ascii="Times New Roman" w:hAnsi="Times New Roman"/>
                <w:sz w:val="18"/>
              </w:rPr>
              <w:t>Cloud exchange fairness</w:t>
            </w:r>
          </w:p>
        </w:tc>
        <w:tc>
          <w:tcPr>
            <w:tcW w:type="dxa" w:w="1768"/>
          </w:tcPr>
          <w:p>
            <w:r/>
            <w:r>
              <w:rPr>
                <w:rFonts w:ascii="Times New Roman" w:hAnsi="Times New Roman"/>
                <w:sz w:val="18"/>
              </w:rPr>
              <w:t>Simulated</w:t>
            </w:r>
          </w:p>
        </w:tc>
        <w:tc>
          <w:tcPr>
            <w:tcW w:type="dxa" w:w="1768"/>
          </w:tcPr>
          <w:p>
            <w:r/>
            <w:r>
              <w:rPr>
                <w:rFonts w:ascii="Times New Roman" w:hAnsi="Times New Roman"/>
                <w:sz w:val="18"/>
              </w:rPr>
              <w:t>Prototype</w:t>
            </w:r>
          </w:p>
        </w:tc>
        <w:tc>
          <w:tcPr>
            <w:tcW w:type="dxa" w:w="1768"/>
          </w:tcPr>
          <w:p>
            <w:r/>
            <w:r>
              <w:rPr>
                <w:rFonts w:ascii="Times New Roman" w:hAnsi="Times New Roman"/>
                <w:sz w:val="18"/>
              </w:rPr>
              <w:t>Design insight</w:t>
            </w:r>
          </w:p>
        </w:tc>
      </w:tr>
      <w:tr>
        <w:tc>
          <w:tcPr>
            <w:tcW w:type="dxa" w:w="1768"/>
          </w:tcPr>
          <w:p>
            <w:r/>
            <w:r>
              <w:rPr>
                <w:rFonts w:ascii="Times New Roman" w:hAnsi="Times New Roman"/>
                <w:sz w:val="18"/>
              </w:rPr>
              <w:t>Dvořák &amp; Kořenek [10]</w:t>
            </w:r>
          </w:p>
        </w:tc>
        <w:tc>
          <w:tcPr>
            <w:tcW w:type="dxa" w:w="1768"/>
          </w:tcPr>
          <w:p>
            <w:r/>
            <w:r>
              <w:rPr>
                <w:rFonts w:ascii="Times New Roman" w:hAnsi="Times New Roman"/>
                <w:sz w:val="18"/>
              </w:rPr>
              <w:t>FPGA order book</w:t>
            </w:r>
          </w:p>
        </w:tc>
        <w:tc>
          <w:tcPr>
            <w:tcW w:type="dxa" w:w="1768"/>
          </w:tcPr>
          <w:p>
            <w:r/>
            <w:r>
              <w:rPr>
                <w:rFonts w:ascii="Times New Roman" w:hAnsi="Times New Roman"/>
                <w:sz w:val="18"/>
              </w:rPr>
              <w:t>Equity feeds</w:t>
            </w:r>
          </w:p>
        </w:tc>
        <w:tc>
          <w:tcPr>
            <w:tcW w:type="dxa" w:w="1768"/>
          </w:tcPr>
          <w:p>
            <w:r/>
            <w:r>
              <w:rPr>
                <w:rFonts w:ascii="Times New Roman" w:hAnsi="Times New Roman"/>
                <w:sz w:val="18"/>
              </w:rPr>
              <w:t>Laboratory</w:t>
            </w:r>
          </w:p>
        </w:tc>
        <w:tc>
          <w:tcPr>
            <w:tcW w:type="dxa" w:w="1768"/>
          </w:tcPr>
          <w:p>
            <w:r/>
            <w:r>
              <w:rPr>
                <w:rFonts w:ascii="Times New Roman" w:hAnsi="Times New Roman"/>
                <w:sz w:val="18"/>
              </w:rPr>
              <w:t>Design pattern: data structure</w:t>
            </w:r>
          </w:p>
        </w:tc>
      </w:tr>
      <w:tr>
        <w:tc>
          <w:tcPr>
            <w:tcW w:type="dxa" w:w="1768"/>
          </w:tcPr>
          <w:p>
            <w:r/>
            <w:r>
              <w:rPr>
                <w:rFonts w:ascii="Times New Roman" w:hAnsi="Times New Roman"/>
                <w:sz w:val="18"/>
              </w:rPr>
              <w:t>Lockwood et al. [11]</w:t>
            </w:r>
          </w:p>
        </w:tc>
        <w:tc>
          <w:tcPr>
            <w:tcW w:type="dxa" w:w="1768"/>
          </w:tcPr>
          <w:p>
            <w:r/>
            <w:r>
              <w:rPr>
                <w:rFonts w:ascii="Times New Roman" w:hAnsi="Times New Roman"/>
                <w:sz w:val="18"/>
              </w:rPr>
              <w:t>FPGA market-data library</w:t>
            </w:r>
          </w:p>
        </w:tc>
        <w:tc>
          <w:tcPr>
            <w:tcW w:type="dxa" w:w="1768"/>
          </w:tcPr>
          <w:p>
            <w:r/>
            <w:r>
              <w:rPr>
                <w:rFonts w:ascii="Times New Roman" w:hAnsi="Times New Roman"/>
                <w:sz w:val="18"/>
              </w:rPr>
              <w:t>Equity feeds</w:t>
            </w:r>
          </w:p>
        </w:tc>
        <w:tc>
          <w:tcPr>
            <w:tcW w:type="dxa" w:w="1768"/>
          </w:tcPr>
          <w:p>
            <w:r/>
            <w:r>
              <w:rPr>
                <w:rFonts w:ascii="Times New Roman" w:hAnsi="Times New Roman"/>
                <w:sz w:val="18"/>
              </w:rPr>
              <w:t>Laboratory</w:t>
            </w:r>
          </w:p>
        </w:tc>
        <w:tc>
          <w:tcPr>
            <w:tcW w:type="dxa" w:w="1768"/>
          </w:tcPr>
          <w:p>
            <w:r/>
            <w:r>
              <w:rPr>
                <w:rFonts w:ascii="Times New Roman" w:hAnsi="Times New Roman"/>
                <w:sz w:val="18"/>
              </w:rPr>
              <w:t>Design pattern: parsing</w:t>
            </w:r>
          </w:p>
        </w:tc>
      </w:tr>
      <w:tr>
        <w:tc>
          <w:tcPr>
            <w:tcW w:type="dxa" w:w="1768"/>
          </w:tcPr>
          <w:p>
            <w:r/>
            <w:r>
              <w:rPr>
                <w:rFonts w:ascii="Times New Roman" w:hAnsi="Times New Roman"/>
                <w:sz w:val="18"/>
              </w:rPr>
              <w:t>Høiland-Jørgensen et al. [12]</w:t>
            </w:r>
          </w:p>
        </w:tc>
        <w:tc>
          <w:tcPr>
            <w:tcW w:type="dxa" w:w="1768"/>
          </w:tcPr>
          <w:p>
            <w:r/>
            <w:r>
              <w:rPr>
                <w:rFonts w:ascii="Times New Roman" w:hAnsi="Times New Roman"/>
                <w:sz w:val="18"/>
              </w:rPr>
              <w:t>XDP packet processing</w:t>
            </w:r>
          </w:p>
        </w:tc>
        <w:tc>
          <w:tcPr>
            <w:tcW w:type="dxa" w:w="1768"/>
          </w:tcPr>
          <w:p>
            <w:r/>
            <w:r>
              <w:rPr>
                <w:rFonts w:ascii="Times New Roman" w:hAnsi="Times New Roman"/>
                <w:sz w:val="18"/>
              </w:rPr>
              <w:t>General networking</w:t>
            </w:r>
          </w:p>
        </w:tc>
        <w:tc>
          <w:tcPr>
            <w:tcW w:type="dxa" w:w="1768"/>
          </w:tcPr>
          <w:p>
            <w:r/>
            <w:r>
              <w:rPr>
                <w:rFonts w:ascii="Times New Roman" w:hAnsi="Times New Roman"/>
                <w:sz w:val="18"/>
              </w:rPr>
              <w:t>Throughput test</w:t>
            </w:r>
          </w:p>
        </w:tc>
        <w:tc>
          <w:tcPr>
            <w:tcW w:type="dxa" w:w="1768"/>
          </w:tcPr>
          <w:p>
            <w:r/>
            <w:r>
              <w:rPr>
                <w:rFonts w:ascii="Times New Roman" w:hAnsi="Times New Roman"/>
                <w:sz w:val="18"/>
              </w:rPr>
              <w:t>Indirect: kernel bypass</w:t>
            </w:r>
          </w:p>
        </w:tc>
      </w:tr>
    </w:tbl>
    <w:p>
      <w:pPr>
        <w:spacing w:after="120"/>
      </w:pPr>
      <w:r>
        <w:rPr>
          <w:rFonts w:ascii="Times New Roman" w:hAnsi="Times New Roman"/>
          <w:b w:val="0"/>
          <w:i w:val="0"/>
          <w:sz w:val="20"/>
        </w:rPr>
      </w:r>
    </w:p>
    <w:p>
      <w:pPr>
        <w:pStyle w:val="BodyText"/>
        <w:ind w:firstLine="283"/>
      </w:pPr>
      <w:r>
        <w:rPr>
          <w:rFonts w:ascii="Times New Roman" w:hAnsi="Times New Roman"/>
          <w:sz w:val="20"/>
        </w:rPr>
        <w:t>Three patterns are worth highlighting. First, the strongest direct evidence for cryptocurrency markets comes from a single study: Albers et al. [1] is the only paper that measures execution outcomes on the specific exchanges our firm uses. All other empirical work comes from equity markets [3, 4, 7] or the Bitcoin blockchain [6, 8]. The engineering papers [9–12] measure techniques in laboratory settings with hardware and protocol stacks different from those of cloud-hosted crypto exchanges.</w:t>
      </w:r>
    </w:p>
    <w:p>
      <w:pPr>
        <w:pStyle w:val="BodyText"/>
        <w:ind w:firstLine="283"/>
      </w:pPr>
      <w:r>
        <w:rPr>
          <w:rFonts w:ascii="Times New Roman" w:hAnsi="Times New Roman"/>
          <w:sz w:val="20"/>
        </w:rPr>
        <w:t>Second, the studies define latency inconsistently. Moallemi and Sağlam [2] model the delay between decision and execution. Albers et al. [1] measure the gap between a snapshot and matching. Lockwood et al. [11] report the delay inside one FPGA appliance. Dvořák and Kořenek [10] measure a single book update. Høiland-Jørgensen et al. [12] report packets per second. These quantities span roughly eight orders of magnitude and cannot be compared directly.</w:t>
      </w:r>
    </w:p>
    <w:p>
      <w:pPr>
        <w:pStyle w:val="BodyText"/>
        <w:ind w:firstLine="283"/>
      </w:pPr>
      <w:r>
        <w:rPr>
          <w:rFonts w:ascii="Times New Roman" w:hAnsi="Times New Roman"/>
          <w:sz w:val="20"/>
        </w:rPr>
        <w:t>Third, the studies agree on qualitative points but disagree on practical implications. All accept that relative speed matters [1, 3, 4] and that co-location is the first step [1, 3, 7]. The FPGA papers [10, 11] imply that software is too slow and unpredictable for serious HFT. Albers et al. [1] counter that, among co-located cryptocurrency traders, reaction times differ by only a few microseconds while network delay varies by a millisecond, so a race becomes close to a lottery. Our burst-traffic analysis (Section 6) offers a partial resolution: under normal conditions the lottery argument holds, but during burst episodes the software-level difference can compound into a meaningful edge.</w:t>
      </w:r>
    </w:p>
    <w:p>
      <w:pPr>
        <w:spacing w:before="160"/>
        <w:jc w:val="center"/>
      </w:pPr>
      <w:r>
        <w:drawing>
          <wp:inline xmlns:a="http://schemas.openxmlformats.org/drawingml/2006/main" xmlns:pic="http://schemas.openxmlformats.org/drawingml/2006/picture">
            <wp:extent cx="5303520" cy="3237266"/>
            <wp:docPr id="6" name="Picture 6"/>
            <wp:cNvGraphicFramePr>
              <a:graphicFrameLocks noChangeAspect="1"/>
            </wp:cNvGraphicFramePr>
            <a:graphic>
              <a:graphicData uri="http://schemas.openxmlformats.org/drawingml/2006/picture">
                <pic:pic>
                  <pic:nvPicPr>
                    <pic:cNvPr id="0" name="fig5_time_scales.png"/>
                    <pic:cNvPicPr/>
                  </pic:nvPicPr>
                  <pic:blipFill>
                    <a:blip r:embed="rId14"/>
                    <a:stretch>
                      <a:fillRect/>
                    </a:stretch>
                  </pic:blipFill>
                  <pic:spPr>
                    <a:xfrm>
                      <a:off x="0" y="0"/>
                      <a:ext cx="5303520" cy="3237266"/>
                    </a:xfrm>
                    <a:prstGeom prst="rect"/>
                  </pic:spPr>
                </pic:pic>
              </a:graphicData>
            </a:graphic>
          </wp:inline>
        </w:drawing>
      </w:r>
    </w:p>
    <w:p>
      <w:pPr>
        <w:spacing w:after="160"/>
        <w:jc w:val="center"/>
      </w:pPr>
      <w:r>
        <w:rPr>
          <w:rFonts w:ascii="Times New Roman" w:hAnsi="Times New Roman"/>
          <w:sz w:val="18"/>
        </w:rPr>
        <w:t>Fig. 6. Time scales reported in the cited sources and measured in this paper. Quantities span roughly ten orders of magnitude and are of different kinds; the axis is for scale, not ranking. Blue = our optimised, red = our baseline, grey = published equity/FPGA, salmon = published crypto network.</w:t>
      </w:r>
    </w:p>
    <w:p>
      <w:pPr>
        <w:pStyle w:val="Heading1"/>
      </w:pPr>
      <w:r>
        <w:t>8  Limitations and Research Gaps</w:t>
      </w:r>
    </w:p>
    <w:p>
      <w:pPr>
        <w:pStyle w:val="BodyText"/>
        <w:ind w:firstLine="0"/>
      </w:pPr>
      <w:r>
        <w:rPr>
          <w:rFonts w:ascii="Times New Roman" w:hAnsi="Times New Roman"/>
          <w:sz w:val="20"/>
        </w:rPr>
        <w:t>We should note that this review covers twelve sources and is not exhaustive. For several papers, only the published abstract was available, so our descriptions are limited to what the abstracts report. Proprietary trading firms do not publish their methods; the academic literature almost certainly understates the state of practice.</w:t>
      </w:r>
    </w:p>
    <w:p>
      <w:pPr>
        <w:pStyle w:val="BodyText"/>
        <w:ind w:firstLine="283"/>
      </w:pPr>
      <w:r>
        <w:rPr>
          <w:rFonts w:ascii="Times New Roman" w:hAnsi="Times New Roman"/>
          <w:sz w:val="20"/>
        </w:rPr>
        <w:t>The benchmarks have their own specific limitations. They run on a desktop computer, not on the AWS instance type the firm would use. The workload is synthetic (messages are generated in memory, not received over a network), so the results exclude kernel-to-userspace copy overhead, TLS decryption, and WebSocket frame reassembly. The batch-timing methodology understates the per-call tail: one slow call in a batch of 100 raises the batch mean by only 1%, so the true p99 is likely worse than reported. Thread hand-off benchmarks use busy-spinning, which gives the best latency but wastes CPU; a production system might use a hybrid spin-then-sleep strategy that trades latency for efficiency.</w:t>
      </w:r>
    </w:p>
    <w:p>
      <w:pPr>
        <w:pStyle w:val="BodyText"/>
        <w:ind w:firstLine="283"/>
      </w:pPr>
      <w:r>
        <w:rPr>
          <w:rFonts w:ascii="Times New Roman" w:hAnsi="Times New Roman"/>
          <w:sz w:val="20"/>
        </w:rPr>
        <w:t>The representative firm is a composite, not a measurement of a real operation. Real firms face constraints we have not modelled: exchange rate limits, IP bans, API authentication overhead, multi-exchange synchronisation, risk checks before order submission, and the strategy computation itself. The burst-traffic argument in Section 6 is analytical, not measured on a live exchange; the actual message rate during a burst event has not been publicly documented with the precision needed to validate the calculation.</w:t>
      </w:r>
    </w:p>
    <w:p>
      <w:pPr>
        <w:pStyle w:val="BodyText"/>
        <w:ind w:firstLine="283"/>
      </w:pPr>
      <w:r>
        <w:rPr>
          <w:rFonts w:ascii="Times New Roman" w:hAnsi="Times New Roman"/>
          <w:sz w:val="20"/>
        </w:rPr>
        <w:t>Five specific research gaps deserve attention:</w:t>
      </w:r>
    </w:p>
    <w:p>
      <w:pPr>
        <w:pStyle w:val="BodyText"/>
        <w:ind w:firstLine="283"/>
      </w:pPr>
      <w:r>
        <w:rPr>
          <w:rFonts w:ascii="Times New Roman" w:hAnsi="Times New Roman"/>
          <w:sz w:val="20"/>
        </w:rPr>
        <w:t>Controlled comparisons. No reviewed study compares latency-reduction techniques on the same cryptocurrency exchange under the same conditions. The engineering results [10–12] come from different hardware, protocols, and years.</w:t>
      </w:r>
    </w:p>
    <w:p>
      <w:pPr>
        <w:pStyle w:val="BodyText"/>
        <w:ind w:firstLine="283"/>
      </w:pPr>
      <w:r>
        <w:rPr>
          <w:rFonts w:ascii="Times New Roman" w:hAnsi="Times New Roman"/>
          <w:sz w:val="20"/>
        </w:rPr>
        <w:t>Measurement standards. There is no shared methodology for measuring or decomposing end-to-end trading latency on cryptocurrency exchanges. Even Albers et al. [1], the most detailed study, do not publish their full networking configuration.</w:t>
      </w:r>
    </w:p>
    <w:p>
      <w:pPr>
        <w:pStyle w:val="BodyText"/>
        <w:ind w:firstLine="283"/>
      </w:pPr>
      <w:r>
        <w:rPr>
          <w:rFonts w:ascii="Times New Roman" w:hAnsi="Times New Roman"/>
          <w:sz w:val="20"/>
        </w:rPr>
        <w:t>Software-level evidence in crypto. Language choice, memory management, and concurrency design lack peer-reviewed measurements in a cryptocurrency-trading setting. Our microbenchmarks demonstrate the mechanisms but are not a substitute for live-exchange measurements.</w:t>
      </w:r>
    </w:p>
    <w:p>
      <w:pPr>
        <w:pStyle w:val="BodyText"/>
        <w:ind w:firstLine="283"/>
      </w:pPr>
      <w:r>
        <w:rPr>
          <w:rFonts w:ascii="Times New Roman" w:hAnsi="Times New Roman"/>
          <w:sz w:val="20"/>
        </w:rPr>
        <w:t>Exchange-side data. The live evidence covers two exchanges, perpetual futures, and periods of days to a week [1]. Spot markets, other exchanges (OKX, Kraken, Coinbase), and longer observation windows remain unstudied.</w:t>
      </w:r>
    </w:p>
    <w:p>
      <w:pPr>
        <w:pStyle w:val="BodyText"/>
        <w:ind w:firstLine="283"/>
      </w:pPr>
      <w:r>
        <w:rPr>
          <w:rFonts w:ascii="Times New Roman" w:hAnsi="Times New Roman"/>
          <w:sz w:val="20"/>
        </w:rPr>
        <w:t>Cost–benefit analysis. The monetary value of microsecond improvements on cryptocurrency exchanges has not been quantified. Moallemi and Sağlam’s [2] cost-of-latency model could be calibrated to Bitcoin data, but no published work has done so.</w:t>
      </w:r>
    </w:p>
    <w:p>
      <w:pPr>
        <w:pStyle w:val="BodyText"/>
        <w:ind w:firstLine="283"/>
      </w:pPr>
      <w:r>
        <w:rPr>
          <w:rFonts w:ascii="Times New Roman" w:hAnsi="Times New Roman"/>
          <w:sz w:val="20"/>
        </w:rPr>
        <w:t>Realistic next steps include an open benchmark suite that replays recorded exchange data and reports latency by component; controlled A/B comparisons of software configurations from servers in the exchange’s cloud region; extension of the Albers et al. [1] experiment to spot markets and additional exchanges; and calibration of a cost-of-latency model [2] to cryptocurrency order-book data.</w:t>
      </w:r>
    </w:p>
    <w:p>
      <w:pPr>
        <w:pStyle w:val="Heading1"/>
      </w:pPr>
      <w:r>
        <w:t>9  Conclusion</w:t>
      </w:r>
    </w:p>
    <w:p>
      <w:pPr>
        <w:pStyle w:val="BodyText"/>
        <w:ind w:firstLine="0"/>
      </w:pPr>
      <w:r>
        <w:rPr>
          <w:rFonts w:ascii="Times New Roman" w:hAnsi="Times New Roman"/>
          <w:sz w:val="20"/>
        </w:rPr>
        <w:t>The literature supports a clear ordering of evidence for a proprietary trading firm entering cryptocurrency HFT. Co-location (renting a server in the exchange’s cloud region) has the strongest empirical support and should be treated as a prerequisite, not an optimisation. Beyond co-location, the evidence is thinner: hardware acceleration and kernel-bypass networking have strong laboratory results from equity settings but have not been evaluated on cloud-hosted crypto exchanges, and software-level optimisations lack direct evidence in the reviewed literature.</w:t>
      </w:r>
    </w:p>
    <w:p>
      <w:pPr>
        <w:pStyle w:val="BodyText"/>
        <w:ind w:firstLine="283"/>
      </w:pPr>
      <w:r>
        <w:rPr>
          <w:rFonts w:ascii="Times New Roman" w:hAnsi="Times New Roman"/>
          <w:sz w:val="20"/>
        </w:rPr>
        <w:t>The microbenchmarks we present fill part of that gap. An array-indexed order book is 11× faster than a tree-based one. Zero-copy fixed-point parsing is 3.4× faster than string-based parsing (and 34× faster than a stod-based variant). A lock-free SPSC ring buffer is 2.5× faster than a mutex queue. Across the full pipeline, the optimised path is 5.8× faster than the baseline. These are measured results on one machine with synthetic data; they bound what is achievable in the software layer, not what is achievable end-to-end.</w:t>
      </w:r>
    </w:p>
    <w:p>
      <w:pPr>
        <w:pStyle w:val="BodyText"/>
        <w:ind w:firstLine="283"/>
      </w:pPr>
      <w:r>
        <w:rPr>
          <w:rFonts w:ascii="Times New Roman" w:hAnsi="Times New Roman"/>
          <w:sz w:val="20"/>
        </w:rPr>
        <w:t>The compound effect becomes operationally significant during burst-traffic episodes, when the firm that drains its message queue fastest recovers an accurate market view before competitors. Our burst-processing benchmark confirmed this directly: the optimised pipeline sustained 2.05 million messages per second and processed a 500-message burst in 0.25 ms versus the baseline’s 1.47 ms, a 1.22 ms gap comparable to the network round-trip itself. Whether this advantage translates to profit depends on the competitive landscape: if all firms optimise, the advantage disappears, reproducing the arms-race equilibrium described by Budish et al. [4].</w:t>
      </w:r>
    </w:p>
    <w:p>
      <w:pPr>
        <w:pStyle w:val="BodyText"/>
        <w:ind w:firstLine="283"/>
      </w:pPr>
      <w:r>
        <w:rPr>
          <w:rFonts w:ascii="Times New Roman" w:hAnsi="Times New Roman"/>
          <w:sz w:val="20"/>
        </w:rPr>
        <w:t>Every technique comes with trade-offs. The price ladder trades memory for speed. The SPSC ring trades generality (one producer, one consumer) for lock-freedom. The zero-copy parser trades flexibility (only the Binance depth format) for speed. Kernel bypass trades OS isolation for control. None is best in every setting, and the most important open task remains direct, controlled measurement on live cryptocurrency exchanges.</w:t>
      </w:r>
    </w:p>
    <w:p>
      <w:pPr>
        <w:pStyle w:val="Heading1"/>
      </w:pPr>
      <w:r>
        <w:t>References</w:t>
      </w:r>
    </w:p>
    <w:p>
      <w:pPr>
        <w:spacing w:after="80"/>
        <w:ind w:firstLine="0"/>
      </w:pPr>
      <w:r>
        <w:rPr>
          <w:rFonts w:ascii="Times New Roman" w:hAnsi="Times New Roman"/>
          <w:sz w:val="18"/>
        </w:rPr>
        <w:t>1.</w:t>
        <w:tab/>
        <w:t>Albers, J., Cucuringu, M., Howison, S. and Shestopaloff, A.Y., 2025. The good, the bad, and latency: exploratory trading on Bybit and Binance. Quantitative Finance, 25(6), pp.919–947. https://doi.org/10.1080/14697688.2025.2515933</w:t>
      </w:r>
    </w:p>
    <w:p>
      <w:pPr>
        <w:spacing w:after="80"/>
        <w:ind w:firstLine="0"/>
      </w:pPr>
      <w:r>
        <w:rPr>
          <w:rFonts w:ascii="Times New Roman" w:hAnsi="Times New Roman"/>
          <w:sz w:val="18"/>
        </w:rPr>
        <w:t>2.</w:t>
        <w:tab/>
        <w:t>Moallemi, C.C. and Sağlam, M., 2013. OR Forum: The cost of latency in high-frequency trading. Operations Research, 61(5), pp.1070–1086. https://doi.org/10.1287/opre.2013.1165</w:t>
      </w:r>
    </w:p>
    <w:p>
      <w:pPr>
        <w:spacing w:after="80"/>
        <w:ind w:firstLine="0"/>
      </w:pPr>
      <w:r>
        <w:rPr>
          <w:rFonts w:ascii="Times New Roman" w:hAnsi="Times New Roman"/>
          <w:sz w:val="18"/>
        </w:rPr>
        <w:t>3.</w:t>
        <w:tab/>
        <w:t>Baron, M., Brogaard, J., Hagströmer, B. and Kirilenko, A., 2019. Risk and return in high-frequency trading. Journal of Financial and Quantitative Analysis, 54(3), pp.993–1024. https://doi.org/10.1017/S0022109018001096</w:t>
      </w:r>
    </w:p>
    <w:p>
      <w:pPr>
        <w:spacing w:after="80"/>
        <w:ind w:firstLine="0"/>
      </w:pPr>
      <w:r>
        <w:rPr>
          <w:rFonts w:ascii="Times New Roman" w:hAnsi="Times New Roman"/>
          <w:sz w:val="18"/>
        </w:rPr>
        <w:t>4.</w:t>
        <w:tab/>
        <w:t>Budish, E., Cramton, P. and Shim, J., 2015. The high-frequency trading arms race: frequent batch auctions as a market design response. The Quarterly Journal of Economics, 130(4), pp.1547–1621. https://doi.org/10.1093/qje/qjv027</w:t>
      </w:r>
    </w:p>
    <w:p>
      <w:pPr>
        <w:spacing w:after="80"/>
        <w:ind w:firstLine="0"/>
      </w:pPr>
      <w:r>
        <w:rPr>
          <w:rFonts w:ascii="Times New Roman" w:hAnsi="Times New Roman"/>
          <w:sz w:val="18"/>
        </w:rPr>
        <w:t>5.</w:t>
        <w:tab/>
        <w:t>Makarov, I. and Schoar, A., 2020. Trading and arbitrage in cryptocurrency markets. Journal of Financial Economics, 135(2), pp.293–319. https://doi.org/10.1016/j.jfineco.2019.07.001</w:t>
      </w:r>
    </w:p>
    <w:p>
      <w:pPr>
        <w:spacing w:after="80"/>
        <w:ind w:firstLine="0"/>
      </w:pPr>
      <w:r>
        <w:rPr>
          <w:rFonts w:ascii="Times New Roman" w:hAnsi="Times New Roman"/>
          <w:sz w:val="18"/>
        </w:rPr>
        <w:t>6.</w:t>
        <w:tab/>
        <w:t>Hautsch, N., Scheuch, C. and Voigt, S., 2024. Building trust takes time: limits to arbitrage for blockchain-based assets. Review of Finance, 28(4), pp.1345–1381. https://doi.org/10.1093/rof/rfae004</w:t>
      </w:r>
    </w:p>
    <w:p>
      <w:pPr>
        <w:spacing w:after="80"/>
        <w:ind w:firstLine="0"/>
      </w:pPr>
      <w:r>
        <w:rPr>
          <w:rFonts w:ascii="Times New Roman" w:hAnsi="Times New Roman"/>
          <w:sz w:val="18"/>
        </w:rPr>
        <w:t>7.</w:t>
        <w:tab/>
        <w:t>Brogaard, J., Hagströmer, B., Nordén, L. and Riordan, R., 2015. Trading fast and slow: colocation and liquidity. The Review of Financial Studies, 28(12), pp.3407–3443. https://doi.org/10.1093/rfs/hhv045</w:t>
      </w:r>
    </w:p>
    <w:p>
      <w:pPr>
        <w:spacing w:after="80"/>
        <w:ind w:firstLine="0"/>
      </w:pPr>
      <w:r>
        <w:rPr>
          <w:rFonts w:ascii="Times New Roman" w:hAnsi="Times New Roman"/>
          <w:sz w:val="18"/>
        </w:rPr>
        <w:t>8.</w:t>
        <w:tab/>
        <w:t>Decker, C. and Wattenhofer, R., 2013. Information propagation in the Bitcoin network. IEEE P2P 2013 Proceedings, pp.1–10. https://doi.org/10.1109/P2P.2013.6688704</w:t>
      </w:r>
    </w:p>
    <w:p>
      <w:pPr>
        <w:spacing w:after="80"/>
        <w:ind w:firstLine="0"/>
      </w:pPr>
      <w:r>
        <w:rPr>
          <w:rFonts w:ascii="Times New Roman" w:hAnsi="Times New Roman"/>
          <w:sz w:val="18"/>
        </w:rPr>
        <w:t>9.</w:t>
        <w:tab/>
        <w:t>Gupta, E., Goyal, P., Marinos, I., Zhao, C., Mittal, R. and Chandra, R., 2023. DBO: fairness for cloud-hosted financial exchanges. Proceedings of the ACM SIGCOMM 2023 Conference, pp.550–563. https://doi.org/10.1145/3603269.3604871</w:t>
      </w:r>
    </w:p>
    <w:p>
      <w:pPr>
        <w:spacing w:after="80"/>
        <w:ind w:firstLine="0"/>
      </w:pPr>
      <w:r>
        <w:rPr>
          <w:rFonts w:ascii="Times New Roman" w:hAnsi="Times New Roman"/>
          <w:sz w:val="18"/>
        </w:rPr>
        <w:t>10.</w:t>
        <w:tab/>
        <w:t>Dvořák, M. and Kořenek, J., 2014. Low latency book handling in FPGA for high frequency trading. 17th International Symposium on Design and Diagnostics of Electronic Circuits and Systems, pp.175–178. https://doi.org/10.1109/DDECS.2014.6868785</w:t>
      </w:r>
    </w:p>
    <w:p>
      <w:pPr>
        <w:spacing w:after="80"/>
        <w:ind w:firstLine="0"/>
      </w:pPr>
      <w:r>
        <w:rPr>
          <w:rFonts w:ascii="Times New Roman" w:hAnsi="Times New Roman"/>
          <w:sz w:val="18"/>
        </w:rPr>
        <w:t>11.</w:t>
        <w:tab/>
        <w:t>Lockwood, J.W., Gupte, A., Mehta, N., Blott, M., English, T. and Vissers, K., 2012. A low-latency library in FPGA hardware for high-frequency trading (HFT). 2012 IEEE 20th Annual Symposium on High-Performance Interconnects, pp.9–16. https://doi.org/10.1109/HOTI.2012.15</w:t>
      </w:r>
    </w:p>
    <w:p>
      <w:pPr>
        <w:spacing w:after="80"/>
        <w:ind w:firstLine="0"/>
      </w:pPr>
      <w:r>
        <w:rPr>
          <w:rFonts w:ascii="Times New Roman" w:hAnsi="Times New Roman"/>
          <w:sz w:val="18"/>
        </w:rPr>
        <w:t>12.</w:t>
        <w:tab/>
        <w:t>Høiland-Jørgensen, T., Brouer, J.D., Borkmann, D., Fastabend, J., Herbert, T., Ahern, D. and Miller, D., 2018. The eXpress data path: fast programmable packet processing in the operating system kernel. Proceedings of the 14th International Conference on emerging Networking EXperiments and Technologies, pp.54–66. https://doi.org/10.1145/3281411.3281443</w:t>
      </w:r>
    </w:p>
    <w:p>
      <w:pPr>
        <w:spacing w:after="80"/>
        <w:ind w:firstLine="0"/>
      </w:pPr>
      <w:r>
        <w:rPr>
          <w:rFonts w:ascii="Times New Roman" w:hAnsi="Times New Roman"/>
          <w:sz w:val="18"/>
        </w:rPr>
        <w:t>13.</w:t>
        <w:tab/>
        <w:t>Dean, J. and Barroso, L.A., 2013. The tail at scale. Communications of the ACM, 56(2), pp.74–80. https://doi.org/10.1145/2408776.2408794</w:t>
      </w:r>
    </w:p>
    <w:p>
      <w:pPr>
        <w:spacing w:after="80"/>
        <w:ind w:firstLine="0"/>
      </w:pPr>
      <w:r>
        <w:rPr>
          <w:rFonts w:ascii="Times New Roman" w:hAnsi="Times New Roman"/>
          <w:sz w:val="18"/>
        </w:rPr>
        <w:t>14.</w:t>
        <w:tab/>
        <w:t>Chilimbi, T.M., Hill, M.D. and Larus, J.R., 1999. Cache-conscious structure layout. Proceedings of the ACM SIGPLAN 1999 Conference on Programming Language Design and Implementation, pp.1–12. https://doi.org/10.1145/301618.301633</w:t>
      </w:r>
    </w:p>
    <w:p>
      <w:pPr>
        <w:spacing w:after="80"/>
        <w:ind w:firstLine="0"/>
      </w:pPr>
      <w:r>
        <w:rPr>
          <w:rFonts w:ascii="Times New Roman" w:hAnsi="Times New Roman"/>
          <w:sz w:val="18"/>
        </w:rPr>
        <w:t>15.</w:t>
        <w:tab/>
        <w:t>Binance Developer Docs: Spot WebSocket Market Streams, Diff. Depth Stream. https://developers.binance.com/docs/binance-spot-api-docs/web-socket-streams</w:t>
      </w:r>
    </w:p>
    <w:p>
      <w:pPr>
        <w:spacing w:after="80"/>
        <w:ind w:firstLine="0"/>
      </w:pPr>
      <w:r>
        <w:rPr>
          <w:rFonts w:ascii="Times New Roman" w:hAnsi="Times New Roman"/>
          <w:sz w:val="18"/>
        </w:rPr>
        <w:t>16.</w:t>
        <w:tab/>
        <w:t>Michael, M.M. and Scott, M.L., 1996. Simple, fast, and practical non-blocking and blocking concurrent queue algorithms. Proceedings of the Fifteenth Annual ACM Symposium on Principles of Distributed Computing, pp.267–275. https://doi.org/10.1145/248052.248106</w:t>
      </w:r>
    </w:p>
    <w:p>
      <w:pPr>
        <w:spacing w:after="80"/>
        <w:ind w:firstLine="0"/>
      </w:pPr>
      <w:r>
        <w:rPr>
          <w:rFonts w:ascii="Times New Roman" w:hAnsi="Times New Roman"/>
          <w:sz w:val="18"/>
        </w:rPr>
        <w:t>17.</w:t>
        <w:tab/>
        <w:t>Li, J., Sharma, N.K., Ports, D.R.K. and Gribble, S.D., 2014. Tales of the tail: hardware, OS, and application-level sources of tail latency. Proceedings of the ACM Symposium on Cloud Computing, pp.1–14. https://doi.org/10.1145/2670979.2670988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ind w:firstLine="283"/>
    </w:pPr>
    <w:rPr>
      <w:rFonts w:ascii="Times New Roman" w:hAnsi="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