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8"/>
        </w:rPr>
        <w:t>Reducing Latency in Proprietary Cryptocurrency High-Frequency Trading: A Literature Review with Empirical Evidence</w:t>
      </w:r>
    </w:p>
    <w:p>
      <w:pPr>
        <w:spacing w:after="80"/>
        <w:jc w:val="center"/>
      </w:pPr>
      <w:r>
        <w:t>Ronit Bahri</w:t>
      </w:r>
    </w:p>
    <w:p>
      <w:pPr>
        <w:spacing w:after="40"/>
        <w:jc w:val="center"/>
      </w:pPr>
      <w:r>
        <w:t>Amity University Noida, Noida, India</w:t>
      </w:r>
    </w:p>
    <w:p>
      <w:pPr>
        <w:spacing w:after="40"/>
        <w:jc w:val="center"/>
      </w:pPr>
      <w:r>
        <w:t>ronit@unitedseair.com</w:t>
      </w:r>
    </w:p>
    <w:p>
      <w:pPr>
        <w:spacing w:after="80"/>
        <w:jc w:val="center"/>
      </w:pPr>
      <w:r>
        <w:t>Class: CSIT</w:t>
      </w:r>
    </w:p>
    <w:p>
      <w:pPr>
        <w:spacing w:after="240"/>
        <w:jc w:val="center"/>
      </w:pPr>
      <w:r/>
    </w:p>
    <w:p>
      <w:pPr>
        <w:spacing w:after="160"/>
      </w:pPr>
      <w:commentRangeStart w:id="1"/>
      <w:commentRangeStart w:id="2"/>
      <w:r>
        <w:t xml:space="preserve">Abstract. High-frequency trading firms operating in cryptocurrency markets face latency issues that are completely different from traditional stock markets. In traditional equities, firms put their servers in the same room as the exchange and fight over nanoseconds. In crypto, firms have to run on public cloud like AWS Tokyo and deal with ~2 ms network ping that makes microsecond optimizations seem useless at first glance. </w:t>
      </w:r>
      <w:commentRangeEnd w:id="2"/>
      <w:r>
        <w:commentReference w:id="2"/>
      </w:r>
      <w:commentRangeEnd w:id="1"/>
      <w:r>
        <w:commentReference w:id="1"/>
      </w:r>
      <w:r>
        <w:rPr>
          <w:strike/>
          <w:color w:val="808080"/>
        </w:rPr>
        <w:t xml:space="preserve">[Cut: We initially wanted to test live trading bots on Bybit, but due to API margin requirements we used deterministic microbenchmarks.] </w:t>
      </w:r>
      <w:r>
        <w:commentRangeStart w:id="4"/>
        <w:rPr>
          <w:highlight w:val="yellow"/>
        </w:rPr>
        <w:t xml:space="preserve">This paper looks at whether software speed still matters when network ping is so high. We test a mid-tier crypto firm trading BTC/USDT on Binance and Bybit. We break down the pipeline into five stages and run C and C++ benchmarks on our desktop PC (-O2). Results show: our flat price ladder is 10.7x faster than std::map (8 ns vs 91 ns), zero-copy fixed-point parsing is 3.4x faster than string copying (466 ns vs 1590 ns), and a lock-free SPSC ring buffer passes messages between threads in 30 ns vs 75 ns for mutexes. </w:t>
      </w:r>
      <w:commentRangeEnd w:id="4"/>
      <w:r>
        <w:commentReference w:id="4"/>
      </w:r>
      <w:r>
        <w:commentRangeStart w:id="5"/>
        <w:commentRangeStart w:id="6"/>
        <w:rPr>
          <w:highlight w:val="yellow"/>
        </w:rPr>
        <w:t>A custom memory pool did not beat standard malloc (108 ns vs 104 ns), which is an honest negative result showing that modern OS allocators are already very fast. More importantly, during market volatility bursts (e.g. 500 depth messages arriving in 10 ms), the naive pipeline creates 1.4 ms of queue backlog while our fast pipeline clears it in 240 us. This 1.2 ms difference is what prevents getting filled on stale quotes.</w:t>
      </w:r>
      <w:commentRangeEnd w:id="6"/>
      <w:r>
        <w:commentReference w:id="6"/>
      </w:r>
      <w:commentRangeEnd w:id="5"/>
      <w:r>
        <w:commentReference w:id="5"/>
      </w:r>
    </w:p>
    <w:p>
      <w:pPr>
        <w:spacing w:after="240"/>
      </w:pPr>
      <w:r>
        <w:rPr>
          <w:rFonts w:ascii="Times New Roman" w:hAnsi="Times New Roman"/>
          <w:b w:val="0"/>
          <w:i w:val="0"/>
          <w:sz w:val="20"/>
        </w:rPr>
        <w:t>Keywords: Cryptocurrency Trading, High-Frequency Trading, Latency Optimization, Proprietary Trading, Order Book Data Structures, Market Microstructure, Low-Latency Systems.</w:t>
      </w:r>
    </w:p>
    <w:p>
      <w:pPr>
        <w:pStyle w:val="Heading1"/>
      </w:pPr>
      <w:r>
        <w:t>1  Introduction</w:t>
      </w:r>
    </w:p>
    <w:p>
      <w:pPr>
        <w:pStyle w:val="BodyText"/>
        <w:ind w:firstLine="0"/>
      </w:pPr>
      <w:r>
        <w:rPr>
          <w:rFonts w:ascii="Times New Roman" w:hAnsi="Times New Roman"/>
          <w:sz w:val="20"/>
        </w:rPr>
        <w:t>Bitcoin trades continuously on dozens of exchanges, most of which operate electronic limit order books structurally similar to those in equity and futures markets [1]. High-frequency trading (HFT), meaning automated strategies that ingest market data, compute a decision, and transmit an order with minimal human intervention, has migrated into these venues. For such strategies, latency, the elapsed time between a trading decision and the execution of the resulting order [2], is not merely a performance metric but a direct determinant of profitability. During the delay, other participants alter the order book; an order that arrives late may fill at a worse price, fail to fill at all, or fill against a counterparty who has already revised their quote [1]. In traditional equity markets, Baron et al. [3] demonstrate that relative latency differences predict trading returns, and Budish et al. [4] show that continuous-time trading incentivises an arms race in speed.</w:t>
      </w:r>
    </w:p>
    <w:p>
      <w:pPr>
        <w:pStyle w:val="BodyText"/>
        <w:ind w:firstLine="283"/>
      </w:pPr>
      <w:r>
        <w:rPr>
          <w:rFonts w:ascii="Times New Roman" w:hAnsi="Times New Roman"/>
          <w:sz w:val="20"/>
        </w:rPr>
        <w:t>However, these findings do not transfer directly to cryptocurrency markets. Bitcoin prices on different exchanges diverge substantially and repeatedly, often along national boundaries that reflect capital controls rather than slow systems [5]. Major exchanges like Binance, Bybit, and OKX run in public cloud data centres and expose REST and WebSocket APIs rather than the co-located binary feeds used in equity markets [1]. Moving Bitcoin between exchanges requires a blockchain transfer confirmed by the consensus protocol, introducing settlement delays orders of magnitude longer than trade execution [6]. Proprietary trading firms entering crypto HFT must therefore understand which latency-reduction techniques from traditional finance carry over, which must be adapted, and which are irrelevant.</w:t>
      </w:r>
    </w:p>
    <w:p>
      <w:pPr>
        <w:pStyle w:val="BodyText"/>
        <w:ind w:firstLine="283"/>
      </w:pPr>
      <w:r>
        <w:rPr>
          <w:rFonts w:ascii="Times New Roman" w:hAnsi="Times New Roman"/>
          <w:sz w:val="20"/>
        </w:rPr>
        <w:t>This paper tries to address that question through a literature review grounded in a specific operational scenario. Instead of surveying techniques in the abstract, we frame each finding around the needs of a representative mid-tier proprietary trading firm, one running market-making and cross-exchange arbitrage strategies on Binance and Bybit from AWS cloud instances. This firm-level framing serves two purposes. First, it forces each technique to be evaluated against a concrete architecture, exposing practical trade-offs that a generic review might gloss over. Second, it lets us estimate the compound effect of multiple optimisations applied together, rather than treating each in isolation.</w:t>
      </w:r>
      <w:r>
        <w:rPr>
          <w:strike/>
          <w:color w:val="808080"/>
        </w:rPr>
        <w:t xml:space="preserve"> [Cut: It is worth mentioning that many crypto traders believe Python is fast enough for automated trading, but during liquidation cascades Python's GIL causes severe order dropouts.]</w:t>
      </w:r>
    </w:p>
    <w:p>
      <w:pPr>
        <w:pStyle w:val="BodyText"/>
        <w:ind w:firstLine="283"/>
      </w:pPr>
      <w:r>
        <w:rPr>
          <w:rFonts w:ascii="Times New Roman" w:hAnsi="Times New Roman"/>
          <w:sz w:val="20"/>
        </w:rPr>
        <w:t>The contribution of this paper is threefold. We synthesise twelve peer-reviewed sources spanning cryptocurrency market microstructure, traditional HFT, and low-latency systems engineering. We provide C and C++ implementations of key techniques, including order-book data structures, message parsers, lock-free queues, memory pools, and a full pipeline integration, with microbenchmarks that produce reproducible, measured evidence of improvement. And we analyse how these improvements interact when applied to a prop firm’s architecture, arguing that their compound effect is operationally meaningful even though each individual saving is small relative to network delay.</w:t>
      </w:r>
      <w:r>
        <w:rPr>
          <w:b/>
          <w:highlight w:val="yellow"/>
        </w:rPr>
        <w:t xml:space="preserve"> [DRAFT NOTE: Need to ask Claude to rephrase this paragraph to sound more academic for Springer proceedings.]</w:t>
      </w:r>
    </w:p>
    <w:p>
      <w:pPr>
        <w:pStyle w:val="BodyText"/>
        <w:ind w:firstLine="283"/>
      </w:pPr>
      <w:r>
        <w:rPr>
          <w:rFonts w:ascii="Times New Roman" w:hAnsi="Times New Roman"/>
          <w:sz w:val="20"/>
        </w:rPr>
        <w:t>Section 2 describes the representative firm’s architecture and current latency profile. Section 3 gives background on HFT in cryptocurrency markets. Section 4 decomposes latency into its constituent stages. Section 5 reviews reduction techniques for each stage with implementation code and benchmark evidence. Section 6 analyses the compound effect across the full pipeline. Section 7 compares the reviewed studies. Section 8 identifies limitations and research gaps, and Section 9 concludes.</w:t>
      </w:r>
    </w:p>
    <w:p>
      <w:pPr>
        <w:pStyle w:val="Heading1"/>
      </w:pPr>
      <w:r>
        <w:t>2  The Representative Firm</w:t>
      </w:r>
    </w:p>
    <w:p>
      <w:pPr>
        <w:pStyle w:val="BodyText"/>
        <w:ind w:firstLine="0"/>
      </w:pPr>
      <w:r>
        <w:rPr>
          <w:commentRangeStart w:id="7"/>
          <w:rFonts w:ascii="Times New Roman" w:hAnsi="Times New Roman"/>
          <w:sz w:val="20"/>
        </w:rPr>
        <w:t>To anchor the review in a specific operational context, we construct a composite profile of a mid-tier proprietary cryptocurrency trading firm drawn from publicly available descriptions of crypto prop-trading operations and the exchange architectures documented by Albers et al. [1]. The firm is not a real entity; it is a plausible configuration that lets us evaluate each technique against a concrete deployment.</w:t>
      </w:r>
      <w:commentRangeEnd w:id="7"/>
      <w:r>
        <w:commentReference w:id="7"/>
      </w:r>
    </w:p>
    <w:p>
      <w:pPr>
        <w:pStyle w:val="Heading2"/>
      </w:pPr>
      <w:r>
        <w:t>2.1  Infrastructure</w:t>
      </w:r>
    </w:p>
    <w:p>
      <w:pPr>
        <w:pStyle w:val="BodyText"/>
        <w:ind w:firstLine="0"/>
      </w:pPr>
      <w:r>
        <w:rPr>
          <w:rFonts w:ascii="Times New Roman" w:hAnsi="Times New Roman"/>
          <w:sz w:val="20"/>
          <w:highlight w:val="yellow"/>
        </w:rPr>
        <w:t>The firm trades BTC/USDT perpetual futures and spot pairs on Binance and Bybit. Its servers run on AWS: an EC2 instance in the Tokyo region (ap-northeast-1) for Binance, whose matching engine runs in AWS Tokyo [1], and one in Singapore (ap-southeast-1) for Bybit [1]. Each instance is a c5n.xlarge (4 vCPUs, 10.7 GB, up to 25 Gbps network), chosen for its enhanced networking support. The trading application is written in C++ compiled with GCC and links against libcurl for REST and a lightweight WebSocket library for streaming data. The strategy logic, a combination of market-making and statistical arbitrage across the two exchanges, runs on a separate thread from the market-data receiver.</w:t>
      </w:r>
    </w:p>
    <w:p>
      <w:pPr>
        <w:pStyle w:val="Heading2"/>
      </w:pPr>
      <w:r>
        <w:t>2.2  Current Latency Profile</w:t>
      </w:r>
      <w:r>
        <w:rPr>
          <w:highlight w:val="yellow"/>
        </w:rPr>
        <w:t xml:space="preserve"> [DRAFT NOTE: Checked Binance WebSocket diff depth stream docs. Tokyo AWS ap-northeast-1 is confirmed as lowest latency region.]</w:t>
      </w:r>
    </w:p>
    <w:p>
      <w:pPr>
        <w:pStyle w:val="BodyText"/>
        <w:ind w:firstLine="0"/>
      </w:pPr>
      <w:r>
        <w:rPr>
          <w:rFonts w:ascii="Times New Roman" w:hAnsi="Times New Roman"/>
          <w:sz w:val="20"/>
        </w:rPr>
        <w:t>Before any optimisation, the firm’s end-to-end latency, measured from the arrival of a WebSocket depth update to the dispatch of a REST order, breaks down roughly as follows, based on the measurements of Albers et al. [1] for the network components and our own benchmarks (Section 5) for the software components:</w:t>
      </w:r>
    </w:p>
    <w:p>
      <w:pPr>
        <w:spacing w:before="160" w:after="80"/>
      </w:pPr>
      <w:r>
        <w:rPr>
          <w:rFonts w:ascii="Times New Roman" w:hAnsi="Times New Roman"/>
          <w:sz w:val="18"/>
        </w:rPr>
        <w:t>Table 1. Estimated latency breakdown for the representative firm before optimisation.</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r>
              <w:rPr>
                <w:rFonts w:ascii="Times New Roman" w:hAnsi="Times New Roman"/>
                <w:b/>
                <w:sz w:val="18"/>
              </w:rPr>
              <w:t>Component</w:t>
            </w:r>
          </w:p>
        </w:tc>
        <w:tc>
          <w:tcPr>
            <w:tcW w:type="dxa" w:w="2946"/>
          </w:tcPr>
          <w:p>
            <w:r/>
            <w:r>
              <w:rPr>
                <w:rFonts w:ascii="Times New Roman" w:hAnsi="Times New Roman"/>
                <w:b/>
                <w:sz w:val="18"/>
              </w:rPr>
              <w:t>Estimated Delay</w:t>
            </w:r>
          </w:p>
        </w:tc>
        <w:tc>
          <w:tcPr>
            <w:tcW w:type="dxa" w:w="2946"/>
          </w:tcPr>
          <w:p>
            <w:r/>
            <w:r>
              <w:rPr>
                <w:rFonts w:ascii="Times New Roman" w:hAnsi="Times New Roman"/>
                <w:b/>
                <w:sz w:val="18"/>
              </w:rPr>
              <w:t>Source</w:t>
            </w:r>
          </w:p>
        </w:tc>
      </w:tr>
      <w:tr>
        <w:tc>
          <w:tcPr>
            <w:tcW w:type="dxa" w:w="2946"/>
          </w:tcPr>
          <w:p>
            <w:r/>
            <w:r>
              <w:rPr>
                <w:rFonts w:ascii="Times New Roman" w:hAnsi="Times New Roman"/>
                <w:sz w:val="18"/>
              </w:rPr>
              <w:t>Network: exchange → server (one-way)</w:t>
            </w:r>
          </w:p>
        </w:tc>
        <w:tc>
          <w:tcPr>
            <w:tcW w:type="dxa" w:w="2946"/>
          </w:tcPr>
          <w:p>
            <w:r/>
            <w:r>
              <w:rPr>
                <w:rFonts w:ascii="Times New Roman" w:hAnsi="Times New Roman"/>
                <w:sz w:val="18"/>
              </w:rPr>
              <w:t>~1 ms (mean), σ ≈ 1 ms</w:t>
            </w:r>
          </w:p>
        </w:tc>
        <w:tc>
          <w:tcPr>
            <w:tcW w:type="dxa" w:w="2946"/>
          </w:tcPr>
          <w:p>
            <w:r/>
            <w:r>
              <w:rPr>
                <w:rFonts w:ascii="Times New Roman" w:hAnsi="Times New Roman"/>
                <w:sz w:val="18"/>
              </w:rPr>
              <w:t>Albers et al. [1]</w:t>
            </w:r>
          </w:p>
        </w:tc>
      </w:tr>
      <w:tr>
        <w:tc>
          <w:tcPr>
            <w:tcW w:type="dxa" w:w="2946"/>
          </w:tcPr>
          <w:p>
            <w:r/>
            <w:r>
              <w:rPr>
                <w:rFonts w:ascii="Times New Roman" w:hAnsi="Times New Roman"/>
                <w:sz w:val="18"/>
              </w:rPr>
              <w:t>Market-data parsing (naive)</w:t>
            </w:r>
          </w:p>
        </w:tc>
        <w:tc>
          <w:tcPr>
            <w:tcW w:type="dxa" w:w="2946"/>
          </w:tcPr>
          <w:p>
            <w:r/>
            <w:r>
              <w:rPr>
                <w:rFonts w:ascii="Times New Roman" w:hAnsi="Times New Roman"/>
                <w:sz w:val="18"/>
              </w:rPr>
              <w:t>~1.6–16 µs per msg</w:t>
            </w:r>
          </w:p>
        </w:tc>
        <w:tc>
          <w:tcPr>
            <w:tcW w:type="dxa" w:w="2946"/>
          </w:tcPr>
          <w:p>
            <w:r/>
            <w:r>
              <w:rPr>
                <w:rFonts w:ascii="Times New Roman" w:hAnsi="Times New Roman"/>
                <w:sz w:val="18"/>
              </w:rPr>
              <w:t>Our benchmarks (Sec. 5.2)</w:t>
            </w:r>
          </w:p>
        </w:tc>
      </w:tr>
      <w:tr>
        <w:tc>
          <w:tcPr>
            <w:tcW w:type="dxa" w:w="2946"/>
          </w:tcPr>
          <w:p>
            <w:r/>
            <w:r>
              <w:rPr>
                <w:rFonts w:ascii="Times New Roman" w:hAnsi="Times New Roman"/>
                <w:sz w:val="18"/>
              </w:rPr>
              <w:t>Order-book update (std::map)</w:t>
            </w:r>
          </w:p>
        </w:tc>
        <w:tc>
          <w:tcPr>
            <w:tcW w:type="dxa" w:w="2946"/>
          </w:tcPr>
          <w:p>
            <w:r/>
            <w:r>
              <w:rPr>
                <w:rFonts w:ascii="Times New Roman" w:hAnsi="Times New Roman"/>
                <w:sz w:val="18"/>
              </w:rPr>
              <w:t>~91–96 ns per level</w:t>
            </w:r>
          </w:p>
        </w:tc>
        <w:tc>
          <w:tcPr>
            <w:tcW w:type="dxa" w:w="2946"/>
          </w:tcPr>
          <w:p>
            <w:r/>
            <w:r>
              <w:rPr>
                <w:rFonts w:ascii="Times New Roman" w:hAnsi="Times New Roman"/>
                <w:sz w:val="18"/>
              </w:rPr>
              <w:t>Our benchmarks (Sec. 5.3)</w:t>
            </w:r>
          </w:p>
        </w:tc>
      </w:tr>
      <w:tr>
        <w:tc>
          <w:tcPr>
            <w:tcW w:type="dxa" w:w="2946"/>
          </w:tcPr>
          <w:p>
            <w:r/>
            <w:r>
              <w:rPr>
                <w:rFonts w:ascii="Times New Roman" w:hAnsi="Times New Roman"/>
                <w:sz w:val="18"/>
              </w:rPr>
              <w:t>Thread hand-off (mutex queue)</w:t>
            </w:r>
          </w:p>
        </w:tc>
        <w:tc>
          <w:tcPr>
            <w:tcW w:type="dxa" w:w="2946"/>
          </w:tcPr>
          <w:p>
            <w:r/>
            <w:r>
              <w:rPr>
                <w:rFonts w:ascii="Times New Roman" w:hAnsi="Times New Roman"/>
                <w:sz w:val="18"/>
              </w:rPr>
              <w:t>~75 ns per message</w:t>
            </w:r>
          </w:p>
        </w:tc>
        <w:tc>
          <w:tcPr>
            <w:tcW w:type="dxa" w:w="2946"/>
          </w:tcPr>
          <w:p>
            <w:r/>
            <w:r>
              <w:rPr>
                <w:rFonts w:ascii="Times New Roman" w:hAnsi="Times New Roman"/>
                <w:sz w:val="18"/>
              </w:rPr>
              <w:t>Our benchmarks (Sec. 5.4)</w:t>
            </w:r>
          </w:p>
        </w:tc>
      </w:tr>
      <w:tr>
        <w:tc>
          <w:tcPr>
            <w:tcW w:type="dxa" w:w="2946"/>
          </w:tcPr>
          <w:p>
            <w:r/>
            <w:r>
              <w:rPr>
                <w:rFonts w:ascii="Times New Roman" w:hAnsi="Times New Roman"/>
                <w:sz w:val="18"/>
              </w:rPr>
              <w:t>Strategy computation</w:t>
            </w:r>
          </w:p>
        </w:tc>
        <w:tc>
          <w:tcPr>
            <w:tcW w:type="dxa" w:w="2946"/>
          </w:tcPr>
          <w:p>
            <w:r/>
            <w:r>
              <w:rPr>
                <w:rFonts w:ascii="Times New Roman" w:hAnsi="Times New Roman"/>
                <w:sz w:val="18"/>
              </w:rPr>
              <w:t>~1–10 µs (estimate)</w:t>
            </w:r>
          </w:p>
        </w:tc>
        <w:tc>
          <w:tcPr>
            <w:tcW w:type="dxa" w:w="2946"/>
          </w:tcPr>
          <w:p>
            <w:r/>
            <w:r>
              <w:rPr>
                <w:rFonts w:ascii="Times New Roman" w:hAnsi="Times New Roman"/>
                <w:sz w:val="18"/>
              </w:rPr>
              <w:t>Varies by strategy</w:t>
            </w:r>
          </w:p>
        </w:tc>
      </w:tr>
      <w:tr>
        <w:tc>
          <w:tcPr>
            <w:tcW w:type="dxa" w:w="2946"/>
          </w:tcPr>
          <w:p>
            <w:r/>
            <w:r>
              <w:rPr>
                <w:rFonts w:ascii="Times New Roman" w:hAnsi="Times New Roman"/>
                <w:sz w:val="18"/>
              </w:rPr>
              <w:t>Order serialisation + send</w:t>
            </w:r>
          </w:p>
        </w:tc>
        <w:tc>
          <w:tcPr>
            <w:tcW w:type="dxa" w:w="2946"/>
          </w:tcPr>
          <w:p>
            <w:r/>
            <w:r>
              <w:rPr>
                <w:rFonts w:ascii="Times New Roman" w:hAnsi="Times New Roman"/>
                <w:sz w:val="18"/>
              </w:rPr>
              <w:t>~1 ms (mean), σ ≈ 1 ms</w:t>
            </w:r>
          </w:p>
        </w:tc>
        <w:tc>
          <w:tcPr>
            <w:tcW w:type="dxa" w:w="2946"/>
          </w:tcPr>
          <w:p>
            <w:r/>
            <w:r>
              <w:rPr>
                <w:rFonts w:ascii="Times New Roman" w:hAnsi="Times New Roman"/>
                <w:sz w:val="18"/>
              </w:rPr>
              <w:t>Albers et al. [1]</w:t>
            </w:r>
          </w:p>
        </w:tc>
      </w:tr>
      <w:tr>
        <w:tc>
          <w:tcPr>
            <w:tcW w:type="dxa" w:w="2946"/>
          </w:tcPr>
          <w:p>
            <w:r/>
            <w:r>
              <w:rPr>
                <w:rFonts w:ascii="Times New Roman" w:hAnsi="Times New Roman"/>
                <w:sz w:val="18"/>
              </w:rPr>
              <w:t>Exchange processing (API → match)</w:t>
            </w:r>
          </w:p>
        </w:tc>
        <w:tc>
          <w:tcPr>
            <w:tcW w:type="dxa" w:w="2946"/>
          </w:tcPr>
          <w:p>
            <w:r/>
            <w:r>
              <w:rPr>
                <w:rFonts w:ascii="Times New Roman" w:hAnsi="Times New Roman"/>
                <w:sz w:val="18"/>
              </w:rPr>
              <w:t>~0.5–2 ms</w:t>
            </w:r>
          </w:p>
        </w:tc>
        <w:tc>
          <w:tcPr>
            <w:tcW w:type="dxa" w:w="2946"/>
          </w:tcPr>
          <w:p>
            <w:r/>
            <w:r>
              <w:rPr>
                <w:rFonts w:ascii="Times New Roman" w:hAnsi="Times New Roman"/>
                <w:sz w:val="18"/>
              </w:rPr>
              <w:t>Albers et al. [1]</w:t>
            </w:r>
          </w:p>
        </w:tc>
      </w:tr>
      <w:tr>
        <w:tc>
          <w:tcPr>
            <w:tcW w:type="dxa" w:w="2946"/>
          </w:tcPr>
          <w:p>
            <w:r/>
            <w:r>
              <w:rPr>
                <w:rFonts w:ascii="Times New Roman" w:hAnsi="Times New Roman"/>
                <w:sz w:val="18"/>
              </w:rPr>
              <w:t>Total round-trip estimate</w:t>
            </w:r>
          </w:p>
        </w:tc>
        <w:tc>
          <w:tcPr>
            <w:tcW w:type="dxa" w:w="2946"/>
          </w:tcPr>
          <w:p>
            <w:r/>
            <w:r>
              <w:rPr>
                <w:rFonts w:ascii="Times New Roman" w:hAnsi="Times New Roman"/>
                <w:sz w:val="18"/>
              </w:rPr>
              <w:t>~4–8 ms typical</w:t>
            </w:r>
          </w:p>
        </w:tc>
        <w:tc>
          <w:tcPr>
            <w:tcW w:type="dxa" w:w="2946"/>
          </w:tcPr>
          <w:p>
            <w:r/>
            <w:r>
              <w:rPr>
                <w:rFonts w:ascii="Times New Roman" w:hAnsi="Times New Roman"/>
                <w:sz w:val="18"/>
              </w:rPr>
              <w:t>Sum of above</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Two observations emerge from this decomposition. First, network delay dominates: the ~2 ms mean round-trip between a co-located server and the exchange [1], plus its standard deviation of ~1 ms, accounts for roughly half the total and is largely outside the firm’s control. Second, the software components (parsing, book maintenance, thread communication) are individually small (microseconds) but run on every message. During high-volatility periods, Binance’s WebSocket can deliver hundreds of depth updates per second [15]. At that rate, even single-digit-microsecond savings per message accumulate into milliseconds of queue-processing advantage, a point we quantify in Section 6.</w:t>
      </w:r>
    </w:p>
    <w:p>
      <w:pPr>
        <w:pStyle w:val="Heading1"/>
      </w:pPr>
      <w:r>
        <w:t>3  Background on High-Frequency Cryptocurrency Trading</w:t>
      </w:r>
    </w:p>
    <w:p>
      <w:pPr>
        <w:pStyle w:val="Heading2"/>
      </w:pPr>
      <w:r>
        <w:t>3.1  Strategies and the Role of Speed</w:t>
      </w:r>
    </w:p>
    <w:p>
      <w:pPr>
        <w:pStyle w:val="BodyText"/>
        <w:ind w:firstLine="0"/>
      </w:pPr>
      <w:r>
        <w:rPr>
          <w:rFonts w:ascii="Times New Roman" w:hAnsi="Times New Roman"/>
          <w:sz w:val="20"/>
        </w:rPr>
        <w:t>HFT strategies divide into two broad categories. Market makers post simultaneous buy and sell limit orders and earn the bid–ask spread; their risk is adverse selection, that is, trading against a faster or better-informed counterparty at a stale price [7]. Liquidity takers, including cross-exchange arbitrageurs, submit orders to capture short-lived price dislocations. Speed helps both: market makers use it to cancel stale quotes before they are picked off, and arbitrageurs use it to hit a mispriced level before it disappears [3]. What matters in both cases is relative latency, i.e. being faster than the next competitor, not fast in any absolute sense [3, 4].</w:t>
      </w:r>
    </w:p>
    <w:p>
      <w:pPr>
        <w:pStyle w:val="BodyText"/>
        <w:ind w:firstLine="283"/>
      </w:pPr>
      <w:r>
        <w:rPr>
          <w:rFonts w:ascii="Times New Roman" w:hAnsi="Times New Roman"/>
          <w:sz w:val="20"/>
        </w:rPr>
        <w:t>For our representative firm, what this means is that an optimisation is only valuable if it is not already standard practice among competitors on the same exchange. If every firm co-locates in AWS Tokyo, co-location itself provides no edge; the edge comes from what happens after the packet arrives.</w:t>
      </w:r>
    </w:p>
    <w:p>
      <w:pPr>
        <w:pStyle w:val="Heading2"/>
      </w:pPr>
      <w:r>
        <w:t>3.2  Exchange Architecture</w:t>
      </w:r>
    </w:p>
    <w:p>
      <w:pPr>
        <w:pStyle w:val="BodyText"/>
        <w:ind w:firstLine="0"/>
      </w:pPr>
      <w:r>
        <w:rPr>
          <w:rFonts w:ascii="Times New Roman" w:hAnsi="Times New Roman"/>
          <w:sz w:val="20"/>
        </w:rPr>
        <w:t>A limit order book lists outstanding buy orders (bids) and sell orders (asks) by price. A limit order specifies price and quantity; a market order specifies only quantity and executes against the best available levels. The exchange’s matching engine processes orders sequentially [1]. Traders reconstruct a local copy of the book from market data. On Binance, this data arrives as WebSocket depth snapshots at configurable intervals (100 ms or 1,000 ms for the spot diff-depth stream [15]), aggregated by price level, not individual order. Bybit offers similar feeds. Orders are submitted through REST APIs or WebSocket order channels, and taker orders typically pay higher fees than maker orders [1].</w:t>
      </w:r>
    </w:p>
    <w:p>
      <w:pPr>
        <w:pStyle w:val="Heading2"/>
      </w:pPr>
      <w:r>
        <w:t>3.3  Exchange Trading versus On-Chain Settlement</w:t>
      </w:r>
    </w:p>
    <w:p>
      <w:pPr>
        <w:pStyle w:val="BodyText"/>
        <w:ind w:firstLine="0"/>
      </w:pPr>
      <w:r>
        <w:rPr>
          <w:rFonts w:ascii="Times New Roman" w:hAnsi="Times New Roman"/>
          <w:sz w:val="20"/>
        </w:rPr>
        <w:t>Trades on a centralised exchange are matched internally and do not produce a blockchain transaction. The blockchain only becomes relevant when depositing or withdrawing coins. Hautsch et al. [6] term this settlement latency and show that cross-exchange price differences coincide with high settlement delays, because an arbitrageur holding inventory on one exchange while a transfer confirms on another bears price risk for the duration of the confirmation. For our firm, which runs strategies within a single exchange (market-making) and between two exchanges (arbitrage), settlement latency constrains the arbitrage capital cycle but does not affect the speed of individual trade execution.</w:t>
      </w:r>
    </w:p>
    <w:p>
      <w:pPr>
        <w:pStyle w:val="Heading2"/>
      </w:pPr>
      <w:r>
        <w:t>3.4  Why Low Latency Does Not Guarantee Profit</w:t>
      </w:r>
    </w:p>
    <w:p>
      <w:pPr>
        <w:pStyle w:val="BodyText"/>
        <w:ind w:firstLine="0"/>
      </w:pPr>
      <w:r>
        <w:rPr>
          <w:rFonts w:ascii="Times New Roman" w:hAnsi="Times New Roman"/>
          <w:sz w:val="20"/>
        </w:rPr>
        <w:t>It should be noted that speed is a necessary condition for certain strategies but not a sufficient one. Budish et al. [4] show that when all competitors invest in speed, the equilibrium cost of the arms race can consume the available profit. Albers et al. [1] report that orders expected to be profitable frequently failed to fill or filled at worse prices, while unprofitable orders almost always executed as expected, a selection effect that speed alone does not fix. The price dislocations documented by Makarov and Schoar [5] are far larger across countries than within them, reflecting capital controls, not slow systems. Our firm must therefore evaluate each optimisation not only by its latency saving but by its cost, complexity, and whether competitors have already adopted it.</w:t>
      </w:r>
    </w:p>
    <w:p>
      <w:pPr>
        <w:pStyle w:val="Heading1"/>
      </w:pPr>
      <w:r>
        <w:t>4  Sources of Latency</w:t>
      </w:r>
    </w:p>
    <w:p>
      <w:pPr>
        <w:pStyle w:val="BodyText"/>
        <w:ind w:firstLine="0"/>
      </w:pPr>
      <w:r>
        <w:rPr>
          <w:rFonts w:ascii="Times New Roman" w:hAnsi="Times New Roman"/>
          <w:sz w:val="20"/>
        </w:rPr>
        <w:t>Albers et al. [1] define the latency gap as the time between the order-book snapshot a trader reacts to and the processing of the resulting order in the matching engine. We decompose this gap into five stages, each mapped to the firm’s architecture. Table 2 summarises the stages and the reviewed sources that address each.</w:t>
      </w:r>
    </w:p>
    <w:p>
      <w:pPr>
        <w:spacing w:before="160" w:after="80"/>
      </w:pPr>
      <w:r>
        <w:rPr>
          <w:rFonts w:ascii="Times New Roman" w:hAnsi="Times New Roman"/>
          <w:sz w:val="18"/>
        </w:rPr>
        <w:t>Table 2. Latency stages in the representative firm’s trading pipeline and the reviewed sources addressing each.</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r>
              <w:rPr>
                <w:rFonts w:ascii="Times New Roman" w:hAnsi="Times New Roman"/>
                <w:b/>
                <w:sz w:val="18"/>
              </w:rPr>
              <w:t>Stage</w:t>
            </w:r>
          </w:p>
        </w:tc>
        <w:tc>
          <w:tcPr>
            <w:tcW w:type="dxa" w:w="2946"/>
          </w:tcPr>
          <w:p>
            <w:r/>
            <w:r>
              <w:rPr>
                <w:rFonts w:ascii="Times New Roman" w:hAnsi="Times New Roman"/>
                <w:b/>
                <w:sz w:val="18"/>
              </w:rPr>
              <w:t>Description</w:t>
            </w:r>
          </w:p>
        </w:tc>
        <w:tc>
          <w:tcPr>
            <w:tcW w:type="dxa" w:w="2946"/>
          </w:tcPr>
          <w:p>
            <w:r/>
            <w:r>
              <w:rPr>
                <w:rFonts w:ascii="Times New Roman" w:hAnsi="Times New Roman"/>
                <w:b/>
                <w:sz w:val="18"/>
              </w:rPr>
              <w:t>Key sources</w:t>
            </w:r>
          </w:p>
        </w:tc>
      </w:tr>
      <w:tr>
        <w:tc>
          <w:tcPr>
            <w:tcW w:type="dxa" w:w="2946"/>
          </w:tcPr>
          <w:p>
            <w:r/>
            <w:r>
              <w:rPr>
                <w:rFonts w:ascii="Times New Roman" w:hAnsi="Times New Roman"/>
                <w:sz w:val="18"/>
              </w:rPr>
              <w:t>Network transmission</w:t>
            </w:r>
          </w:p>
        </w:tc>
        <w:tc>
          <w:tcPr>
            <w:tcW w:type="dxa" w:w="2946"/>
          </w:tcPr>
          <w:p>
            <w:r/>
            <w:r>
              <w:rPr>
                <w:rFonts w:ascii="Times New Roman" w:hAnsi="Times New Roman"/>
                <w:sz w:val="18"/>
              </w:rPr>
              <w:t>Physical distance, routing, cloud jitter</w:t>
            </w:r>
          </w:p>
        </w:tc>
        <w:tc>
          <w:tcPr>
            <w:tcW w:type="dxa" w:w="2946"/>
          </w:tcPr>
          <w:p>
            <w:r/>
            <w:r>
              <w:rPr>
                <w:rFonts w:ascii="Times New Roman" w:hAnsi="Times New Roman"/>
                <w:sz w:val="18"/>
              </w:rPr>
              <w:t>[1], [3], [7], [9]</w:t>
            </w:r>
          </w:p>
        </w:tc>
      </w:tr>
      <w:tr>
        <w:tc>
          <w:tcPr>
            <w:tcW w:type="dxa" w:w="2946"/>
          </w:tcPr>
          <w:p>
            <w:r/>
            <w:r>
              <w:rPr>
                <w:rFonts w:ascii="Times New Roman" w:hAnsi="Times New Roman"/>
                <w:sz w:val="18"/>
              </w:rPr>
              <w:t>Market-data processing</w:t>
            </w:r>
          </w:p>
        </w:tc>
        <w:tc>
          <w:tcPr>
            <w:tcW w:type="dxa" w:w="2946"/>
          </w:tcPr>
          <w:p>
            <w:r/>
            <w:r>
              <w:rPr>
                <w:rFonts w:ascii="Times New Roman" w:hAnsi="Times New Roman"/>
                <w:sz w:val="18"/>
              </w:rPr>
              <w:t>Decode WebSocket frames, parse JSON depth</w:t>
            </w:r>
          </w:p>
        </w:tc>
        <w:tc>
          <w:tcPr>
            <w:tcW w:type="dxa" w:w="2946"/>
          </w:tcPr>
          <w:p>
            <w:r/>
            <w:r>
              <w:rPr>
                <w:commentRangeStart w:id="3"/>
                <w:rFonts w:ascii="Times New Roman" w:hAnsi="Times New Roman"/>
                <w:sz w:val="18"/>
              </w:rPr>
              <w:t>[1], [10], [11], [15]</w:t>
            </w:r>
            <w:commentRangeEnd w:id="3"/>
            <w:r>
              <w:commentReference w:id="3"/>
            </w:r>
          </w:p>
        </w:tc>
      </w:tr>
      <w:tr>
        <w:tc>
          <w:tcPr>
            <w:tcW w:type="dxa" w:w="2946"/>
          </w:tcPr>
          <w:p>
            <w:r/>
            <w:r>
              <w:rPr>
                <w:rFonts w:ascii="Times New Roman" w:hAnsi="Times New Roman"/>
                <w:sz w:val="18"/>
              </w:rPr>
              <w:t>Order-book maintenance</w:t>
            </w:r>
          </w:p>
        </w:tc>
        <w:tc>
          <w:tcPr>
            <w:tcW w:type="dxa" w:w="2946"/>
          </w:tcPr>
          <w:p>
            <w:r/>
            <w:r>
              <w:rPr>
                <w:rFonts w:ascii="Times New Roman" w:hAnsi="Times New Roman"/>
                <w:sz w:val="18"/>
              </w:rPr>
              <w:t>Apply updates, track best bid/ask</w:t>
            </w:r>
          </w:p>
        </w:tc>
        <w:tc>
          <w:tcPr>
            <w:tcW w:type="dxa" w:w="2946"/>
          </w:tcPr>
          <w:p>
            <w:r/>
            <w:r>
              <w:rPr>
                <w:rFonts w:ascii="Times New Roman" w:hAnsi="Times New Roman"/>
                <w:sz w:val="18"/>
              </w:rPr>
              <w:t>[1], [10], [14]</w:t>
            </w:r>
          </w:p>
        </w:tc>
      </w:tr>
      <w:tr>
        <w:tc>
          <w:tcPr>
            <w:tcW w:type="dxa" w:w="2946"/>
          </w:tcPr>
          <w:p>
            <w:r/>
            <w:r>
              <w:rPr>
                <w:rFonts w:ascii="Times New Roman" w:hAnsi="Times New Roman"/>
                <w:sz w:val="18"/>
              </w:rPr>
              <w:t>Inter-thread communication</w:t>
            </w:r>
          </w:p>
        </w:tc>
        <w:tc>
          <w:tcPr>
            <w:tcW w:type="dxa" w:w="2946"/>
          </w:tcPr>
          <w:p>
            <w:r/>
            <w:r>
              <w:rPr>
                <w:rFonts w:ascii="Times New Roman" w:hAnsi="Times New Roman"/>
                <w:sz w:val="18"/>
              </w:rPr>
              <w:t>Pass parsed data to strategy thread</w:t>
            </w:r>
          </w:p>
        </w:tc>
        <w:tc>
          <w:tcPr>
            <w:tcW w:type="dxa" w:w="2946"/>
          </w:tcPr>
          <w:p>
            <w:r/>
            <w:r>
              <w:rPr>
                <w:rFonts w:ascii="Times New Roman" w:hAnsi="Times New Roman"/>
                <w:sz w:val="18"/>
              </w:rPr>
              <w:t>[16]</w:t>
            </w:r>
          </w:p>
        </w:tc>
      </w:tr>
      <w:tr>
        <w:tc>
          <w:tcPr>
            <w:tcW w:type="dxa" w:w="2946"/>
          </w:tcPr>
          <w:p>
            <w:r/>
            <w:r>
              <w:rPr>
                <w:rFonts w:ascii="Times New Roman" w:hAnsi="Times New Roman"/>
                <w:sz w:val="18"/>
              </w:rPr>
              <w:t>Exchange execution</w:t>
            </w:r>
          </w:p>
        </w:tc>
        <w:tc>
          <w:tcPr>
            <w:tcW w:type="dxa" w:w="2946"/>
          </w:tcPr>
          <w:p>
            <w:r/>
            <w:r>
              <w:rPr>
                <w:rFonts w:ascii="Times New Roman" w:hAnsi="Times New Roman"/>
                <w:sz w:val="18"/>
              </w:rPr>
              <w:t>API layer, matching engine, rate limits</w:t>
            </w:r>
          </w:p>
        </w:tc>
        <w:tc>
          <w:tcPr>
            <w:tcW w:type="dxa" w:w="2946"/>
          </w:tcPr>
          <w:p>
            <w:r/>
            <w:r>
              <w:rPr>
                <w:rFonts w:ascii="Times New Roman" w:hAnsi="Times New Roman"/>
                <w:sz w:val="18"/>
              </w:rPr>
              <w:t>[1], [9]</w:t>
            </w:r>
          </w:p>
        </w:tc>
      </w:tr>
    </w:tbl>
    <w:p>
      <w:pPr>
        <w:spacing w:after="120"/>
      </w:pPr>
      <w:r>
        <w:rPr>
          <w:rFonts w:ascii="Times New Roman" w:hAnsi="Times New Roman"/>
          <w:b w:val="0"/>
          <w:i w:val="0"/>
          <w:sz w:val="20"/>
        </w:rPr>
      </w:r>
    </w:p>
    <w:p>
      <w:pPr>
        <w:pStyle w:val="Heading2"/>
      </w:pPr>
      <w:r>
        <w:t>4.1  Network Latency</w:t>
      </w:r>
    </w:p>
    <w:p>
      <w:pPr>
        <w:pStyle w:val="BodyText"/>
        <w:ind w:firstLine="0"/>
      </w:pPr>
      <w:r>
        <w:rPr>
          <w:rFonts w:ascii="Times New Roman" w:hAnsi="Times New Roman"/>
          <w:sz w:val="20"/>
        </w:rPr>
        <w:t>Network latency depends on physical distance, routing path, and congestion. Its message-to-message variation, commonly called jitter, is the core challenge for cloud-hosted systems. Traditional exchanges sell co-location: rack space inside the exchange’s data centre, with cross-connect cables measured in metres. Co-location upgrades on equity venues have been linked to improved trading performance [3] and reduced adverse selection for market makers [7]. Cryptocurrency exchanges do not offer physical co-location; instead, a firm rents a server in the same AWS region as the exchange. Even from within the same region, Albers et al. [1] measured an average message send time of approximately 2 ms with a standard deviation of approximately 1 ms, which means the one-way trip is stochastic and cannot be reduced below roughly 1 ms by any client-side technique. Cloud networks are inherently non-deterministic because packets traverse shared switches and compete with other tenants’ traffic [9].</w:t>
      </w:r>
    </w:p>
    <w:p>
      <w:pPr>
        <w:pStyle w:val="Heading2"/>
      </w:pPr>
      <w:r>
        <w:t>4.2  Market-Data Processing</w:t>
      </w:r>
    </w:p>
    <w:p>
      <w:pPr>
        <w:pStyle w:val="BodyText"/>
        <w:ind w:firstLine="0"/>
      </w:pPr>
      <w:r>
        <w:rPr>
          <w:rFonts w:ascii="Times New Roman" w:hAnsi="Times New Roman"/>
          <w:sz w:val="20"/>
        </w:rPr>
        <w:t>Each incoming WebSocket message must be decoded from its wire format (a WebSocket frame wrapping a JSON payload), parsed into structured fields, and applied to the local order book. For traditional exchange feeds this means looking up the instrument identifier and updating its price-level record for every message [10]; parsing financial-protocol messages is a core part of the latency budget [11]. On Binance and Bybit, an additional constraint is the snapshot interval: the diff-depth stream delivers updates at 100 ms or 1,000 ms intervals [15], so the trader’s view of the book is always at least that old regardless of how fast the parsing runs. Under heavy load, Albers et al. [1] observed that public and private feeds can fall out of synchronisation.</w:t>
      </w:r>
    </w:p>
    <w:p>
      <w:pPr>
        <w:pStyle w:val="Heading2"/>
      </w:pPr>
      <w:r>
        <w:t>4.3  Software and Computational Latency</w:t>
      </w:r>
    </w:p>
    <w:p>
      <w:pPr>
        <w:pStyle w:val="BodyText"/>
        <w:ind w:firstLine="0"/>
      </w:pPr>
      <w:r>
        <w:rPr>
          <w:rFonts w:ascii="Times New Roman" w:hAnsi="Times New Roman"/>
          <w:sz w:val="20"/>
        </w:rPr>
        <w:t>The hardware-accelerated trading literature describes software trading platforms as having high and unpredictable latency [11], in the order of tens of microseconds [10], without isolating specific causes. Commonly cited contributors include language-runtime overhead, heap allocation, garbage collection, thread contention, and OS scheduling, but these are general engineering concerns rather than findings specific to trading. None of the twelve reviewed sources measures them in a live cryptocurrency-trading setting. Albers et al. [1] note that the firm in their study spread load across multiple CPUs and avoided swapping, but do not report the resulting processing time.</w:t>
      </w:r>
    </w:p>
    <w:p>
      <w:pPr>
        <w:pStyle w:val="Heading2"/>
      </w:pPr>
      <w:r>
        <w:t>4.4  Exchange Execution and API Latency</w:t>
      </w:r>
    </w:p>
    <w:p>
      <w:pPr>
        <w:pStyle w:val="BodyText"/>
        <w:ind w:firstLine="0"/>
      </w:pPr>
      <w:r>
        <w:rPr>
          <w:rFonts w:ascii="Times New Roman" w:hAnsi="Times New Roman"/>
          <w:sz w:val="20"/>
        </w:rPr>
        <w:t>After an order reaches the exchange, it passes through the API layer (authentication, rate-limit check, parameter validation) before entering the matching engine. Albers et al. [1] recorded separate exchange-side timestamps for these steps and found that the delay varied between exchanges and could not be controlled by the trader. Our firm faces additional constraints: Binance enforces request-weight limits that cap the number of orders per minute, and aggressive trading patterns risk temporary IP bans [1]. These are hard boundaries that no client-side optimisation can move.</w:t>
      </w:r>
    </w:p>
    <w:p>
      <w:pPr>
        <w:pStyle w:val="Heading2"/>
      </w:pPr>
      <w:r>
        <w:t>4.5  Blockchain Settlement</w:t>
      </w:r>
    </w:p>
    <w:p>
      <w:pPr>
        <w:pStyle w:val="BodyText"/>
        <w:ind w:firstLine="0"/>
      </w:pPr>
      <w:r>
        <w:rPr>
          <w:rFonts w:ascii="Times New Roman" w:hAnsi="Times New Roman"/>
          <w:sz w:val="20"/>
        </w:rPr>
        <w:t>Settlement latency does not affect the speed of a single trade on a centralised exchange, but it constrains the firm’s capital allocation across exchanges. Hautsch et al. [6] show that cross-exchange price differences widen during periods of high Bitcoin settlement latency because the arbitrageur bears price risk while a transfer is pending. Settlement time is governed by the consensus protocol and network propagation [6, 8] and spans minutes to hours, far beyond the millisecond scale of trading latency.</w:t>
      </w:r>
    </w:p>
    <w:p>
      <w:pPr>
        <w:pStyle w:val="Heading1"/>
      </w:pPr>
      <w:r>
        <w:t>5  Latency-Reduction Techniques: Review and Evidence</w:t>
      </w:r>
    </w:p>
    <w:p>
      <w:pPr>
        <w:pStyle w:val="BodyText"/>
        <w:ind w:firstLine="0"/>
      </w:pPr>
      <w:r>
        <w:rPr>
          <w:rFonts w:ascii="Times New Roman" w:hAnsi="Times New Roman"/>
          <w:sz w:val="20"/>
        </w:rPr>
        <w:t>This section reviews techniques for each latency stage, provides C17 and C++20 implementations, and reports microbenchmark results measured on an Intel Core i5-7400 (3.0 GHz, 4 cores, 16 GB) under Windows 10 with GCC 16.1.0 at -O2 optimisation. All timing uses a monotonic clock (QueryPerformanceCounter on Windows, CLOCK_MONOTONIC on Linux). Operations are timed in batches of 50–100 calls because a single call can be shorter than the clock’s 100 ns resolution, and we report the median (p50), 95th percentile (p95), and 99th percentile (p99) across batch means, following the tail-latency methodology of Dean and Barroso [13]. Each program was run five times; we report the median of each statistic. Both variants in a comparison process identical synthetic input, and the programs verify that their results agree.</w:t>
      </w:r>
    </w:p>
    <w:p>
      <w:pPr>
        <w:pStyle w:val="BodyText"/>
        <w:ind w:firstLine="283"/>
      </w:pPr>
      <w:r>
        <w:rPr>
          <w:rFonts w:ascii="Times New Roman" w:hAnsi="Times New Roman"/>
          <w:sz w:val="20"/>
        </w:rPr>
        <w:t>Four kinds of statement should be kept apart throughout this section: findings from cited research, established engineering principles, illustrative code written for this paper, and timing figures measured on our test machine. The code is not a trading system; all market data is generated synthetically, no network connections are opened, and no orders can be placed. Full compilable source accompanies the paper (latency_examples.c, latency_examples.cpp, advanced_examples.cpp).</w:t>
      </w:r>
    </w:p>
    <w:p>
      <w:pPr>
        <w:pStyle w:val="Heading2"/>
      </w:pPr>
      <w:r>
        <w:t>5.1  Network and Infrastructure Optimisation</w:t>
      </w:r>
    </w:p>
    <w:p>
      <w:pPr>
        <w:pStyle w:val="BodyText"/>
        <w:ind w:firstLine="0"/>
      </w:pPr>
      <w:r>
        <w:rPr>
          <w:rFonts w:ascii="Times New Roman" w:hAnsi="Times New Roman"/>
          <w:sz w:val="20"/>
        </w:rPr>
        <w:t>Co-location, i.e. placing the trading server in the same cloud region and availability zone as the exchange, is the single best-supported technique in the reviewed literature. In equity markets, Baron et al. [3] show that firms whose latency rank improved through co-location upgrades earned higher returns, and Brogaard et al. [7] report that the optional co-location upgrade at NASDAQ OMX Stockholm was adopted primarily by market makers seeking to reduce adverse selection. For our firm, this means AWS Tokyo for Binance and AWS Singapore for Bybit [1].</w:t>
      </w:r>
    </w:p>
    <w:p>
      <w:pPr>
        <w:pStyle w:val="BodyText"/>
        <w:ind w:firstLine="283"/>
      </w:pPr>
      <w:r>
        <w:rPr>
          <w:rFonts w:ascii="Times New Roman" w:hAnsi="Times New Roman"/>
          <w:sz w:val="20"/>
        </w:rPr>
        <w:t>Beyond region selection, client-side network tuning can shave latency at the margins. Listing 1 shows the socket options the firm’s trading application should set. TCP_NODELAY disables Nagle’s algorithm, which otherwise buffers small writes and can add up to 200 ms of delay on a quiet connection. SO_RCVBUF and SO_SNDBUF increase the kernel buffer to reduce the risk of packet drops under burst traffic. TCP_QUICKACK (Linux-specific) disables delayed acknowledgements, which otherwise wait up to 40 ms before acknowledging a packet.</w:t>
      </w:r>
    </w:p>
    <w:p>
      <w:pPr>
        <w:spacing w:before="120" w:after="60"/>
      </w:pPr>
      <w:r>
        <w:rPr>
          <w:rFonts w:ascii="Times New Roman" w:hAnsi="Times New Roman"/>
          <w:i/>
          <w:sz w:val="18"/>
        </w:rPr>
        <w:t>Listing 1. TCP socket options for low-latency connections.</w:t>
      </w:r>
    </w:p>
    <w:p>
      <w:pPr>
        <w:spacing w:before="0" w:after="0" w:line="220" w:lineRule="exact"/>
      </w:pPr>
      <w:r>
        <w:rPr>
          <w:rFonts w:ascii="Courier New" w:hAnsi="Courier New"/>
          <w:sz w:val="16"/>
        </w:rPr>
        <w:t>/* Listing 1. TCP socket configuration for low-latency trading (C, POSIX). */</w:t>
      </w:r>
    </w:p>
    <w:p>
      <w:pPr>
        <w:spacing w:before="0" w:after="0" w:line="220" w:lineRule="exact"/>
      </w:pPr>
      <w:r>
        <w:rPr>
          <w:rFonts w:ascii="Courier New" w:hAnsi="Courier New"/>
          <w:sz w:val="16"/>
        </w:rPr>
        <w:t>#include &lt;netinet/tcp.h&gt;</w:t>
      </w:r>
    </w:p>
    <w:p>
      <w:pPr>
        <w:spacing w:before="0" w:after="0" w:line="220" w:lineRule="exact"/>
      </w:pPr>
      <w:r>
        <w:rPr>
          <w:rFonts w:ascii="Courier New" w:hAnsi="Courier New"/>
          <w:sz w:val="16"/>
        </w:rPr>
        <w:t>#include &lt;sys/socket.h&gt;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int configure_trading_socket(int fd) {</w:t>
      </w:r>
    </w:p>
    <w:p>
      <w:pPr>
        <w:spacing w:before="0" w:after="0" w:line="220" w:lineRule="exact"/>
      </w:pPr>
      <w:r>
        <w:rPr>
          <w:rFonts w:ascii="Courier New" w:hAnsi="Courier New"/>
          <w:sz w:val="16"/>
        </w:rPr>
        <w:t xml:space="preserve">    int one = 1;</w:t>
      </w:r>
    </w:p>
    <w:p>
      <w:pPr>
        <w:spacing w:before="0" w:after="0" w:line="220" w:lineRule="exact"/>
      </w:pPr>
      <w:r>
        <w:rPr>
          <w:rFonts w:ascii="Courier New" w:hAnsi="Courier New"/>
          <w:sz w:val="16"/>
        </w:rPr>
        <w:t xml:space="preserve">    /* Disable Nagle: send small packets immediately. */</w:t>
      </w:r>
    </w:p>
    <w:p>
      <w:pPr>
        <w:spacing w:before="0" w:after="0" w:line="220" w:lineRule="exact"/>
      </w:pPr>
      <w:r>
        <w:rPr>
          <w:rFonts w:ascii="Courier New" w:hAnsi="Courier New"/>
          <w:sz w:val="16"/>
        </w:rPr>
        <w:t xml:space="preserve">    if (setsockopt(fd, IPPROTO_TCP, TCP_NODELAY, &amp;one, sizeof one) &lt; 0)</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 Increase receive buffer to 4 MB for burst absorption. */</w:t>
      </w:r>
    </w:p>
    <w:p>
      <w:pPr>
        <w:spacing w:before="0" w:after="0" w:line="220" w:lineRule="exact"/>
      </w:pPr>
      <w:r>
        <w:rPr>
          <w:rFonts w:ascii="Courier New" w:hAnsi="Courier New"/>
          <w:sz w:val="16"/>
        </w:rPr>
        <w:t xml:space="preserve">    int bufsize = 4 * 1024 * 1024;</w:t>
      </w:r>
    </w:p>
    <w:p>
      <w:pPr>
        <w:spacing w:before="0" w:after="0" w:line="220" w:lineRule="exact"/>
      </w:pPr>
      <w:r>
        <w:rPr>
          <w:rFonts w:ascii="Courier New" w:hAnsi="Courier New"/>
          <w:sz w:val="16"/>
        </w:rPr>
        <w:t xml:space="preserve">    setsockopt(fd, SOL_SOCKET, SO_RCVBUF, &amp;bufsize, sizeof bufsize);</w:t>
      </w:r>
    </w:p>
    <w:p>
      <w:pPr>
        <w:spacing w:before="0" w:after="0" w:line="220" w:lineRule="exact"/>
      </w:pPr>
      <w:r>
        <w:rPr>
          <w:rFonts w:ascii="Courier New" w:hAnsi="Courier New"/>
          <w:sz w:val="16"/>
        </w:rPr>
        <w:t xml:space="preserve">    setsockopt(fd, SOL_SOCKET, SO_SNDBUF, &amp;bufsize, sizeof bufsize);</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#ifdef TCP_QUICKACK</w:t>
      </w:r>
    </w:p>
    <w:p>
      <w:pPr>
        <w:spacing w:before="0" w:after="0" w:line="220" w:lineRule="exact"/>
      </w:pPr>
      <w:r>
        <w:rPr>
          <w:rFonts w:ascii="Courier New" w:hAnsi="Courier New"/>
          <w:sz w:val="16"/>
        </w:rPr>
        <w:t xml:space="preserve">    /* Disable delayed ACKs (Linux only). Must be re-set after</w:t>
      </w:r>
    </w:p>
    <w:p>
      <w:pPr>
        <w:spacing w:before="0" w:after="0" w:line="220" w:lineRule="exact"/>
      </w:pPr>
      <w:r>
        <w:rPr>
          <w:rFonts w:ascii="Courier New" w:hAnsi="Courier New"/>
          <w:sz w:val="16"/>
        </w:rPr>
        <w:t xml:space="preserve">     * each recv() because the kernel resets it. */</w:t>
      </w:r>
    </w:p>
    <w:p>
      <w:pPr>
        <w:spacing w:before="0" w:after="0" w:line="220" w:lineRule="exact"/>
      </w:pPr>
      <w:r>
        <w:rPr>
          <w:rFonts w:ascii="Courier New" w:hAnsi="Courier New"/>
          <w:sz w:val="16"/>
        </w:rPr>
        <w:t xml:space="preserve">    setsockopt(fd, IPPROTO_TCP, TCP_QUICKACK, &amp;one, sizeof one);</w:t>
      </w:r>
    </w:p>
    <w:p>
      <w:pPr>
        <w:spacing w:before="0" w:after="0" w:line="220" w:lineRule="exact"/>
      </w:pPr>
      <w:r>
        <w:rPr>
          <w:rFonts w:ascii="Courier New" w:hAnsi="Courier New"/>
          <w:sz w:val="16"/>
        </w:rPr>
        <w:t>#endif</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0;</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These settings are fairly standard in equity HFT [11] and add no cost beyond a few lines of code. Their effect cannot be benchmarked without a live network path to the exchange, but disabling Nagle’s algorithm is documented to eliminate artificial 200 ms delays on small writes, and enlarging the receive buffer reduces the probability of kernel-level packet drops during traffic bursts.</w:t>
      </w:r>
    </w:p>
    <w:p>
      <w:pPr>
        <w:pStyle w:val="BodyText"/>
        <w:ind w:firstLine="283"/>
      </w:pPr>
      <w:r>
        <w:rPr>
          <w:rFonts w:ascii="Times New Roman" w:hAnsi="Times New Roman"/>
          <w:sz w:val="20"/>
        </w:rPr>
        <w:t>A second class of techniques shortens the packet path inside the server. Kernel bypass (DPDK, Solarflare OpenOnload) lets the application access the network hardware directly, removing the kernel’s TCP/IP stack from the critical path. The eXpress Data Path (XDP) [12] achieves a lighter-weight form by running packet-processing programs inside the Linux kernel, reaching 24 million packets per second on a single core. However, this is a throughput figure for routing and load balancing, not a latency measurement for trading. For our firm, kernel bypass is complicated by the fact that exchange APIs run over TLS-encrypted WebSockets; bypassing the kernel does not bypass the TLS handshake or the exchange’s application-layer protocol.</w:t>
      </w:r>
    </w:p>
    <w:p>
      <w:pPr>
        <w:pStyle w:val="BodyText"/>
        <w:ind w:firstLine="283"/>
      </w:pPr>
      <w:r>
        <w:rPr>
          <w:rFonts w:ascii="Times New Roman" w:hAnsi="Times New Roman"/>
          <w:sz w:val="20"/>
        </w:rPr>
        <w:t>A more practical network-level optimisation, and one that is easier to implement, is persistent connection management. Listing 2 shows the principle: maintain a single long-lived WebSocket connection per data stream, with automatic reconnection and a heartbeat that keeps the TCP session alive through cloud load balancers. Opening a new TLS connection costs a full round-trip handshake (1–3 ms in the same region), so a dropped connection that takes even one second to detect and re-establish means hundreds of missed messages.</w:t>
      </w:r>
    </w:p>
    <w:p>
      <w:pPr>
        <w:spacing w:before="120" w:after="60"/>
      </w:pPr>
      <w:r>
        <w:rPr>
          <w:rFonts w:ascii="Times New Roman" w:hAnsi="Times New Roman"/>
          <w:i/>
          <w:sz w:val="18"/>
        </w:rPr>
        <w:t>Listing 2. Persistent WebSocket connection with keepalive ping.</w:t>
      </w:r>
    </w:p>
    <w:p>
      <w:pPr>
        <w:spacing w:before="0" w:after="0" w:line="220" w:lineRule="exact"/>
      </w:pPr>
      <w:r>
        <w:rPr>
          <w:rFonts w:ascii="Courier New" w:hAnsi="Courier New"/>
          <w:sz w:val="16"/>
        </w:rPr>
        <w:t>/* Listing 2. Persistent WebSocket connection structure (C, simplified). */</w:t>
      </w:r>
    </w:p>
    <w:p>
      <w:pPr>
        <w:spacing w:before="0" w:after="0" w:line="220" w:lineRule="exact"/>
      </w:pPr>
      <w:r>
        <w:rPr>
          <w:rFonts w:ascii="Courier New" w:hAnsi="Courier New"/>
          <w:sz w:val="16"/>
        </w:rPr>
        <w:t>typedef struct {</w:t>
      </w:r>
    </w:p>
    <w:p>
      <w:pPr>
        <w:spacing w:before="0" w:after="0" w:line="220" w:lineRule="exact"/>
      </w:pPr>
      <w:r>
        <w:rPr>
          <w:rFonts w:ascii="Courier New" w:hAnsi="Courier New"/>
          <w:sz w:val="16"/>
        </w:rPr>
        <w:t xml:space="preserve">    int              fd;           /* underlying TCP socket        */</w:t>
      </w:r>
    </w:p>
    <w:p>
      <w:pPr>
        <w:spacing w:before="0" w:after="0" w:line="220" w:lineRule="exact"/>
      </w:pPr>
      <w:r>
        <w:rPr>
          <w:rFonts w:ascii="Courier New" w:hAnsi="Courier New"/>
          <w:sz w:val="16"/>
        </w:rPr>
        <w:t xml:space="preserve">    uint64_t         last_pong_ns; /* timestamp of last pong       */</w:t>
      </w:r>
    </w:p>
    <w:p>
      <w:pPr>
        <w:spacing w:before="0" w:after="0" w:line="220" w:lineRule="exact"/>
      </w:pPr>
      <w:r>
        <w:rPr>
          <w:rFonts w:ascii="Courier New" w:hAnsi="Courier New"/>
          <w:sz w:val="16"/>
        </w:rPr>
        <w:t xml:space="preserve">    uint64_t         ping_iv_ns;   /* ping interval (e.g. 15 sec)  */</w:t>
      </w:r>
    </w:p>
    <w:p>
      <w:pPr>
        <w:spacing w:before="0" w:after="0" w:line="220" w:lineRule="exact"/>
      </w:pPr>
      <w:r>
        <w:rPr>
          <w:rFonts w:ascii="Courier New" w:hAnsi="Courier New"/>
          <w:sz w:val="16"/>
        </w:rPr>
        <w:t xml:space="preserve">    unsigned char    recv_buf[65536];</w:t>
      </w:r>
    </w:p>
    <w:p>
      <w:pPr>
        <w:spacing w:before="0" w:after="0" w:line="220" w:lineRule="exact"/>
      </w:pPr>
      <w:r>
        <w:rPr>
          <w:rFonts w:ascii="Courier New" w:hAnsi="Courier New"/>
          <w:sz w:val="16"/>
        </w:rPr>
        <w:t xml:space="preserve">    size_t           recv_len;</w:t>
      </w:r>
    </w:p>
    <w:p>
      <w:pPr>
        <w:spacing w:before="0" w:after="0" w:line="220" w:lineRule="exact"/>
      </w:pPr>
      <w:r>
        <w:rPr>
          <w:rFonts w:ascii="Courier New" w:hAnsi="Courier New"/>
          <w:sz w:val="16"/>
        </w:rPr>
        <w:t xml:space="preserve">    int              connected;</w:t>
      </w:r>
    </w:p>
    <w:p>
      <w:pPr>
        <w:spacing w:before="0" w:after="0" w:line="220" w:lineRule="exact"/>
      </w:pPr>
      <w:r>
        <w:rPr>
          <w:rFonts w:ascii="Courier New" w:hAnsi="Courier New"/>
          <w:sz w:val="16"/>
        </w:rPr>
        <w:t>} ws_conn_t;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Send a WebSocket ping frame if the interval has elapsed.</w:t>
      </w:r>
    </w:p>
    <w:p>
      <w:pPr>
        <w:spacing w:before="0" w:after="0" w:line="220" w:lineRule="exact"/>
      </w:pPr>
      <w:r>
        <w:rPr>
          <w:rFonts w:ascii="Courier New" w:hAnsi="Courier New"/>
          <w:sz w:val="16"/>
        </w:rPr>
        <w:t xml:space="preserve"> * Binance terminates idle connections after 24 hours; most</w:t>
      </w:r>
    </w:p>
    <w:p>
      <w:pPr>
        <w:spacing w:before="0" w:after="0" w:line="220" w:lineRule="exact"/>
      </w:pPr>
      <w:r>
        <w:rPr>
          <w:rFonts w:ascii="Courier New" w:hAnsi="Courier New"/>
          <w:sz w:val="16"/>
        </w:rPr>
        <w:t xml:space="preserve"> * cloud load balancers time out in 60-350 seconds. */</w:t>
      </w:r>
    </w:p>
    <w:p>
      <w:pPr>
        <w:spacing w:before="0" w:after="0" w:line="220" w:lineRule="exact"/>
      </w:pPr>
      <w:r>
        <w:rPr>
          <w:rFonts w:ascii="Courier New" w:hAnsi="Courier New"/>
          <w:sz w:val="16"/>
        </w:rPr>
        <w:t>int ws_maybe_ping(ws_conn_t *c, uint64_t now_ns) {</w:t>
      </w:r>
    </w:p>
    <w:p>
      <w:pPr>
        <w:spacing w:before="0" w:after="0" w:line="220" w:lineRule="exact"/>
      </w:pPr>
      <w:r>
        <w:rPr>
          <w:rFonts w:ascii="Courier New" w:hAnsi="Courier New"/>
          <w:sz w:val="16"/>
        </w:rPr>
        <w:t xml:space="preserve">    if (!c-&gt;connected) return -1;</w:t>
      </w:r>
    </w:p>
    <w:p>
      <w:pPr>
        <w:spacing w:before="0" w:after="0" w:line="220" w:lineRule="exact"/>
      </w:pPr>
      <w:r>
        <w:rPr>
          <w:rFonts w:ascii="Courier New" w:hAnsi="Courier New"/>
          <w:sz w:val="16"/>
        </w:rPr>
        <w:t xml:space="preserve">    if (now_ns - c-&gt;last_pong_ns &lt; c-&gt;ping_iv_ns) return 0;</w:t>
      </w:r>
    </w:p>
    <w:p>
      <w:pPr>
        <w:spacing w:before="0" w:after="0" w:line="220" w:lineRule="exact"/>
      </w:pPr>
      <w:r>
        <w:rPr>
          <w:rFonts w:ascii="Courier New" w:hAnsi="Courier New"/>
          <w:sz w:val="16"/>
        </w:rPr>
        <w:t xml:space="preserve">    /* WebSocket ping: 0x89 opcode, zero-length payload */</w:t>
      </w:r>
    </w:p>
    <w:p>
      <w:pPr>
        <w:spacing w:before="0" w:after="0" w:line="220" w:lineRule="exact"/>
      </w:pPr>
      <w:r>
        <w:rPr>
          <w:rFonts w:ascii="Courier New" w:hAnsi="Courier New"/>
          <w:sz w:val="16"/>
        </w:rPr>
        <w:t xml:space="preserve">    unsigned char frame[2] = {0x89, 0x00};</w:t>
      </w:r>
    </w:p>
    <w:p>
      <w:pPr>
        <w:spacing w:before="0" w:after="0" w:line="220" w:lineRule="exact"/>
      </w:pPr>
      <w:r>
        <w:rPr>
          <w:rFonts w:ascii="Courier New" w:hAnsi="Courier New"/>
          <w:sz w:val="16"/>
        </w:rPr>
        <w:t xml:space="preserve">    if (send(c-&gt;fd, (char *)frame, 2, 0) != 2) {</w:t>
      </w:r>
    </w:p>
    <w:p>
      <w:pPr>
        <w:spacing w:before="0" w:after="0" w:line="220" w:lineRule="exact"/>
      </w:pPr>
      <w:r>
        <w:rPr>
          <w:rFonts w:ascii="Courier New" w:hAnsi="Courier New"/>
          <w:sz w:val="16"/>
        </w:rPr>
        <w:t xml:space="preserve">        c-&gt;connected = 0;</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w:t>
      </w:r>
    </w:p>
    <w:p>
      <w:pPr>
        <w:pStyle w:val="Heading2"/>
      </w:pPr>
      <w:r>
        <w:t>5.2  Market-Data Parsing</w:t>
      </w:r>
    </w:p>
    <w:p>
      <w:pPr>
        <w:pStyle w:val="BodyText"/>
        <w:ind w:firstLine="0"/>
      </w:pPr>
      <w:r>
        <w:rPr>
          <w:rFonts w:ascii="Times New Roman" w:hAnsi="Times New Roman"/>
          <w:sz w:val="20"/>
        </w:rPr>
        <w:t>Every depth-update message from Binance arrives as a JSON object inside a WebSocket text frame. A typical message for 5 bid and 5 ask levels is about 336 bytes and contains decimal price and quantity strings such as ""67250.10" and "0.00340000" [15]. The parsing task is to extract these fields and convert them into numerical values that the order book can use.</w:t>
      </w:r>
      <w:r>
        <w:rPr>
          <w:strike/>
          <w:color w:val="808080"/>
        </w:rPr>
        <w:t xml:space="preserve"> [Cut: We first tried using a standard JSON library (nlohmann/json) in C++, but it took over 4,200 ns per depth message due to heap allocation per key-value pair.]</w:t>
      </w:r>
    </w:p>
    <w:p>
      <w:pPr>
        <w:pStyle w:val="BodyText"/>
        <w:ind w:firstLine="283"/>
      </w:pPr>
      <w:r>
        <w:rPr>
          <w:rFonts w:ascii="Times New Roman" w:hAnsi="Times New Roman"/>
          <w:sz w:val="20"/>
        </w:rPr>
        <w:t>The naive approach, the kind a first implementation typically uses, copies each field into a temporary std::string, converts it to double precision via std::stod or strtod, and returns the result in a heap-allocated std::vector. This approach is correct and easy to write, but it performs multiple heap allocations per message and invokes the full generality of the C standard library’s floating-point parser. Listing 3 shows an optimised alternative that makes one pass over the raw bytes, converts decimals directly to scaled integers (prices in ticks of 0.01 USD, quantities in units of 10⁻⁸ BTC), and writes into a caller-supplied array. No memory is allocated on the critical path.</w:t>
      </w:r>
    </w:p>
    <w:p>
      <w:pPr>
        <w:spacing w:before="120" w:after="60"/>
      </w:pPr>
      <w:r>
        <w:rPr>
          <w:rFonts w:ascii="Times New Roman" w:hAnsi="Times New Roman"/>
          <w:i/>
          <w:sz w:val="18"/>
        </w:rPr>
        <w:t>Listing 3. Zero-copy fixed-point depth-message parser (C++20).</w:t>
      </w:r>
    </w:p>
    <w:p>
      <w:pPr>
        <w:spacing w:before="0" w:after="0" w:line="220" w:lineRule="exact"/>
      </w:pPr>
      <w:r>
        <w:rPr>
          <w:rFonts w:ascii="Courier New" w:hAnsi="Courier New"/>
          <w:sz w:val="16"/>
        </w:rPr>
        <w:t>/* Listing 3. Zero-copy fixed-point parsing of a Binance depth update (C++20).</w:t>
      </w:r>
    </w:p>
    <w:p>
      <w:pPr>
        <w:spacing w:before="0" w:after="0" w:line="220" w:lineRule="exact"/>
      </w:pPr>
      <w:r>
        <w:rPr>
          <w:rFonts w:ascii="Courier New" w:hAnsi="Courier New"/>
          <w:sz w:val="16"/>
        </w:rPr>
        <w:t xml:space="preserve"> * Reads a decimal like 67250.10 as the integer 6725010, scaled by 10^decimals.</w:t>
      </w:r>
    </w:p>
    <w:p>
      <w:pPr>
        <w:spacing w:before="0" w:after="0" w:line="220" w:lineRule="exact"/>
      </w:pPr>
      <w:r>
        <w:rPr>
          <w:rFonts w:ascii="Courier New" w:hAnsi="Courier New"/>
          <w:sz w:val="16"/>
        </w:rPr>
        <w:t xml:space="preserve"> * Extra fractional digits beyond `decimals` are dropped. */</w:t>
      </w:r>
    </w:p>
    <w:p>
      <w:pPr>
        <w:spacing w:before="0" w:after="0" w:line="220" w:lineRule="exact"/>
      </w:pPr>
      <w:r>
        <w:rPr>
          <w:rFonts w:ascii="Courier New" w:hAnsi="Courier New"/>
          <w:sz w:val="16"/>
        </w:rPr>
        <w:t>bool parse_fixed(const char*&amp; p, const char* end, int decimals,</w:t>
      </w:r>
    </w:p>
    <w:p>
      <w:pPr>
        <w:spacing w:before="0" w:after="0" w:line="220" w:lineRule="exact"/>
      </w:pPr>
      <w:r>
        <w:rPr>
          <w:rFonts w:ascii="Courier New" w:hAnsi="Courier New"/>
          <w:sz w:val="16"/>
        </w:rPr>
        <w:t xml:space="preserve">                 std::int64_t&amp; out) {</w:t>
      </w:r>
    </w:p>
    <w:p>
      <w:pPr>
        <w:spacing w:before="0" w:after="0" w:line="220" w:lineRule="exact"/>
      </w:pPr>
      <w:r>
        <w:rPr>
          <w:rFonts w:ascii="Courier New" w:hAnsi="Courier New"/>
          <w:sz w:val="16"/>
        </w:rPr>
        <w:t xml:space="preserve">    const char* const start = p;</w:t>
      </w:r>
    </w:p>
    <w:p>
      <w:pPr>
        <w:spacing w:before="0" w:after="0" w:line="220" w:lineRule="exact"/>
      </w:pPr>
      <w:r>
        <w:rPr>
          <w:rFonts w:ascii="Courier New" w:hAnsi="Courier New"/>
          <w:sz w:val="16"/>
        </w:rPr>
        <w:t xml:space="preserve">    std::int64_t v = 0;</w:t>
      </w:r>
    </w:p>
    <w:p>
      <w:pPr>
        <w:spacing w:before="0" w:after="0" w:line="220" w:lineRule="exact"/>
      </w:pPr>
      <w:r>
        <w:rPr>
          <w:rFonts w:ascii="Courier New" w:hAnsi="Courier New"/>
          <w:sz w:val="16"/>
        </w:rPr>
        <w:t xml:space="preserve">    int frac = -1;</w:t>
      </w:r>
    </w:p>
    <w:p>
      <w:pPr>
        <w:spacing w:before="0" w:after="0" w:line="220" w:lineRule="exact"/>
      </w:pPr>
      <w:r>
        <w:rPr>
          <w:rFonts w:ascii="Courier New" w:hAnsi="Courier New"/>
          <w:sz w:val="16"/>
        </w:rPr>
        <w:t xml:space="preserve">    for (; p &lt; end; ++p) {</w:t>
      </w:r>
    </w:p>
    <w:p>
      <w:pPr>
        <w:spacing w:before="0" w:after="0" w:line="220" w:lineRule="exact"/>
      </w:pPr>
      <w:r>
        <w:rPr>
          <w:rFonts w:ascii="Courier New" w:hAnsi="Courier New"/>
          <w:sz w:val="16"/>
        </w:rPr>
        <w:t xml:space="preserve">        const char c = *p;</w:t>
      </w:r>
    </w:p>
    <w:p>
      <w:pPr>
        <w:spacing w:before="0" w:after="0" w:line="220" w:lineRule="exact"/>
      </w:pPr>
      <w:r>
        <w:rPr>
          <w:rFonts w:ascii="Courier New" w:hAnsi="Courier New"/>
          <w:sz w:val="16"/>
        </w:rPr>
        <w:t xml:space="preserve">        if (c &gt;= '0' &amp;&amp; c &lt;= '9') {</w:t>
      </w:r>
    </w:p>
    <w:p>
      <w:pPr>
        <w:spacing w:before="0" w:after="0" w:line="220" w:lineRule="exact"/>
      </w:pPr>
      <w:r>
        <w:rPr>
          <w:rFonts w:ascii="Courier New" w:hAnsi="Courier New"/>
          <w:sz w:val="16"/>
        </w:rPr>
        <w:t xml:space="preserve">            if (frac == decimals) continue;</w:t>
      </w:r>
    </w:p>
    <w:p>
      <w:pPr>
        <w:spacing w:before="0" w:after="0" w:line="220" w:lineRule="exact"/>
      </w:pPr>
      <w:r>
        <w:rPr>
          <w:rFonts w:ascii="Courier New" w:hAnsi="Courier New"/>
          <w:sz w:val="16"/>
        </w:rPr>
        <w:t xml:space="preserve">            if (frac &gt;= 0) ++frac;</w:t>
      </w:r>
    </w:p>
    <w:p>
      <w:pPr>
        <w:spacing w:before="0" w:after="0" w:line="220" w:lineRule="exact"/>
      </w:pPr>
      <w:r>
        <w:rPr>
          <w:rFonts w:ascii="Courier New" w:hAnsi="Courier New"/>
          <w:sz w:val="16"/>
        </w:rPr>
        <w:t xml:space="preserve">            v = v * 10 + (c - '0');</w:t>
      </w:r>
    </w:p>
    <w:p>
      <w:pPr>
        <w:spacing w:before="0" w:after="0" w:line="220" w:lineRule="exact"/>
      </w:pPr>
      <w:r>
        <w:rPr>
          <w:rFonts w:ascii="Courier New" w:hAnsi="Courier New"/>
          <w:sz w:val="16"/>
        </w:rPr>
        <w:t xml:space="preserve">        } else if (c == '.' &amp;&amp; frac &lt; 0) {</w:t>
      </w:r>
    </w:p>
    <w:p>
      <w:pPr>
        <w:spacing w:before="0" w:after="0" w:line="220" w:lineRule="exact"/>
      </w:pPr>
      <w:r>
        <w:rPr>
          <w:rFonts w:ascii="Courier New" w:hAnsi="Courier New"/>
          <w:sz w:val="16"/>
        </w:rPr>
        <w:t xml:space="preserve">            frac = 0;</w:t>
      </w:r>
    </w:p>
    <w:p>
      <w:pPr>
        <w:spacing w:before="0" w:after="0" w:line="220" w:lineRule="exact"/>
      </w:pPr>
      <w:r>
        <w:rPr>
          <w:rFonts w:ascii="Courier New" w:hAnsi="Courier New"/>
          <w:sz w:val="16"/>
        </w:rPr>
        <w:t xml:space="preserve">        } else break;</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if (p == start) return false;</w:t>
      </w:r>
    </w:p>
    <w:p>
      <w:pPr>
        <w:spacing w:before="0" w:after="0" w:line="220" w:lineRule="exact"/>
      </w:pPr>
      <w:r>
        <w:rPr>
          <w:rFonts w:ascii="Courier New" w:hAnsi="Courier New"/>
          <w:sz w:val="16"/>
        </w:rPr>
        <w:t xml:space="preserve">    for (int f = frac &lt; 0 ? 0 : frac; f &lt; decimals; ++f) v *= 10;</w:t>
      </w:r>
    </w:p>
    <w:p>
      <w:pPr>
        <w:spacing w:before="0" w:after="0" w:line="220" w:lineRule="exact"/>
      </w:pPr>
      <w:r>
        <w:rPr>
          <w:rFonts w:ascii="Courier New" w:hAnsi="Courier New"/>
          <w:sz w:val="16"/>
        </w:rPr>
        <w:t xml:space="preserve">    out = v;</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One-pass parser for a depth message. Returns the number of levels</w:t>
      </w:r>
    </w:p>
    <w:p>
      <w:pPr>
        <w:spacing w:before="0" w:after="0" w:line="220" w:lineRule="exact"/>
      </w:pPr>
      <w:r>
        <w:rPr>
          <w:rFonts w:ascii="Courier New" w:hAnsi="Courier New"/>
          <w:sz w:val="16"/>
        </w:rPr>
        <w:t xml:space="preserve"> * parsed, or -1 on malformed input. Output is written into `out`,</w:t>
      </w:r>
    </w:p>
    <w:p>
      <w:pPr>
        <w:spacing w:before="0" w:after="0" w:line="220" w:lineRule="exact"/>
      </w:pPr>
      <w:r>
        <w:rPr>
          <w:rFonts w:ascii="Courier New" w:hAnsi="Courier New"/>
          <w:sz w:val="16"/>
        </w:rPr>
        <w:t xml:space="preserve"> * a caller-owned array of `cap` entries -- no heap allocation. */</w:t>
      </w:r>
    </w:p>
    <w:p>
      <w:pPr>
        <w:spacing w:before="0" w:after="0" w:line="220" w:lineRule="exact"/>
      </w:pPr>
      <w:r>
        <w:rPr>
          <w:rFonts w:ascii="Courier New" w:hAnsi="Courier New"/>
          <w:sz w:val="16"/>
        </w:rPr>
        <w:t>int parse_fast(std::string_view msg, Update* out, int cap) {</w:t>
      </w:r>
    </w:p>
    <w:p>
      <w:pPr>
        <w:spacing w:before="0" w:after="0" w:line="220" w:lineRule="exact"/>
      </w:pPr>
      <w:r>
        <w:rPr>
          <w:rFonts w:ascii="Courier New" w:hAnsi="Courier New"/>
          <w:sz w:val="16"/>
        </w:rPr>
        <w:t xml:space="preserve">    const char* p   = msg.data();</w:t>
      </w:r>
    </w:p>
    <w:p>
      <w:pPr>
        <w:spacing w:before="0" w:after="0" w:line="220" w:lineRule="exact"/>
      </w:pPr>
      <w:r>
        <w:rPr>
          <w:rFonts w:ascii="Courier New" w:hAnsi="Courier New"/>
          <w:sz w:val="16"/>
        </w:rPr>
        <w:t xml:space="preserve">    const char* end = p + msg.size();</w:t>
      </w:r>
    </w:p>
    <w:p>
      <w:pPr>
        <w:spacing w:before="0" w:after="0" w:line="220" w:lineRule="exact"/>
      </w:pPr>
      <w:r>
        <w:rPr>
          <w:rFonts w:ascii="Courier New" w:hAnsi="Courier New"/>
          <w:sz w:val="16"/>
        </w:rPr>
        <w:t xml:space="preserve">    int n = 0;</w:t>
      </w:r>
    </w:p>
    <w:p>
      <w:pPr>
        <w:spacing w:before="0" w:after="0" w:line="220" w:lineRule="exact"/>
      </w:pPr>
      <w:r>
        <w:rPr>
          <w:rFonts w:ascii="Courier New" w:hAnsi="Courier New"/>
          <w:sz w:val="16"/>
        </w:rPr>
        <w:t xml:space="preserve">    for (const char side : {'b', 'a'}) {</w:t>
      </w:r>
    </w:p>
    <w:p>
      <w:pPr>
        <w:spacing w:before="0" w:after="0" w:line="220" w:lineRule="exact"/>
      </w:pPr>
      <w:r>
        <w:rPr>
          <w:rFonts w:ascii="Courier New" w:hAnsi="Courier New"/>
          <w:sz w:val="16"/>
        </w:rPr>
        <w:t xml:space="preserve">        const char key[5] = {'"', side, '"', ':', '['};</w:t>
      </w:r>
    </w:p>
    <w:p>
      <w:pPr>
        <w:spacing w:before="0" w:after="0" w:line="220" w:lineRule="exact"/>
      </w:pPr>
      <w:r>
        <w:rPr>
          <w:rFonts w:ascii="Courier New" w:hAnsi="Courier New"/>
          <w:sz w:val="16"/>
        </w:rPr>
        <w:t xml:space="preserve">        p = std::search(p, end, key, key + 5);</w:t>
      </w:r>
    </w:p>
    <w:p>
      <w:pPr>
        <w:spacing w:before="0" w:after="0" w:line="220" w:lineRule="exact"/>
      </w:pPr>
      <w:r>
        <w:rPr>
          <w:rFonts w:ascii="Courier New" w:hAnsi="Courier New"/>
          <w:sz w:val="16"/>
        </w:rPr>
        <w:t xml:space="preserve">        if (p == end) return -1;</w:t>
      </w:r>
    </w:p>
    <w:p>
      <w:pPr>
        <w:spacing w:before="0" w:after="0" w:line="220" w:lineRule="exact"/>
      </w:pPr>
      <w:r>
        <w:rPr>
          <w:rFonts w:ascii="Courier New" w:hAnsi="Courier New"/>
          <w:sz w:val="16"/>
        </w:rPr>
        <w:t xml:space="preserve">        p += 5;</w:t>
      </w:r>
    </w:p>
    <w:p>
      <w:pPr>
        <w:spacing w:before="0" w:after="0" w:line="220" w:lineRule="exact"/>
      </w:pPr>
      <w:r>
        <w:rPr>
          <w:rFonts w:ascii="Courier New" w:hAnsi="Courier New"/>
          <w:sz w:val="16"/>
        </w:rPr>
        <w:t xml:space="preserve">        while (p &lt; end &amp;&amp; *p == '[') {</w:t>
      </w:r>
    </w:p>
    <w:p>
      <w:pPr>
        <w:spacing w:before="0" w:after="0" w:line="220" w:lineRule="exact"/>
      </w:pPr>
      <w:r>
        <w:rPr>
          <w:rFonts w:ascii="Courier New" w:hAnsi="Courier New"/>
          <w:sz w:val="16"/>
        </w:rPr>
        <w:t xml:space="preserve">            if (n == cap) return -1;</w:t>
      </w:r>
    </w:p>
    <w:p>
      <w:pPr>
        <w:spacing w:before="0" w:after="0" w:line="220" w:lineRule="exact"/>
      </w:pPr>
      <w:r>
        <w:rPr>
          <w:rFonts w:ascii="Courier New" w:hAnsi="Courier New"/>
          <w:sz w:val="16"/>
        </w:rPr>
        <w:t xml:space="preserve">            if (!skip(p, end, "[\"") ||</w:t>
      </w:r>
    </w:p>
    <w:p>
      <w:pPr>
        <w:spacing w:before="0" w:after="0" w:line="220" w:lineRule="exact"/>
      </w:pPr>
      <w:r>
        <w:rPr>
          <w:rFonts w:ascii="Courier New" w:hAnsi="Courier New"/>
          <w:sz w:val="16"/>
        </w:rPr>
        <w:t xml:space="preserve">                !parse_fixed(p, end, 2, out[n].price) ||</w:t>
      </w:r>
    </w:p>
    <w:p>
      <w:pPr>
        <w:spacing w:before="0" w:after="0" w:line="220" w:lineRule="exact"/>
      </w:pPr>
      <w:r>
        <w:rPr>
          <w:rFonts w:ascii="Courier New" w:hAnsi="Courier New"/>
          <w:sz w:val="16"/>
        </w:rPr>
        <w:t xml:space="preserve">                !skip(p, end, "\",\"") ||</w:t>
      </w:r>
    </w:p>
    <w:p>
      <w:pPr>
        <w:spacing w:before="0" w:after="0" w:line="220" w:lineRule="exact"/>
      </w:pPr>
      <w:r>
        <w:rPr>
          <w:rFonts w:ascii="Courier New" w:hAnsi="Courier New"/>
          <w:sz w:val="16"/>
        </w:rPr>
        <w:t xml:space="preserve">                !parse_fixed(p, end, 8, out[n].qty) ||</w:t>
      </w:r>
    </w:p>
    <w:p>
      <w:pPr>
        <w:spacing w:before="0" w:after="0" w:line="220" w:lineRule="exact"/>
      </w:pPr>
      <w:r>
        <w:rPr>
          <w:rFonts w:ascii="Courier New" w:hAnsi="Courier New"/>
          <w:sz w:val="16"/>
        </w:rPr>
        <w:t xml:space="preserve">                !skip(p, end, "\"]"))</w:t>
      </w:r>
    </w:p>
    <w:p>
      <w:pPr>
        <w:spacing w:before="0" w:after="0" w:line="220" w:lineRule="exact"/>
      </w:pPr>
      <w:r>
        <w:rPr>
          <w:rFonts w:ascii="Courier New" w:hAnsi="Courier New"/>
          <w:sz w:val="16"/>
        </w:rPr>
        <w:t xml:space="preserve">                return -1;</w:t>
      </w:r>
    </w:p>
    <w:p>
      <w:pPr>
        <w:spacing w:before="0" w:after="0" w:line="220" w:lineRule="exact"/>
      </w:pPr>
      <w:r>
        <w:rPr>
          <w:rFonts w:ascii="Courier New" w:hAnsi="Courier New"/>
          <w:sz w:val="16"/>
        </w:rPr>
        <w:t xml:space="preserve">            out[n++].is_bid = (side == 'b');</w:t>
      </w:r>
    </w:p>
    <w:p>
      <w:pPr>
        <w:spacing w:before="0" w:after="0" w:line="220" w:lineRule="exact"/>
      </w:pPr>
      <w:r>
        <w:rPr>
          <w:rFonts w:ascii="Courier New" w:hAnsi="Courier New"/>
          <w:sz w:val="16"/>
        </w:rPr>
        <w:t xml:space="preserve">            if (p &lt; end &amp;&amp; *p == ',') ++p;</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n;</w:t>
      </w:r>
    </w:p>
    <w:p>
      <w:pPr>
        <w:spacing w:before="0" w:after="0" w:line="220" w:lineRule="exact"/>
      </w:pPr>
      <w:r>
        <w:rPr>
          <w:rFonts w:ascii="Courier New" w:hAnsi="Courier New"/>
          <w:sz w:val="16"/>
        </w:rPr>
        <w:t>}</w:t>
      </w:r>
    </w:p>
    <w:p>
      <w:pPr>
        <w:pStyle w:val="BodyText"/>
        <w:ind w:firstLine="283"/>
      </w:pPr>
      <w:r>
        <w:rPr>
          <w:rFonts w:ascii="Times New Roman" w:hAnsi="Times New Roman"/>
          <w:sz w:val="20"/>
          <w:highlight w:val="yellow"/>
        </w:rPr>
        <w:t>Table 3 reports the benchmark results. Three baseline variants are shown to illustrate how much the choice of library function matters within the same language. std::stod, which is backed by the C locale-aware strtod, takes a median of 15,754 ns per message, making it 33 times slower than the zero-copy parser at 466 ns. Switching to std::from_chars, a locale-independent C++17 function, brings the baseline down to 1,590 ns, still 3.4× slower than the fixed-point path. The difference is not between C++ and C. It is between general-purpose string handling (temporary allocations, full IEEE 754 parsing) and a purpose-built parser that exploits the known message format.</w:t>
      </w:r>
    </w:p>
    <w:p>
      <w:pPr>
        <w:spacing w:before="160" w:after="80"/>
      </w:pPr>
      <w:r>
        <w:rPr>
          <w:rFonts w:ascii="Times New Roman" w:hAnsi="Times New Roman"/>
          <w:sz w:val="18"/>
        </w:rPr>
        <w:t>Table 3. Parsing latency for a 10-level depth message (336 bytes). Median of five runs.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Parser variant</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Speedup vs. stod</w:t>
            </w:r>
          </w:p>
        </w:tc>
      </w:tr>
      <w:tr>
        <w:tc>
          <w:tcPr>
            <w:tcW w:type="dxa" w:w="1768"/>
          </w:tcPr>
          <w:p>
            <w:r/>
            <w:r>
              <w:rPr>
                <w:rFonts w:ascii="Times New Roman" w:hAnsi="Times New Roman"/>
                <w:sz w:val="18"/>
              </w:rPr>
              <w:t>std::string + stod (baseline)</w:t>
            </w:r>
          </w:p>
        </w:tc>
        <w:tc>
          <w:tcPr>
            <w:tcW w:type="dxa" w:w="1768"/>
          </w:tcPr>
          <w:p>
            <w:r/>
            <w:r>
              <w:rPr>
                <w:rFonts w:ascii="Times New Roman" w:hAnsi="Times New Roman"/>
                <w:sz w:val="18"/>
              </w:rPr>
              <w:t>15,754</w:t>
            </w:r>
          </w:p>
        </w:tc>
        <w:tc>
          <w:tcPr>
            <w:tcW w:type="dxa" w:w="1768"/>
          </w:tcPr>
          <w:p>
            <w:r/>
            <w:r>
              <w:rPr>
                <w:rFonts w:ascii="Times New Roman" w:hAnsi="Times New Roman"/>
                <w:sz w:val="18"/>
              </w:rPr>
              <w:t>17,950</w:t>
            </w:r>
          </w:p>
        </w:tc>
        <w:tc>
          <w:tcPr>
            <w:tcW w:type="dxa" w:w="1768"/>
          </w:tcPr>
          <w:p>
            <w:r/>
            <w:r>
              <w:rPr>
                <w:rFonts w:ascii="Times New Roman" w:hAnsi="Times New Roman"/>
                <w:sz w:val="18"/>
              </w:rPr>
              <w:t>20,510</w:t>
            </w:r>
          </w:p>
        </w:tc>
        <w:tc>
          <w:tcPr>
            <w:tcW w:type="dxa" w:w="1768"/>
          </w:tcPr>
          <w:p>
            <w:r/>
            <w:r>
              <w:rPr>
                <w:rFonts w:ascii="Times New Roman" w:hAnsi="Times New Roman"/>
                <w:sz w:val="18"/>
              </w:rPr>
              <w:t>1.0×</w:t>
            </w:r>
          </w:p>
        </w:tc>
      </w:tr>
      <w:tr>
        <w:tc>
          <w:tcPr>
            <w:tcW w:type="dxa" w:w="1768"/>
          </w:tcPr>
          <w:p>
            <w:r/>
            <w:r>
              <w:rPr>
                <w:rFonts w:ascii="Times New Roman" w:hAnsi="Times New Roman"/>
                <w:sz w:val="18"/>
              </w:rPr>
              <w:t>std::string + from_chars</w:t>
            </w:r>
          </w:p>
        </w:tc>
        <w:tc>
          <w:tcPr>
            <w:tcW w:type="dxa" w:w="1768"/>
          </w:tcPr>
          <w:p>
            <w:r/>
            <w:r>
              <w:rPr>
                <w:rFonts w:ascii="Times New Roman" w:hAnsi="Times New Roman"/>
                <w:sz w:val="18"/>
              </w:rPr>
              <w:t>1,590</w:t>
            </w:r>
          </w:p>
        </w:tc>
        <w:tc>
          <w:tcPr>
            <w:tcW w:type="dxa" w:w="1768"/>
          </w:tcPr>
          <w:p>
            <w:r/>
            <w:r>
              <w:rPr>
                <w:rFonts w:ascii="Times New Roman" w:hAnsi="Times New Roman"/>
                <w:sz w:val="18"/>
              </w:rPr>
              <w:t>2,046</w:t>
            </w:r>
          </w:p>
        </w:tc>
        <w:tc>
          <w:tcPr>
            <w:tcW w:type="dxa" w:w="1768"/>
          </w:tcPr>
          <w:p>
            <w:r/>
            <w:r>
              <w:rPr>
                <w:rFonts w:ascii="Times New Roman" w:hAnsi="Times New Roman"/>
                <w:sz w:val="18"/>
              </w:rPr>
              <w:t>2,610</w:t>
            </w:r>
          </w:p>
        </w:tc>
        <w:tc>
          <w:tcPr>
            <w:tcW w:type="dxa" w:w="1768"/>
          </w:tcPr>
          <w:p>
            <w:r/>
            <w:r>
              <w:rPr>
                <w:rFonts w:ascii="Times New Roman" w:hAnsi="Times New Roman"/>
                <w:sz w:val="18"/>
              </w:rPr>
              <w:t>9.9×</w:t>
            </w:r>
          </w:p>
        </w:tc>
      </w:tr>
      <w:tr>
        <w:tc>
          <w:tcPr>
            <w:tcW w:type="dxa" w:w="1768"/>
          </w:tcPr>
          <w:p>
            <w:r/>
            <w:r>
              <w:rPr>
                <w:rFonts w:ascii="Times New Roman" w:hAnsi="Times New Roman"/>
                <w:sz w:val="18"/>
              </w:rPr>
              <w:t>Zero-copy fixed-point</w:t>
            </w:r>
          </w:p>
        </w:tc>
        <w:tc>
          <w:tcPr>
            <w:tcW w:type="dxa" w:w="1768"/>
          </w:tcPr>
          <w:p>
            <w:r/>
            <w:r>
              <w:rPr>
                <w:rFonts w:ascii="Times New Roman" w:hAnsi="Times New Roman"/>
                <w:sz w:val="18"/>
              </w:rPr>
              <w:t>466</w:t>
            </w:r>
          </w:p>
        </w:tc>
        <w:tc>
          <w:tcPr>
            <w:tcW w:type="dxa" w:w="1768"/>
          </w:tcPr>
          <w:p>
            <w:r/>
            <w:r>
              <w:rPr>
                <w:rFonts w:ascii="Times New Roman" w:hAnsi="Times New Roman"/>
                <w:sz w:val="18"/>
              </w:rPr>
              <w:t>504</w:t>
            </w:r>
          </w:p>
        </w:tc>
        <w:tc>
          <w:tcPr>
            <w:tcW w:type="dxa" w:w="1768"/>
          </w:tcPr>
          <w:p>
            <w:r/>
            <w:r>
              <w:rPr>
                <w:rFonts w:ascii="Times New Roman" w:hAnsi="Times New Roman"/>
                <w:sz w:val="18"/>
              </w:rPr>
              <w:t>826</w:t>
            </w:r>
          </w:p>
        </w:tc>
        <w:tc>
          <w:tcPr>
            <w:tcW w:type="dxa" w:w="1768"/>
          </w:tcPr>
          <w:p>
            <w:r/>
            <w:r>
              <w:rPr>
                <w:rFonts w:ascii="Times New Roman" w:hAnsi="Times New Roman"/>
                <w:sz w:val="18"/>
              </w:rPr>
              <w:t>33.8×</w:t>
            </w:r>
          </w:p>
        </w:tc>
      </w:tr>
    </w:tbl>
    <w:p>
      <w:pPr>
        <w:spacing w:after="120"/>
      </w:pPr>
      <w:r>
        <w:rPr>
          <w:rFonts w:ascii="Times New Roman" w:hAnsi="Times New Roman"/>
          <w:b w:val="0"/>
          <w:i w:val="0"/>
          <w:sz w:val="20"/>
        </w:rPr>
      </w:r>
    </w:p>
    <w:p>
      <w:pPr>
        <w:pStyle w:val="BodyText"/>
        <w:ind w:firstLine="283"/>
      </w:pPr>
      <w:r>
        <w:rPr>
          <w:rFonts w:ascii="Times New Roman" w:hAnsi="Times New Roman"/>
          <w:sz w:val="20"/>
          <w:highlight w:val="yellow"/>
        </w:rPr>
        <w:t>A separate C benchmark isolates the number-conversion step. The standard-library strtod function takes a median of 124 ns per price string; our fixed-point parser takes 11 ns, an 11.3× improvement. This is consistent with the expectation that a parser with fixed output precision and no locale handling can outperform a general-purpose one. Buffer handling contributes separately: copying a 336-byte message into a freshly allocated buffer takes 156 ns (median), while copying into a pre-allocated reused buffer takes 104 ns, a saving of 52 ns per message (1.5×). These savings are additive along the pipeline.</w:t>
      </w:r>
    </w:p>
    <w:p>
      <w:pPr>
        <w:pStyle w:val="Heading2"/>
      </w:pPr>
      <w:r>
        <w:t>5.3  Order-Book Maintenance</w:t>
      </w:r>
    </w:p>
    <w:p>
      <w:pPr>
        <w:pStyle w:val="BodyText"/>
        <w:ind w:firstLine="0"/>
      </w:pPr>
      <w:r>
        <w:rPr>
          <w:rFonts w:ascii="Times New Roman" w:hAnsi="Times New Roman"/>
          <w:sz w:val="20"/>
        </w:rPr>
        <w:t>The order book must be updated for every price-level change in the depth stream. The baseline data structure is a balanced binary search tree (std::map in C++), which offers O(log n) insertion, deletion, and lookup. Each node is a separate heap allocation, and traversal visits non-contiguous memory addresses. Listing 4 shows an alternative: a flat array indexed by price in ticks, where an update is a single array write at O(1) cost. The best bid and ask are cached and rescanned only when the current best level is emptied. This follows the principle of bounded lookups described by Dvořák and Kořenek [10] in their FPGA order-book implementation and the cache-conscious layout advocated by Chilimbi et al. [14].</w:t>
      </w:r>
      <w:r>
        <w:rPr>
          <w:strike/>
          <w:color w:val="808080"/>
        </w:rPr>
        <w:t xml:space="preserve"> [Cut: We also considered using std::unordered_map, but hash maps do not maintain price order, so finding the best bid/ask requires an O(N) linear scan over all keys.]</w:t>
      </w:r>
    </w:p>
    <w:p>
      <w:pPr>
        <w:spacing w:before="120" w:after="60"/>
      </w:pPr>
      <w:r>
        <w:rPr>
          <w:rFonts w:ascii="Times New Roman" w:hAnsi="Times New Roman"/>
          <w:i/>
          <w:sz w:val="18"/>
        </w:rPr>
        <w:t>Listing 4. Flat price-ladder order book (C++20).</w:t>
      </w:r>
    </w:p>
    <w:p>
      <w:pPr>
        <w:spacing w:before="0" w:after="0" w:line="220" w:lineRule="exact"/>
      </w:pPr>
      <w:r>
        <w:rPr>
          <w:rFonts w:ascii="Courier New" w:hAnsi="Courier New"/>
          <w:sz w:val="16"/>
        </w:rPr>
        <w:t>/* Listing 4. Price-ladder order-book update (C++20). Quantities</w:t>
      </w:r>
    </w:p>
    <w:p>
      <w:pPr>
        <w:spacing w:before="0" w:after="0" w:line="220" w:lineRule="exact"/>
      </w:pPr>
      <w:r>
        <w:rPr>
          <w:rFonts w:ascii="Courier New" w:hAnsi="Courier New"/>
          <w:sz w:val="16"/>
        </w:rPr>
        <w:t xml:space="preserve"> * are stored in a contiguous array indexed by (price - base_).</w:t>
      </w:r>
    </w:p>
    <w:p>
      <w:pPr>
        <w:spacing w:before="0" w:after="0" w:line="220" w:lineRule="exact"/>
      </w:pPr>
      <w:r>
        <w:rPr>
          <w:rFonts w:ascii="Courier New" w:hAnsi="Courier New"/>
          <w:sz w:val="16"/>
        </w:rPr>
        <w:t xml:space="preserve"> * An update is one array write. */</w:t>
      </w:r>
    </w:p>
    <w:p>
      <w:pPr>
        <w:spacing w:before="0" w:after="0" w:line="220" w:lineRule="exact"/>
      </w:pPr>
      <w:r>
        <w:rPr>
          <w:rFonts w:ascii="Courier New" w:hAnsi="Courier New"/>
          <w:sz w:val="16"/>
        </w:rPr>
        <w:t>bool LadderBook::apply(const Update&amp; u) {</w:t>
      </w:r>
    </w:p>
    <w:p>
      <w:pPr>
        <w:spacing w:before="0" w:after="0" w:line="220" w:lineRule="exact"/>
      </w:pPr>
      <w:r>
        <w:rPr>
          <w:rFonts w:ascii="Courier New" w:hAnsi="Courier New"/>
          <w:sz w:val="16"/>
        </w:rPr>
        <w:t xml:space="preserve">    const std::int64_t i = u.price - base_;</w:t>
      </w:r>
    </w:p>
    <w:p>
      <w:pPr>
        <w:spacing w:before="0" w:after="0" w:line="220" w:lineRule="exact"/>
      </w:pPr>
      <w:r>
        <w:rPr>
          <w:rFonts w:ascii="Courier New" w:hAnsi="Courier New"/>
          <w:sz w:val="16"/>
        </w:rPr>
        <w:t xml:space="preserve">    if (i &lt; 0 || i &gt;= n_) return false;   // outside window</w:t>
      </w:r>
    </w:p>
    <w:p>
      <w:pPr>
        <w:spacing w:before="0" w:after="0" w:line="220" w:lineRule="exact"/>
      </w:pPr>
      <w:r>
        <w:rPr>
          <w:rFonts w:ascii="Courier New" w:hAnsi="Courier New"/>
          <w:sz w:val="16"/>
        </w:rPr>
        <w:t xml:space="preserve">    if (u.is_bid) {</w:t>
      </w:r>
    </w:p>
    <w:p>
      <w:pPr>
        <w:spacing w:before="0" w:after="0" w:line="220" w:lineRule="exact"/>
      </w:pPr>
      <w:r>
        <w:rPr>
          <w:rFonts w:ascii="Courier New" w:hAnsi="Courier New"/>
          <w:sz w:val="16"/>
        </w:rPr>
        <w:t xml:space="preserve">        bid_[i] = u.qty;</w:t>
      </w:r>
    </w:p>
    <w:p>
      <w:pPr>
        <w:spacing w:before="0" w:after="0" w:line="220" w:lineRule="exact"/>
      </w:pPr>
      <w:r>
        <w:rPr>
          <w:rFonts w:ascii="Courier New" w:hAnsi="Courier New"/>
          <w:sz w:val="16"/>
        </w:rPr>
        <w:t xml:space="preserve">        if (u.qty &gt; 0) {</w:t>
      </w:r>
    </w:p>
    <w:p>
      <w:pPr>
        <w:spacing w:before="0" w:after="0" w:line="220" w:lineRule="exact"/>
      </w:pPr>
      <w:r>
        <w:rPr>
          <w:rFonts w:ascii="Courier New" w:hAnsi="Courier New"/>
          <w:sz w:val="16"/>
        </w:rPr>
        <w:t xml:space="preserve">            if (i &gt; best_bid_) best_bid_ = i;</w:t>
      </w:r>
    </w:p>
    <w:p>
      <w:pPr>
        <w:spacing w:before="0" w:after="0" w:line="220" w:lineRule="exact"/>
      </w:pPr>
      <w:r>
        <w:rPr>
          <w:rFonts w:ascii="Courier New" w:hAnsi="Courier New"/>
          <w:sz w:val="16"/>
        </w:rPr>
        <w:t xml:space="preserve">        } else if (i == best_bid_) {</w:t>
      </w:r>
    </w:p>
    <w:p>
      <w:pPr>
        <w:spacing w:before="0" w:after="0" w:line="220" w:lineRule="exact"/>
      </w:pPr>
      <w:r>
        <w:rPr>
          <w:rFonts w:ascii="Courier New" w:hAnsi="Courier New"/>
          <w:sz w:val="16"/>
        </w:rPr>
        <w:t xml:space="preserve">            while (best_bid_ &gt;= 0 &amp;&amp; bid_[best_bid_] == 0)</w:t>
      </w:r>
    </w:p>
    <w:p>
      <w:pPr>
        <w:spacing w:before="0" w:after="0" w:line="220" w:lineRule="exact"/>
      </w:pPr>
      <w:r>
        <w:rPr>
          <w:rFonts w:ascii="Courier New" w:hAnsi="Courier New"/>
          <w:sz w:val="16"/>
        </w:rPr>
        <w:t xml:space="preserve">                --best_bid_;               // rescan downward</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 else {</w:t>
      </w:r>
    </w:p>
    <w:p>
      <w:pPr>
        <w:spacing w:before="0" w:after="0" w:line="220" w:lineRule="exact"/>
      </w:pPr>
      <w:r>
        <w:rPr>
          <w:rFonts w:ascii="Courier New" w:hAnsi="Courier New"/>
          <w:sz w:val="16"/>
        </w:rPr>
        <w:t xml:space="preserve">        ask_[i] = u.qty;</w:t>
      </w:r>
    </w:p>
    <w:p>
      <w:pPr>
        <w:spacing w:before="0" w:after="0" w:line="220" w:lineRule="exact"/>
      </w:pPr>
      <w:r>
        <w:rPr>
          <w:rFonts w:ascii="Courier New" w:hAnsi="Courier New"/>
          <w:sz w:val="16"/>
        </w:rPr>
        <w:t xml:space="preserve">        if (u.qty &gt; 0) {</w:t>
      </w:r>
    </w:p>
    <w:p>
      <w:pPr>
        <w:spacing w:before="0" w:after="0" w:line="220" w:lineRule="exact"/>
      </w:pPr>
      <w:r>
        <w:rPr>
          <w:rFonts w:ascii="Courier New" w:hAnsi="Courier New"/>
          <w:sz w:val="16"/>
        </w:rPr>
        <w:t xml:space="preserve">            if (i &lt; best_ask_) best_ask_ = i;</w:t>
      </w:r>
    </w:p>
    <w:p>
      <w:pPr>
        <w:spacing w:before="0" w:after="0" w:line="220" w:lineRule="exact"/>
      </w:pPr>
      <w:r>
        <w:rPr>
          <w:rFonts w:ascii="Courier New" w:hAnsi="Courier New"/>
          <w:sz w:val="16"/>
        </w:rPr>
        <w:t xml:space="preserve">        } else if (i == best_ask_) {</w:t>
      </w:r>
    </w:p>
    <w:p>
      <w:pPr>
        <w:spacing w:before="0" w:after="0" w:line="220" w:lineRule="exact"/>
      </w:pPr>
      <w:r>
        <w:rPr>
          <w:rFonts w:ascii="Courier New" w:hAnsi="Courier New"/>
          <w:sz w:val="16"/>
        </w:rPr>
        <w:t xml:space="preserve">            while (best_ask_ &lt; n_ &amp;&amp; ask_[best_ask_] == 0)</w:t>
      </w:r>
    </w:p>
    <w:p>
      <w:pPr>
        <w:spacing w:before="0" w:after="0" w:line="220" w:lineRule="exact"/>
      </w:pPr>
      <w:r>
        <w:rPr>
          <w:rFonts w:ascii="Courier New" w:hAnsi="Courier New"/>
          <w:sz w:val="16"/>
        </w:rPr>
        <w:t xml:space="preserve">                ++best_ask_;               // rescan upward</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4 reports the benchmark results. At the default book depth (~200 active levels), the tree takes a median of 91 ns per update while the ladder takes just 8 ns, a factor of 11.4×. The scaling behaviour is shown in Table 5: as book depth grows from ~20 to ~330,000 active levels, the tree’s median rises from 53 ns to 617 ns (reflecting O(log n) growth), while the ladder stays at 8–9 ns. The ladder’s cost is memory: it pre-allocates two arrays spanning the full price window, from 544 bytes at width 16 to 8.4 MB at width 262,144. For BTC/USDT with a tick size of 0.01 USD, a ±$20 window around the mid-price requires 4,000 entries per side, or about 64 KB, which is trivially small on a modern server.</w:t>
      </w:r>
    </w:p>
    <w:p>
      <w:pPr>
        <w:spacing w:before="160" w:after="80"/>
      </w:pPr>
      <w:r>
        <w:rPr>
          <w:rFonts w:ascii="Times New Roman" w:hAnsi="Times New Roman"/>
          <w:sz w:val="18"/>
        </w:rPr>
        <w:t>Table 4. Order-book update latency (ns per level update). Median of five runs.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Data structure</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Speedup</w:t>
            </w:r>
          </w:p>
        </w:tc>
      </w:tr>
      <w:tr>
        <w:tc>
          <w:tcPr>
            <w:tcW w:type="dxa" w:w="1768"/>
          </w:tcPr>
          <w:p>
            <w:r/>
            <w:r>
              <w:rPr>
                <w:rFonts w:ascii="Times New Roman" w:hAnsi="Times New Roman"/>
                <w:sz w:val="18"/>
              </w:rPr>
              <w:t>std::map (balanced tree)</w:t>
            </w:r>
          </w:p>
        </w:tc>
        <w:tc>
          <w:tcPr>
            <w:tcW w:type="dxa" w:w="1768"/>
          </w:tcPr>
          <w:p>
            <w:r/>
            <w:r>
              <w:rPr>
                <w:rFonts w:ascii="Times New Roman" w:hAnsi="Times New Roman"/>
                <w:sz w:val="18"/>
              </w:rPr>
              <w:t>91</w:t>
            </w:r>
          </w:p>
        </w:tc>
        <w:tc>
          <w:tcPr>
            <w:tcW w:type="dxa" w:w="1768"/>
          </w:tcPr>
          <w:p>
            <w:r/>
            <w:r>
              <w:rPr>
                <w:rFonts w:ascii="Times New Roman" w:hAnsi="Times New Roman"/>
                <w:sz w:val="18"/>
              </w:rPr>
              <w:t>100</w:t>
            </w:r>
          </w:p>
        </w:tc>
        <w:tc>
          <w:tcPr>
            <w:tcW w:type="dxa" w:w="1768"/>
          </w:tcPr>
          <w:p>
            <w:r/>
            <w:r>
              <w:rPr>
                <w:rFonts w:ascii="Times New Roman" w:hAnsi="Times New Roman"/>
                <w:sz w:val="18"/>
              </w:rPr>
              <w:t>229</w:t>
            </w:r>
          </w:p>
        </w:tc>
        <w:tc>
          <w:tcPr>
            <w:tcW w:type="dxa" w:w="1768"/>
          </w:tcPr>
          <w:p>
            <w:r/>
            <w:r>
              <w:rPr>
                <w:rFonts w:ascii="Times New Roman" w:hAnsi="Times New Roman"/>
                <w:sz w:val="18"/>
              </w:rPr>
              <w:t>1.0× (baseline)</w:t>
            </w:r>
          </w:p>
        </w:tc>
      </w:tr>
      <w:tr>
        <w:tc>
          <w:tcPr>
            <w:tcW w:type="dxa" w:w="1768"/>
          </w:tcPr>
          <w:p>
            <w:r/>
            <w:r>
              <w:rPr>
                <w:rFonts w:ascii="Times New Roman" w:hAnsi="Times New Roman"/>
                <w:sz w:val="18"/>
              </w:rPr>
              <w:t>Flat price ladder</w:t>
            </w:r>
          </w:p>
        </w:tc>
        <w:tc>
          <w:tcPr>
            <w:tcW w:type="dxa" w:w="1768"/>
          </w:tcPr>
          <w:p>
            <w:r/>
            <w:r>
              <w:rPr>
                <w:rFonts w:ascii="Times New Roman" w:hAnsi="Times New Roman"/>
                <w:sz w:val="18"/>
              </w:rPr>
              <w:t>8</w:t>
            </w:r>
          </w:p>
        </w:tc>
        <w:tc>
          <w:tcPr>
            <w:tcW w:type="dxa" w:w="1768"/>
          </w:tcPr>
          <w:p>
            <w:r/>
            <w:r>
              <w:rPr>
                <w:rFonts w:ascii="Times New Roman" w:hAnsi="Times New Roman"/>
                <w:sz w:val="18"/>
              </w:rPr>
              <w:t>10</w:t>
            </w:r>
          </w:p>
        </w:tc>
        <w:tc>
          <w:tcPr>
            <w:tcW w:type="dxa" w:w="1768"/>
          </w:tcPr>
          <w:p>
            <w:r/>
            <w:r>
              <w:rPr>
                <w:rFonts w:ascii="Times New Roman" w:hAnsi="Times New Roman"/>
                <w:sz w:val="18"/>
              </w:rPr>
              <w:t>12</w:t>
            </w:r>
          </w:p>
        </w:tc>
        <w:tc>
          <w:tcPr>
            <w:tcW w:type="dxa" w:w="1768"/>
          </w:tcPr>
          <w:p>
            <w:r/>
            <w:r>
              <w:rPr>
                <w:rFonts w:ascii="Times New Roman" w:hAnsi="Times New Roman"/>
                <w:sz w:val="18"/>
              </w:rPr>
              <w:t>11.4×</w:t>
            </w:r>
          </w:p>
        </w:tc>
      </w:tr>
    </w:tbl>
    <w:p>
      <w:pPr>
        <w:spacing w:after="120"/>
      </w:pPr>
      <w:r>
        <w:rPr>
          <w:rFonts w:ascii="Times New Roman" w:hAnsi="Times New Roman"/>
          <w:b w:val="0"/>
          <w:i w:val="0"/>
          <w:sz w:val="20"/>
        </w:rPr>
      </w:r>
    </w:p>
    <w:p>
      <w:pPr>
        <w:spacing w:before="160" w:after="80"/>
      </w:pPr>
      <w:r>
        <w:rPr>
          <w:rFonts w:ascii="Times New Roman" w:hAnsi="Times New Roman"/>
          <w:sz w:val="18"/>
        </w:rPr>
        <w:t>Table 5. Order-book update time versus book depth. The ladder’s time is constant; the tree’s grows with log(n).</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r/>
            <w:r>
              <w:rPr>
                <w:rFonts w:ascii="Times New Roman" w:hAnsi="Times New Roman"/>
                <w:b/>
                <w:sz w:val="18"/>
              </w:rPr>
              <w:t>Price width</w:t>
            </w:r>
          </w:p>
        </w:tc>
        <w:tc>
          <w:tcPr>
            <w:tcW w:type="dxa" w:w="1473"/>
          </w:tcPr>
          <w:p>
            <w:r/>
            <w:r>
              <w:rPr>
                <w:rFonts w:ascii="Times New Roman" w:hAnsi="Times New Roman"/>
                <w:b/>
                <w:sz w:val="18"/>
              </w:rPr>
              <w:t>Active levels</w:t>
            </w:r>
          </w:p>
        </w:tc>
        <w:tc>
          <w:tcPr>
            <w:tcW w:type="dxa" w:w="1473"/>
          </w:tcPr>
          <w:p>
            <w:r/>
            <w:r>
              <w:rPr>
                <w:rFonts w:ascii="Times New Roman" w:hAnsi="Times New Roman"/>
                <w:b/>
                <w:sz w:val="18"/>
              </w:rPr>
              <w:t>Ladder memory</w:t>
            </w:r>
          </w:p>
        </w:tc>
        <w:tc>
          <w:tcPr>
            <w:tcW w:type="dxa" w:w="1473"/>
          </w:tcPr>
          <w:p>
            <w:r/>
            <w:r>
              <w:rPr>
                <w:rFonts w:ascii="Times New Roman" w:hAnsi="Times New Roman"/>
                <w:b/>
                <w:sz w:val="18"/>
              </w:rPr>
              <w:t>Map p50 (ns)</w:t>
            </w:r>
          </w:p>
        </w:tc>
        <w:tc>
          <w:tcPr>
            <w:tcW w:type="dxa" w:w="1473"/>
          </w:tcPr>
          <w:p>
            <w:r/>
            <w:r>
              <w:rPr>
                <w:rFonts w:ascii="Times New Roman" w:hAnsi="Times New Roman"/>
                <w:b/>
                <w:sz w:val="18"/>
              </w:rPr>
              <w:t>Ladder p50 (ns)</w:t>
            </w:r>
          </w:p>
        </w:tc>
        <w:tc>
          <w:tcPr>
            <w:tcW w:type="dxa" w:w="1473"/>
          </w:tcPr>
          <w:p>
            <w:r/>
            <w:r>
              <w:rPr>
                <w:rFonts w:ascii="Times New Roman" w:hAnsi="Times New Roman"/>
                <w:b/>
                <w:sz w:val="18"/>
              </w:rPr>
              <w:t>Speedup</w:t>
            </w:r>
          </w:p>
        </w:tc>
      </w:tr>
      <w:tr>
        <w:tc>
          <w:tcPr>
            <w:tcW w:type="dxa" w:w="1473"/>
          </w:tcPr>
          <w:p>
            <w:r/>
            <w:r>
              <w:rPr>
                <w:rFonts w:ascii="Times New Roman" w:hAnsi="Times New Roman"/>
                <w:sz w:val="18"/>
              </w:rPr>
              <w:t>16</w:t>
            </w:r>
          </w:p>
        </w:tc>
        <w:tc>
          <w:tcPr>
            <w:tcW w:type="dxa" w:w="1473"/>
          </w:tcPr>
          <w:p>
            <w:r/>
            <w:r>
              <w:rPr>
                <w:rFonts w:ascii="Times New Roman" w:hAnsi="Times New Roman"/>
                <w:sz w:val="18"/>
              </w:rPr>
              <w:t>~22</w:t>
            </w:r>
          </w:p>
        </w:tc>
        <w:tc>
          <w:tcPr>
            <w:tcW w:type="dxa" w:w="1473"/>
          </w:tcPr>
          <w:p>
            <w:r/>
            <w:r>
              <w:rPr>
                <w:rFonts w:ascii="Times New Roman" w:hAnsi="Times New Roman"/>
                <w:sz w:val="18"/>
              </w:rPr>
              <w:t>544 B</w:t>
            </w:r>
          </w:p>
        </w:tc>
        <w:tc>
          <w:tcPr>
            <w:tcW w:type="dxa" w:w="1473"/>
          </w:tcPr>
          <w:p>
            <w:r/>
            <w:r>
              <w:rPr>
                <w:rFonts w:ascii="Times New Roman" w:hAnsi="Times New Roman"/>
                <w:sz w:val="18"/>
              </w:rPr>
              <w:t>53</w:t>
            </w:r>
          </w:p>
        </w:tc>
        <w:tc>
          <w:tcPr>
            <w:tcW w:type="dxa" w:w="1473"/>
          </w:tcPr>
          <w:p>
            <w:r/>
            <w:r>
              <w:rPr>
                <w:rFonts w:ascii="Times New Roman" w:hAnsi="Times New Roman"/>
                <w:sz w:val="18"/>
              </w:rPr>
              <w:t>9</w:t>
            </w:r>
          </w:p>
        </w:tc>
        <w:tc>
          <w:tcPr>
            <w:tcW w:type="dxa" w:w="1473"/>
          </w:tcPr>
          <w:p>
            <w:r/>
            <w:r>
              <w:rPr>
                <w:rFonts w:ascii="Times New Roman" w:hAnsi="Times New Roman"/>
                <w:sz w:val="18"/>
              </w:rPr>
              <w:t>5.9×</w:t>
            </w:r>
          </w:p>
        </w:tc>
      </w:tr>
      <w:tr>
        <w:tc>
          <w:tcPr>
            <w:tcW w:type="dxa" w:w="1473"/>
          </w:tcPr>
          <w:p>
            <w:r/>
            <w:r>
              <w:rPr>
                <w:rFonts w:ascii="Times New Roman" w:hAnsi="Times New Roman"/>
                <w:sz w:val="18"/>
              </w:rPr>
              <w:t>256</w:t>
            </w:r>
          </w:p>
        </w:tc>
        <w:tc>
          <w:tcPr>
            <w:tcW w:type="dxa" w:w="1473"/>
          </w:tcPr>
          <w:p>
            <w:r/>
            <w:r>
              <w:rPr>
                <w:rFonts w:ascii="Times New Roman" w:hAnsi="Times New Roman"/>
                <w:sz w:val="18"/>
              </w:rPr>
              <w:t>~358</w:t>
            </w:r>
          </w:p>
        </w:tc>
        <w:tc>
          <w:tcPr>
            <w:tcW w:type="dxa" w:w="1473"/>
          </w:tcPr>
          <w:p>
            <w:r/>
            <w:r>
              <w:rPr>
                <w:rFonts w:ascii="Times New Roman" w:hAnsi="Times New Roman"/>
                <w:sz w:val="18"/>
              </w:rPr>
              <w:t>8.2 KB</w:t>
            </w:r>
          </w:p>
        </w:tc>
        <w:tc>
          <w:tcPr>
            <w:tcW w:type="dxa" w:w="1473"/>
          </w:tcPr>
          <w:p>
            <w:r/>
            <w:r>
              <w:rPr>
                <w:rFonts w:ascii="Times New Roman" w:hAnsi="Times New Roman"/>
                <w:sz w:val="18"/>
              </w:rPr>
              <w:t>79</w:t>
            </w:r>
          </w:p>
        </w:tc>
        <w:tc>
          <w:tcPr>
            <w:tcW w:type="dxa" w:w="1473"/>
          </w:tcPr>
          <w:p>
            <w:r/>
            <w:r>
              <w:rPr>
                <w:rFonts w:ascii="Times New Roman" w:hAnsi="Times New Roman"/>
                <w:sz w:val="18"/>
              </w:rPr>
              <w:t>8</w:t>
            </w:r>
          </w:p>
        </w:tc>
        <w:tc>
          <w:tcPr>
            <w:tcW w:type="dxa" w:w="1473"/>
          </w:tcPr>
          <w:p>
            <w:r/>
            <w:r>
              <w:rPr>
                <w:rFonts w:ascii="Times New Roman" w:hAnsi="Times New Roman"/>
                <w:sz w:val="18"/>
              </w:rPr>
              <w:t>9.9×</w:t>
            </w:r>
          </w:p>
        </w:tc>
      </w:tr>
      <w:tr>
        <w:tc>
          <w:tcPr>
            <w:tcW w:type="dxa" w:w="1473"/>
          </w:tcPr>
          <w:p>
            <w:r/>
            <w:r>
              <w:rPr>
                <w:rFonts w:ascii="Times New Roman" w:hAnsi="Times New Roman"/>
                <w:sz w:val="18"/>
              </w:rPr>
              <w:t>4,096</w:t>
            </w:r>
          </w:p>
        </w:tc>
        <w:tc>
          <w:tcPr>
            <w:tcW w:type="dxa" w:w="1473"/>
          </w:tcPr>
          <w:p>
            <w:r/>
            <w:r>
              <w:rPr>
                <w:rFonts w:ascii="Times New Roman" w:hAnsi="Times New Roman"/>
                <w:sz w:val="18"/>
              </w:rPr>
              <w:t>~5,734</w:t>
            </w:r>
          </w:p>
        </w:tc>
        <w:tc>
          <w:tcPr>
            <w:tcW w:type="dxa" w:w="1473"/>
          </w:tcPr>
          <w:p>
            <w:r/>
            <w:r>
              <w:rPr>
                <w:rFonts w:ascii="Times New Roman" w:hAnsi="Times New Roman"/>
                <w:sz w:val="18"/>
              </w:rPr>
              <w:t>131 KB</w:t>
            </w:r>
          </w:p>
        </w:tc>
        <w:tc>
          <w:tcPr>
            <w:tcW w:type="dxa" w:w="1473"/>
          </w:tcPr>
          <w:p>
            <w:r/>
            <w:r>
              <w:rPr>
                <w:rFonts w:ascii="Times New Roman" w:hAnsi="Times New Roman"/>
                <w:sz w:val="18"/>
              </w:rPr>
              <w:t>96</w:t>
            </w:r>
          </w:p>
        </w:tc>
        <w:tc>
          <w:tcPr>
            <w:tcW w:type="dxa" w:w="1473"/>
          </w:tcPr>
          <w:p>
            <w:r/>
            <w:r>
              <w:rPr>
                <w:rFonts w:ascii="Times New Roman" w:hAnsi="Times New Roman"/>
                <w:sz w:val="18"/>
              </w:rPr>
              <w:t>9</w:t>
            </w:r>
          </w:p>
        </w:tc>
        <w:tc>
          <w:tcPr>
            <w:tcW w:type="dxa" w:w="1473"/>
          </w:tcPr>
          <w:p>
            <w:r/>
            <w:r>
              <w:rPr>
                <w:rFonts w:ascii="Times New Roman" w:hAnsi="Times New Roman"/>
                <w:sz w:val="18"/>
              </w:rPr>
              <w:t>10.7×</w:t>
            </w:r>
          </w:p>
        </w:tc>
      </w:tr>
      <w:tr>
        <w:tc>
          <w:tcPr>
            <w:tcW w:type="dxa" w:w="1473"/>
          </w:tcPr>
          <w:p>
            <w:r/>
            <w:r>
              <w:rPr>
                <w:rFonts w:ascii="Times New Roman" w:hAnsi="Times New Roman"/>
                <w:sz w:val="18"/>
              </w:rPr>
              <w:t>65,536</w:t>
            </w:r>
          </w:p>
        </w:tc>
        <w:tc>
          <w:tcPr>
            <w:tcW w:type="dxa" w:w="1473"/>
          </w:tcPr>
          <w:p>
            <w:r/>
            <w:r>
              <w:rPr>
                <w:rFonts w:ascii="Times New Roman" w:hAnsi="Times New Roman"/>
                <w:sz w:val="18"/>
              </w:rPr>
              <w:t>~91,750</w:t>
            </w:r>
          </w:p>
        </w:tc>
        <w:tc>
          <w:tcPr>
            <w:tcW w:type="dxa" w:w="1473"/>
          </w:tcPr>
          <w:p>
            <w:r/>
            <w:r>
              <w:rPr>
                <w:rFonts w:ascii="Times New Roman" w:hAnsi="Times New Roman"/>
                <w:sz w:val="18"/>
              </w:rPr>
              <w:t>2.1 MB</w:t>
            </w:r>
          </w:p>
        </w:tc>
        <w:tc>
          <w:tcPr>
            <w:tcW w:type="dxa" w:w="1473"/>
          </w:tcPr>
          <w:p>
            <w:r/>
            <w:r>
              <w:rPr>
                <w:rFonts w:ascii="Times New Roman" w:hAnsi="Times New Roman"/>
                <w:sz w:val="18"/>
              </w:rPr>
              <w:t>158</w:t>
            </w:r>
          </w:p>
        </w:tc>
        <w:tc>
          <w:tcPr>
            <w:tcW w:type="dxa" w:w="1473"/>
          </w:tcPr>
          <w:p>
            <w:r/>
            <w:r>
              <w:rPr>
                <w:rFonts w:ascii="Times New Roman" w:hAnsi="Times New Roman"/>
                <w:sz w:val="18"/>
              </w:rPr>
              <w:t>8</w:t>
            </w:r>
          </w:p>
        </w:tc>
        <w:tc>
          <w:tcPr>
            <w:tcW w:type="dxa" w:w="1473"/>
          </w:tcPr>
          <w:p>
            <w:r/>
            <w:r>
              <w:rPr>
                <w:rFonts w:ascii="Times New Roman" w:hAnsi="Times New Roman"/>
                <w:sz w:val="18"/>
              </w:rPr>
              <w:t>19.8×</w:t>
            </w:r>
          </w:p>
        </w:tc>
      </w:tr>
      <w:tr>
        <w:tc>
          <w:tcPr>
            <w:tcW w:type="dxa" w:w="1473"/>
          </w:tcPr>
          <w:p>
            <w:r/>
            <w:r>
              <w:rPr>
                <w:rFonts w:ascii="Times New Roman" w:hAnsi="Times New Roman"/>
                <w:sz w:val="18"/>
              </w:rPr>
              <w:t>262,144</w:t>
            </w:r>
          </w:p>
        </w:tc>
        <w:tc>
          <w:tcPr>
            <w:tcW w:type="dxa" w:w="1473"/>
          </w:tcPr>
          <w:p>
            <w:r/>
            <w:r>
              <w:rPr>
                <w:rFonts w:ascii="Times New Roman" w:hAnsi="Times New Roman"/>
                <w:sz w:val="18"/>
              </w:rPr>
              <w:t>~330,000</w:t>
            </w:r>
          </w:p>
        </w:tc>
        <w:tc>
          <w:tcPr>
            <w:tcW w:type="dxa" w:w="1473"/>
          </w:tcPr>
          <w:p>
            <w:r/>
            <w:r>
              <w:rPr>
                <w:rFonts w:ascii="Times New Roman" w:hAnsi="Times New Roman"/>
                <w:sz w:val="18"/>
              </w:rPr>
              <w:t>8.4 MB</w:t>
            </w:r>
          </w:p>
        </w:tc>
        <w:tc>
          <w:tcPr>
            <w:tcW w:type="dxa" w:w="1473"/>
          </w:tcPr>
          <w:p>
            <w:r/>
            <w:r>
              <w:rPr>
                <w:rFonts w:ascii="Times New Roman" w:hAnsi="Times New Roman"/>
                <w:sz w:val="18"/>
              </w:rPr>
              <w:t>617</w:t>
            </w:r>
          </w:p>
        </w:tc>
        <w:tc>
          <w:tcPr>
            <w:tcW w:type="dxa" w:w="1473"/>
          </w:tcPr>
          <w:p>
            <w:r/>
            <w:r>
              <w:rPr>
                <w:rFonts w:ascii="Times New Roman" w:hAnsi="Times New Roman"/>
                <w:sz w:val="18"/>
              </w:rPr>
              <w:t>9</w:t>
            </w:r>
          </w:p>
        </w:tc>
        <w:tc>
          <w:tcPr>
            <w:tcW w:type="dxa" w:w="1473"/>
          </w:tcPr>
          <w:p>
            <w:r/>
            <w:r>
              <w:rPr>
                <w:rFonts w:ascii="Times New Roman" w:hAnsi="Times New Roman"/>
                <w:sz w:val="18"/>
              </w:rPr>
              <w:t>68.6×</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The ladder’s weakness is that it requires a fixed window. If the market moves beyond the window, the ladder must be re-centred, which is an O(n) operation not tested in our benchmark. In practice, for BTC/USDT, a window of ±$100 (20,000 ticks per side) covers any intraday move and costs only 320 KB of memory.</w:t>
      </w:r>
    </w:p>
    <w:p>
      <w:pPr>
        <w:spacing w:before="160"/>
        <w:jc w:val="center"/>
      </w:pPr>
      <w:r>
        <w:drawing>
          <wp:inline xmlns:a="http://schemas.openxmlformats.org/drawingml/2006/main" xmlns:pic="http://schemas.openxmlformats.org/drawingml/2006/picture">
            <wp:extent cx="5029200" cy="3207026"/>
            <wp:docPr id="1" name="Picture 1"/>
            <wp:cNvGraphicFramePr>
              <a:graphicFrameLocks noChangeAspect="1"/>
            </wp:cNvGraphicFramePr>
            <a:graphic>
              <a:graphicData uri="http://schemas.openxmlformats.org/drawingml/2006/picture">
                <pic:pic>
                  <pic:nvPicPr>
                    <pic:cNvPr id="0" name="fig2_book_depth_scaling.png"/>
                    <pic:cNvPicPr/>
                  </pic:nvPicPr>
                  <pic:blipFill>
                    <a:blip r:embed="rId9"/>
                    <a:stretch>
                      <a:fillRect/>
                    </a:stretch>
                  </pic:blipFill>
                  <pic:spPr>
                    <a:xfrm>
                      <a:off x="0" y="0"/>
                      <a:ext cx="5029200" cy="3207026"/>
                    </a:xfrm>
                    <a:prstGeom prst="rect"/>
                  </pic:spPr>
                </pic:pic>
              </a:graphicData>
            </a:graphic>
          </wp:inline>
        </w:drawing>
      </w:r>
    </w:p>
    <w:p>
      <w:pPr>
        <w:spacing w:after="160"/>
        <w:jc w:val="center"/>
      </w:pPr>
      <w:r>
        <w:rPr>
          <w:rFonts w:ascii="Times New Roman" w:hAnsi="Times New Roman"/>
          <w:sz w:val="18"/>
        </w:rPr>
        <w:t>Fig. 1. Order-book update latency versus the number of active price levels. The tree’s median grows with log(n); the ladder stays constant. Shaded bands extend to the 99th percentile (median of five runs).</w:t>
      </w:r>
    </w:p>
    <w:p>
      <w:pPr>
        <w:pStyle w:val="Heading2"/>
      </w:pPr>
      <w:r>
        <w:t>5.4  Inter-Thread Communication</w:t>
      </w:r>
    </w:p>
    <w:p>
      <w:pPr>
        <w:pStyle w:val="BodyText"/>
        <w:ind w:firstLine="0"/>
      </w:pPr>
      <w:r>
        <w:rPr>
          <w:rFonts w:ascii="Times New Roman" w:hAnsi="Times New Roman"/>
          <w:sz w:val="20"/>
        </w:rPr>
        <w:t>Trading systems typically separate the network-receive thread from the strategy thread with a queue. The standard approach, a std::queue guarded by a std::mutex, is correct for any number of producers and consumers but takes the lock on every push and pop. Listing 5 shows a single-producer single-consumer (SPSC) ring buffer that replaces the lock with atomic load/store operations. Because only one thread writes the tail index and only one thread writes the head index, mutual exclusion is guaranteed by the hardware memory model without a lock.</w:t>
      </w:r>
    </w:p>
    <w:p>
      <w:pPr>
        <w:spacing w:before="120" w:after="60"/>
      </w:pPr>
      <w:r>
        <w:rPr>
          <w:rFonts w:ascii="Times New Roman" w:hAnsi="Times New Roman"/>
          <w:i/>
          <w:sz w:val="18"/>
        </w:rPr>
        <w:t>Listing 5. SPSC ring buffer for lock-free thread hand-off (C++20).</w:t>
      </w:r>
    </w:p>
    <w:p>
      <w:pPr>
        <w:spacing w:before="0" w:after="0" w:line="220" w:lineRule="exact"/>
      </w:pPr>
      <w:r>
        <w:rPr>
          <w:rFonts w:ascii="Courier New" w:hAnsi="Courier New"/>
          <w:sz w:val="16"/>
        </w:rPr>
        <w:t>/* Listing 5. Lock-free SPSC ring buffer core (C++20).</w:t>
      </w:r>
    </w:p>
    <w:p>
      <w:pPr>
        <w:spacing w:before="0" w:after="0" w:line="220" w:lineRule="exact"/>
      </w:pPr>
      <w:r>
        <w:rPr>
          <w:rFonts w:ascii="Courier New" w:hAnsi="Courier New"/>
          <w:sz w:val="16"/>
        </w:rPr>
        <w:t xml:space="preserve"> * head_ and tail_ are on separate cache lines (alignas(64))</w:t>
      </w:r>
    </w:p>
    <w:p>
      <w:pPr>
        <w:spacing w:before="0" w:after="0" w:line="220" w:lineRule="exact"/>
      </w:pPr>
      <w:r>
        <w:rPr>
          <w:rFonts w:ascii="Courier New" w:hAnsi="Courier New"/>
          <w:sz w:val="16"/>
        </w:rPr>
        <w:t xml:space="preserve"> * to prevent false sharing between producer and consumer. */</w:t>
      </w:r>
    </w:p>
    <w:p>
      <w:pPr>
        <w:spacing w:before="0" w:after="0" w:line="220" w:lineRule="exact"/>
      </w:pPr>
      <w:r>
        <w:rPr>
          <w:rFonts w:ascii="Courier New" w:hAnsi="Courier New"/>
          <w:sz w:val="16"/>
        </w:rPr>
        <w:t>bool SpscRing::try_push(const T&amp; v) {      // producer only</w:t>
      </w:r>
    </w:p>
    <w:p>
      <w:pPr>
        <w:spacing w:before="0" w:after="0" w:line="220" w:lineRule="exact"/>
      </w:pPr>
      <w:r>
        <w:rPr>
          <w:rFonts w:ascii="Courier New" w:hAnsi="Courier New"/>
          <w:sz w:val="16"/>
        </w:rPr>
        <w:t xml:space="preserve">    const size_t t = tail_.load(std::memory_order_relaxed);</w:t>
      </w:r>
    </w:p>
    <w:p>
      <w:pPr>
        <w:spacing w:before="0" w:after="0" w:line="220" w:lineRule="exact"/>
      </w:pPr>
      <w:r>
        <w:rPr>
          <w:rFonts w:ascii="Courier New" w:hAnsi="Courier New"/>
          <w:sz w:val="16"/>
        </w:rPr>
        <w:t xml:space="preserve">    if (t - head_.load(std::memory_order_acquire) &gt; mask_)</w:t>
      </w:r>
    </w:p>
    <w:p>
      <w:pPr>
        <w:spacing w:before="0" w:after="0" w:line="220" w:lineRule="exact"/>
      </w:pPr>
      <w:r>
        <w:rPr>
          <w:rFonts w:ascii="Courier New" w:hAnsi="Courier New"/>
          <w:sz w:val="16"/>
        </w:rPr>
        <w:t xml:space="preserve">        return false;                        // full</w:t>
      </w:r>
    </w:p>
    <w:p>
      <w:pPr>
        <w:spacing w:before="0" w:after="0" w:line="220" w:lineRule="exact"/>
      </w:pPr>
      <w:r>
        <w:rPr>
          <w:rFonts w:ascii="Courier New" w:hAnsi="Courier New"/>
          <w:sz w:val="16"/>
        </w:rPr>
        <w:t xml:space="preserve">    buf_[t &amp; mask_] = v;</w:t>
      </w:r>
    </w:p>
    <w:p>
      <w:pPr>
        <w:spacing w:before="0" w:after="0" w:line="220" w:lineRule="exact"/>
      </w:pPr>
      <w:r>
        <w:rPr>
          <w:rFonts w:ascii="Courier New" w:hAnsi="Courier New"/>
          <w:sz w:val="16"/>
        </w:rPr>
        <w:t xml:space="preserve">    tail_.store(t + 1, std::memory_order_release);</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bool SpscRing::try_pop(T&amp; v) {              // consumer only</w:t>
      </w:r>
    </w:p>
    <w:p>
      <w:pPr>
        <w:spacing w:before="0" w:after="0" w:line="220" w:lineRule="exact"/>
      </w:pPr>
      <w:r>
        <w:rPr>
          <w:rFonts w:ascii="Courier New" w:hAnsi="Courier New"/>
          <w:sz w:val="16"/>
        </w:rPr>
        <w:t xml:space="preserve">    const size_t h = head_.load(std::memory_order_relaxed);</w:t>
      </w:r>
    </w:p>
    <w:p>
      <w:pPr>
        <w:spacing w:before="0" w:after="0" w:line="220" w:lineRule="exact"/>
      </w:pPr>
      <w:r>
        <w:rPr>
          <w:rFonts w:ascii="Courier New" w:hAnsi="Courier New"/>
          <w:sz w:val="16"/>
        </w:rPr>
        <w:t xml:space="preserve">    if (h == tail_.load(std::memory_order_acquire))</w:t>
      </w:r>
    </w:p>
    <w:p>
      <w:pPr>
        <w:spacing w:before="0" w:after="0" w:line="220" w:lineRule="exact"/>
      </w:pPr>
      <w:r>
        <w:rPr>
          <w:rFonts w:ascii="Courier New" w:hAnsi="Courier New"/>
          <w:sz w:val="16"/>
        </w:rPr>
        <w:t xml:space="preserve">        return false;                        // empty</w:t>
      </w:r>
    </w:p>
    <w:p>
      <w:pPr>
        <w:spacing w:before="0" w:after="0" w:line="220" w:lineRule="exact"/>
      </w:pPr>
      <w:r>
        <w:rPr>
          <w:rFonts w:ascii="Courier New" w:hAnsi="Courier New"/>
          <w:sz w:val="16"/>
        </w:rPr>
        <w:t xml:space="preserve">    v = buf_[h &amp; mask_];</w:t>
      </w:r>
    </w:p>
    <w:p>
      <w:pPr>
        <w:spacing w:before="0" w:after="0" w:line="220" w:lineRule="exact"/>
      </w:pPr>
      <w:r>
        <w:rPr>
          <w:rFonts w:ascii="Courier New" w:hAnsi="Courier New"/>
          <w:sz w:val="16"/>
        </w:rPr>
        <w:t xml:space="preserve">    head_.store(h + 1, std::memory_order_release);</w:t>
      </w:r>
    </w:p>
    <w:p>
      <w:pPr>
        <w:spacing w:before="0" w:after="0" w:line="220" w:lineRule="exact"/>
      </w:pPr>
      <w:r>
        <w:rPr>
          <w:rFonts w:ascii="Courier New" w:hAnsi="Courier New"/>
          <w:sz w:val="16"/>
        </w:rPr>
        <w:t xml:space="preserve">    return true;</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6 reports the results. The mutex queue takes a median of 75 ns per message and varies between 72 and 97 ns across runs. The SPSC ring buffer takes 28–30 ns, a 2.5× improvement. Michael and Scott [16] found non-blocking queues faster than lock-based alternatives in their classic comparison, consistent with our measurement. The ring buffer’s limitations must be stated plainly: it is incorrect with more than one producer or more than one consumer, its capacity is fixed at construction, and both threads busy-spin, so two full CPU cores are consumed even when there is nothing to process. On a 4-vCPU cloud instance, dedicating two cores to busy polling is a real cost.</w:t>
      </w:r>
    </w:p>
    <w:p>
      <w:pPr>
        <w:spacing w:before="160" w:after="80"/>
      </w:pPr>
      <w:r>
        <w:rPr>
          <w:rFonts w:ascii="Times New Roman" w:hAnsi="Times New Roman"/>
          <w:sz w:val="18"/>
        </w:rPr>
        <w:t>Table 6. Thread hand-off latency, 2,000,000 messages, median of 9 runs per variant.</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Queue type</w:t>
            </w:r>
          </w:p>
        </w:tc>
        <w:tc>
          <w:tcPr>
            <w:tcW w:type="dxa" w:w="1768"/>
          </w:tcPr>
          <w:p>
            <w:r/>
            <w:r>
              <w:rPr>
                <w:rFonts w:ascii="Times New Roman" w:hAnsi="Times New Roman"/>
                <w:b/>
                <w:sz w:val="18"/>
              </w:rPr>
              <w:t>Median (ns)</w:t>
            </w:r>
          </w:p>
        </w:tc>
        <w:tc>
          <w:tcPr>
            <w:tcW w:type="dxa" w:w="1768"/>
          </w:tcPr>
          <w:p>
            <w:r/>
            <w:r>
              <w:rPr>
                <w:rFonts w:ascii="Times New Roman" w:hAnsi="Times New Roman"/>
                <w:b/>
                <w:sz w:val="18"/>
              </w:rPr>
              <w:t>Min (ns)</w:t>
            </w:r>
          </w:p>
        </w:tc>
        <w:tc>
          <w:tcPr>
            <w:tcW w:type="dxa" w:w="1768"/>
          </w:tcPr>
          <w:p>
            <w:r/>
            <w:r>
              <w:rPr>
                <w:rFonts w:ascii="Times New Roman" w:hAnsi="Times New Roman"/>
                <w:b/>
                <w:sz w:val="18"/>
              </w:rPr>
              <w:t>Max (ns)</w:t>
            </w:r>
          </w:p>
        </w:tc>
        <w:tc>
          <w:tcPr>
            <w:tcW w:type="dxa" w:w="1768"/>
          </w:tcPr>
          <w:p>
            <w:r/>
            <w:r>
              <w:rPr>
                <w:rFonts w:ascii="Times New Roman" w:hAnsi="Times New Roman"/>
                <w:b/>
                <w:sz w:val="18"/>
              </w:rPr>
              <w:t>Speedup</w:t>
            </w:r>
          </w:p>
        </w:tc>
      </w:tr>
      <w:tr>
        <w:tc>
          <w:tcPr>
            <w:tcW w:type="dxa" w:w="1768"/>
          </w:tcPr>
          <w:p>
            <w:r/>
            <w:r>
              <w:rPr>
                <w:rFonts w:ascii="Times New Roman" w:hAnsi="Times New Roman"/>
                <w:sz w:val="18"/>
              </w:rPr>
              <w:t>std::queue + std::mutex</w:t>
            </w:r>
          </w:p>
        </w:tc>
        <w:tc>
          <w:tcPr>
            <w:tcW w:type="dxa" w:w="1768"/>
          </w:tcPr>
          <w:p>
            <w:r/>
            <w:r>
              <w:rPr>
                <w:rFonts w:ascii="Times New Roman" w:hAnsi="Times New Roman"/>
                <w:sz w:val="18"/>
              </w:rPr>
              <w:t>75.5</w:t>
            </w:r>
          </w:p>
        </w:tc>
        <w:tc>
          <w:tcPr>
            <w:tcW w:type="dxa" w:w="1768"/>
          </w:tcPr>
          <w:p>
            <w:r/>
            <w:r>
              <w:rPr>
                <w:rFonts w:ascii="Times New Roman" w:hAnsi="Times New Roman"/>
                <w:sz w:val="18"/>
              </w:rPr>
              <w:t>71.8</w:t>
            </w:r>
          </w:p>
        </w:tc>
        <w:tc>
          <w:tcPr>
            <w:tcW w:type="dxa" w:w="1768"/>
          </w:tcPr>
          <w:p>
            <w:r/>
            <w:r>
              <w:rPr>
                <w:rFonts w:ascii="Times New Roman" w:hAnsi="Times New Roman"/>
                <w:sz w:val="18"/>
              </w:rPr>
              <w:t>97.4</w:t>
            </w:r>
          </w:p>
        </w:tc>
        <w:tc>
          <w:tcPr>
            <w:tcW w:type="dxa" w:w="1768"/>
          </w:tcPr>
          <w:p>
            <w:r/>
            <w:r>
              <w:rPr>
                <w:rFonts w:ascii="Times New Roman" w:hAnsi="Times New Roman"/>
                <w:sz w:val="18"/>
              </w:rPr>
              <w:t>1.0×</w:t>
            </w:r>
          </w:p>
        </w:tc>
      </w:tr>
      <w:tr>
        <w:tc>
          <w:tcPr>
            <w:tcW w:type="dxa" w:w="1768"/>
          </w:tcPr>
          <w:p>
            <w:r/>
            <w:r>
              <w:rPr>
                <w:rFonts w:ascii="Times New Roman" w:hAnsi="Times New Roman"/>
                <w:sz w:val="18"/>
              </w:rPr>
              <w:t>SPSC ring buffer</w:t>
            </w:r>
          </w:p>
        </w:tc>
        <w:tc>
          <w:tcPr>
            <w:tcW w:type="dxa" w:w="1768"/>
          </w:tcPr>
          <w:p>
            <w:r/>
            <w:r>
              <w:rPr>
                <w:rFonts w:ascii="Times New Roman" w:hAnsi="Times New Roman"/>
                <w:sz w:val="18"/>
              </w:rPr>
              <w:t>28.7</w:t>
            </w:r>
          </w:p>
        </w:tc>
        <w:tc>
          <w:tcPr>
            <w:tcW w:type="dxa" w:w="1768"/>
          </w:tcPr>
          <w:p>
            <w:r/>
            <w:r>
              <w:rPr>
                <w:rFonts w:ascii="Times New Roman" w:hAnsi="Times New Roman"/>
                <w:sz w:val="18"/>
              </w:rPr>
              <w:t>21.8</w:t>
            </w:r>
          </w:p>
        </w:tc>
        <w:tc>
          <w:tcPr>
            <w:tcW w:type="dxa" w:w="1768"/>
          </w:tcPr>
          <w:p>
            <w:r/>
            <w:r>
              <w:rPr>
                <w:rFonts w:ascii="Times New Roman" w:hAnsi="Times New Roman"/>
                <w:sz w:val="18"/>
              </w:rPr>
              <w:t>32.6</w:t>
            </w:r>
          </w:p>
        </w:tc>
        <w:tc>
          <w:tcPr>
            <w:tcW w:type="dxa" w:w="1768"/>
          </w:tcPr>
          <w:p>
            <w:r/>
            <w:r>
              <w:rPr>
                <w:rFonts w:ascii="Times New Roman" w:hAnsi="Times New Roman"/>
                <w:sz w:val="18"/>
              </w:rPr>
              <w:t>2.6×</w:t>
            </w:r>
          </w:p>
        </w:tc>
      </w:tr>
    </w:tbl>
    <w:p>
      <w:pPr>
        <w:spacing w:after="120"/>
      </w:pPr>
      <w:r>
        <w:rPr>
          <w:rFonts w:ascii="Times New Roman" w:hAnsi="Times New Roman"/>
          <w:b w:val="0"/>
          <w:i w:val="0"/>
          <w:sz w:val="20"/>
        </w:rPr>
      </w:r>
    </w:p>
    <w:p>
      <w:pPr>
        <w:pStyle w:val="Heading2"/>
      </w:pPr>
      <w:r>
        <w:t>5.5  Memory Management</w:t>
      </w:r>
    </w:p>
    <w:p>
      <w:pPr>
        <w:pStyle w:val="BodyText"/>
        <w:ind w:firstLine="0"/>
      </w:pPr>
      <w:r>
        <w:rPr>
          <w:rFonts w:ascii="Times New Roman" w:hAnsi="Times New Roman"/>
          <w:sz w:val="20"/>
        </w:rPr>
        <w:t>A natural assumption in latency engineering is that replacing the general-purpose heap allocator (malloc/free) with a fixed-block memory pool will reduce allocation time, since the pool avoids free-list searching and merging. In a trading pipeline, message sizes are predictable (the firm knows that a Binance depth message is roughly 300–400 bytes), so a pool seems like a clean fit. We implemented one (Listing 6) and benchmarked it against the system malloc. The result was instructive.</w:t>
      </w:r>
    </w:p>
    <w:p>
      <w:pPr>
        <w:spacing w:before="120" w:after="60"/>
      </w:pPr>
      <w:r>
        <w:rPr>
          <w:rFonts w:ascii="Times New Roman" w:hAnsi="Times New Roman"/>
          <w:i/>
          <w:sz w:val="18"/>
        </w:rPr>
        <w:t>Listing 6. Fixed-block memory pool for predictable allocation (C17).</w:t>
      </w:r>
    </w:p>
    <w:p>
      <w:pPr>
        <w:spacing w:before="0" w:after="0" w:line="220" w:lineRule="exact"/>
      </w:pPr>
      <w:r>
        <w:rPr>
          <w:rFonts w:ascii="Courier New" w:hAnsi="Courier New"/>
          <w:sz w:val="16"/>
        </w:rPr>
        <w:t>/* Listing 6. Fixed-block memory pool (C17). All blocks are the</w:t>
      </w:r>
    </w:p>
    <w:p>
      <w:pPr>
        <w:spacing w:before="0" w:after="0" w:line="220" w:lineRule="exact"/>
      </w:pPr>
      <w:r>
        <w:rPr>
          <w:rFonts w:ascii="Courier New" w:hAnsi="Courier New"/>
          <w:sz w:val="16"/>
        </w:rPr>
        <w:t xml:space="preserve"> * same size, so alloc/free are O(1) with no search or merge.</w:t>
      </w:r>
    </w:p>
    <w:p>
      <w:pPr>
        <w:spacing w:before="0" w:after="0" w:line="220" w:lineRule="exact"/>
      </w:pPr>
      <w:r>
        <w:rPr>
          <w:rFonts w:ascii="Courier New" w:hAnsi="Courier New"/>
          <w:sz w:val="16"/>
        </w:rPr>
        <w:t xml:space="preserve"> * Not thread-safe; use one pool per thread. */</w:t>
      </w:r>
    </w:p>
    <w:p>
      <w:pPr>
        <w:spacing w:before="0" w:after="0" w:line="220" w:lineRule="exact"/>
      </w:pPr>
      <w:r>
        <w:rPr>
          <w:rFonts w:ascii="Courier New" w:hAnsi="Courier New"/>
          <w:sz w:val="16"/>
        </w:rPr>
        <w:t>typedef struct pool {</w:t>
      </w:r>
    </w:p>
    <w:p>
      <w:pPr>
        <w:spacing w:before="0" w:after="0" w:line="220" w:lineRule="exact"/>
      </w:pPr>
      <w:r>
        <w:rPr>
          <w:rFonts w:ascii="Courier New" w:hAnsi="Courier New"/>
          <w:sz w:val="16"/>
        </w:rPr>
        <w:t xml:space="preserve">    char   *base;       /* raw backing memory                 */</w:t>
      </w:r>
    </w:p>
    <w:p>
      <w:pPr>
        <w:spacing w:before="0" w:after="0" w:line="220" w:lineRule="exact"/>
      </w:pPr>
      <w:r>
        <w:rPr>
          <w:rFonts w:ascii="Courier New" w:hAnsi="Courier New"/>
          <w:sz w:val="16"/>
        </w:rPr>
        <w:t xml:space="preserve">    char  **free_list;  /* stack of pointers to free blocks   */</w:t>
      </w:r>
    </w:p>
    <w:p>
      <w:pPr>
        <w:spacing w:before="0" w:after="0" w:line="220" w:lineRule="exact"/>
      </w:pPr>
      <w:r>
        <w:rPr>
          <w:rFonts w:ascii="Courier New" w:hAnsi="Courier New"/>
          <w:sz w:val="16"/>
        </w:rPr>
        <w:t xml:space="preserve">    size_t  top;        /* index into free_list               */</w:t>
      </w:r>
    </w:p>
    <w:p>
      <w:pPr>
        <w:spacing w:before="0" w:after="0" w:line="220" w:lineRule="exact"/>
      </w:pPr>
      <w:r>
        <w:rPr>
          <w:rFonts w:ascii="Courier New" w:hAnsi="Courier New"/>
          <w:sz w:val="16"/>
        </w:rPr>
        <w:t xml:space="preserve">    size_t  capacity;   /* total blocks                       */</w:t>
      </w:r>
    </w:p>
    <w:p>
      <w:pPr>
        <w:spacing w:before="0" w:after="0" w:line="220" w:lineRule="exact"/>
      </w:pPr>
      <w:r>
        <w:rPr>
          <w:rFonts w:ascii="Courier New" w:hAnsi="Courier New"/>
          <w:sz w:val="16"/>
        </w:rPr>
        <w:t xml:space="preserve">    size_t  block_size; /* bytes per block, aligned to 64     */</w:t>
      </w:r>
    </w:p>
    <w:p>
      <w:pPr>
        <w:spacing w:before="0" w:after="0" w:line="220" w:lineRule="exact"/>
      </w:pPr>
      <w:r>
        <w:rPr>
          <w:rFonts w:ascii="Courier New" w:hAnsi="Courier New"/>
          <w:sz w:val="16"/>
        </w:rPr>
        <w:t>} pool_t;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int pool_init(pool_t *p, size_t block_size, size_t capacity) {</w:t>
      </w:r>
    </w:p>
    <w:p>
      <w:pPr>
        <w:spacing w:before="0" w:after="0" w:line="220" w:lineRule="exact"/>
      </w:pPr>
      <w:r>
        <w:rPr>
          <w:rFonts w:ascii="Courier New" w:hAnsi="Courier New"/>
          <w:sz w:val="16"/>
        </w:rPr>
        <w:t xml:space="preserve">    p-&gt;block_size = (block_size + 63) &amp; ~(size_t)63;  /* 64-byte align */</w:t>
      </w:r>
    </w:p>
    <w:p>
      <w:pPr>
        <w:spacing w:before="0" w:after="0" w:line="220" w:lineRule="exact"/>
      </w:pPr>
      <w:r>
        <w:rPr>
          <w:rFonts w:ascii="Courier New" w:hAnsi="Courier New"/>
          <w:sz w:val="16"/>
        </w:rPr>
        <w:t xml:space="preserve">    p-&gt;capacity   = capacity;</w:t>
      </w:r>
    </w:p>
    <w:p>
      <w:pPr>
        <w:spacing w:before="0" w:after="0" w:line="220" w:lineRule="exact"/>
      </w:pPr>
      <w:r>
        <w:rPr>
          <w:rFonts w:ascii="Courier New" w:hAnsi="Courier New"/>
          <w:sz w:val="16"/>
        </w:rPr>
        <w:t xml:space="preserve">    p-&gt;base       = (char *)aligned_alloc(64, p-&gt;block_size * capacity);</w:t>
      </w:r>
    </w:p>
    <w:p>
      <w:pPr>
        <w:spacing w:before="0" w:after="0" w:line="220" w:lineRule="exact"/>
      </w:pPr>
      <w:r>
        <w:rPr>
          <w:rFonts w:ascii="Courier New" w:hAnsi="Courier New"/>
          <w:sz w:val="16"/>
        </w:rPr>
        <w:t xml:space="preserve">    p-&gt;free_list  = (char **)malloc(capacity * sizeof(char *));</w:t>
      </w:r>
    </w:p>
    <w:p>
      <w:pPr>
        <w:spacing w:before="0" w:after="0" w:line="220" w:lineRule="exact"/>
      </w:pPr>
      <w:r>
        <w:rPr>
          <w:rFonts w:ascii="Courier New" w:hAnsi="Courier New"/>
          <w:sz w:val="16"/>
        </w:rPr>
        <w:t xml:space="preserve">    if (!p-&gt;base || !p-&gt;free_list) return -1;</w:t>
      </w:r>
    </w:p>
    <w:p>
      <w:pPr>
        <w:spacing w:before="0" w:after="0" w:line="220" w:lineRule="exact"/>
      </w:pPr>
      <w:r>
        <w:rPr>
          <w:rFonts w:ascii="Courier New" w:hAnsi="Courier New"/>
          <w:sz w:val="16"/>
        </w:rPr>
        <w:t xml:space="preserve">    for (size_t i = 0; i &lt; capacity; ++i)</w:t>
      </w:r>
    </w:p>
    <w:p>
      <w:pPr>
        <w:spacing w:before="0" w:after="0" w:line="220" w:lineRule="exact"/>
      </w:pPr>
      <w:r>
        <w:rPr>
          <w:rFonts w:ascii="Courier New" w:hAnsi="Courier New"/>
          <w:sz w:val="16"/>
        </w:rPr>
        <w:t xml:space="preserve">        p-&gt;free_list[i] = p-&gt;base + i * p-&gt;block_size;</w:t>
      </w:r>
    </w:p>
    <w:p>
      <w:pPr>
        <w:spacing w:before="0" w:after="0" w:line="220" w:lineRule="exact"/>
      </w:pPr>
      <w:r>
        <w:rPr>
          <w:rFonts w:ascii="Courier New" w:hAnsi="Courier New"/>
          <w:sz w:val="16"/>
        </w:rPr>
        <w:t xml:space="preserve">    p-&gt;top = capacity;</w:t>
      </w:r>
    </w:p>
    <w:p>
      <w:pPr>
        <w:spacing w:before="0" w:after="0" w:line="220" w:lineRule="exact"/>
      </w:pPr>
      <w:r>
        <w:rPr>
          <w:rFonts w:ascii="Courier New" w:hAnsi="Courier New"/>
          <w:sz w:val="16"/>
        </w:rPr>
        <w:t xml:space="preserve">    return 0;</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static inline void *pool_alloc(pool_t *p) {</w:t>
      </w:r>
    </w:p>
    <w:p>
      <w:pPr>
        <w:spacing w:before="0" w:after="0" w:line="220" w:lineRule="exact"/>
      </w:pPr>
      <w:r>
        <w:rPr>
          <w:rFonts w:ascii="Courier New" w:hAnsi="Courier New"/>
          <w:sz w:val="16"/>
        </w:rPr>
        <w:t xml:space="preserve">    return p-&gt;top &gt; 0 ? p-&gt;free_list[--p-&gt;top] : NULL;</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static inline void pool_free(pool_t *p, void *ptr) {</w:t>
      </w:r>
    </w:p>
    <w:p>
      <w:pPr>
        <w:spacing w:before="0" w:after="0" w:line="220" w:lineRule="exact"/>
      </w:pPr>
      <w:r>
        <w:rPr>
          <w:rFonts w:ascii="Courier New" w:hAnsi="Courier New"/>
          <w:sz w:val="16"/>
        </w:rPr>
        <w:t xml:space="preserve">    p-&gt;free_list[p-&gt;top++] = (char *)ptr;</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void pool_destroy(pool_t *p) {</w:t>
      </w:r>
    </w:p>
    <w:p>
      <w:pPr>
        <w:spacing w:before="0" w:after="0" w:line="220" w:lineRule="exact"/>
      </w:pPr>
      <w:r>
        <w:rPr>
          <w:rFonts w:ascii="Courier New" w:hAnsi="Courier New"/>
          <w:sz w:val="16"/>
        </w:rPr>
        <w:t xml:space="preserve">    free(p-&gt;free_list);</w:t>
      </w:r>
    </w:p>
    <w:p>
      <w:pPr>
        <w:spacing w:before="0" w:after="0" w:line="220" w:lineRule="exact"/>
      </w:pPr>
      <w:r>
        <w:rPr>
          <w:rFonts w:ascii="Courier New" w:hAnsi="Courier New"/>
          <w:sz w:val="16"/>
        </w:rPr>
        <w:t xml:space="preserve">    free(p-&gt;base);</w:t>
      </w:r>
    </w:p>
    <w:p>
      <w:pPr>
        <w:spacing w:before="0" w:after="0" w:line="220" w:lineRule="exact"/>
      </w:pPr>
      <w:r>
        <w:rPr>
          <w:rFonts w:ascii="Courier New" w:hAnsi="Courier New"/>
          <w:sz w:val="16"/>
        </w:rPr>
        <w:t>}</w:t>
      </w:r>
    </w:p>
    <w:p>
      <w:pPr>
        <w:pStyle w:val="BodyText"/>
        <w:ind w:firstLine="283"/>
      </w:pPr>
      <w:r>
        <w:rPr>
          <w:rFonts w:ascii="Times New Roman" w:hAnsi="Times New Roman"/>
          <w:sz w:val="20"/>
        </w:rPr>
        <w:t>Table 7 shows the memory-pool benchmark alongside the buffer-reuse results. The pool allocator was not faster than system malloc in our test: malloc+memset+free for a 384-byte block took a median of 1 ns per call, while the pool version took 13 ns. Modern allocators (glibc’s ptmalloc, Windows’ Low Fragmentation Heap, jemalloc) use per-thread caches and segregated size classes that handle the single-threaded, single-size pattern as efficiently as a hand-written pool. The pool’s additional indirection (stack pointer decrement, cache-line load for the pointer) actually added overhead. This is a genuine negative result, and it illustrates a recurring theme: assumptions from older systems literature do not always hold on modern toolchains.</w:t>
      </w:r>
      <w:r>
        <w:rPr>
          <w:strike/>
          <w:color w:val="808080"/>
        </w:rPr>
        <w:t xml:space="preserve"> [Cut: Initial assumption was that custom memory pool would yield a 3x speedup, but empirical testing disproved this.]</w:t>
      </w:r>
    </w:p>
    <w:p>
      <w:pPr>
        <w:pStyle w:val="BodyText"/>
        <w:ind w:firstLine="283"/>
      </w:pPr>
      <w:r>
        <w:rPr>
          <w:rFonts w:ascii="Times New Roman" w:hAnsi="Times New Roman"/>
          <w:sz w:val="20"/>
          <w:highlight w:val="yellow"/>
        </w:rPr>
        <w:t>Where memory management does pay off is at the message level. Copying a 336-byte message into a freshly malloc’d buffer costs 156 ns (median), while copying into a pre-allocated reused buffer costs 104 ns, saving 52 ns per message (1.5×). The lesson for the firm: reuse buffers across messages (which the zero-copy parser achieves automatically by writing into a caller-supplied array), but do not assume a custom pool will beat the system allocator without measuring it.</w:t>
      </w:r>
    </w:p>
    <w:p>
      <w:pPr>
        <w:spacing w:before="160" w:after="80"/>
      </w:pPr>
      <w:r>
        <w:rPr>
          <w:rFonts w:ascii="Times New Roman" w:hAnsi="Times New Roman"/>
          <w:sz w:val="18"/>
          <w:highlight w:val="yellow"/>
        </w:rPr>
        <w:t>Table 7. Memory management benchmarks. The custom pool did not beat the system allocator for single-threaded small blocks; buffer reuse at the message level did help.</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Strategy</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Notes</w:t>
            </w:r>
          </w:p>
        </w:tc>
      </w:tr>
      <w:tr>
        <w:tc>
          <w:tcPr>
            <w:tcW w:type="dxa" w:w="1768"/>
          </w:tcPr>
          <w:p>
            <w:r/>
            <w:r>
              <w:rPr>
                <w:rFonts w:ascii="Times New Roman" w:hAnsi="Times New Roman"/>
                <w:sz w:val="18"/>
              </w:rPr>
              <w:t>malloc + memset + free (384 B)</w:t>
            </w:r>
          </w:p>
        </w:tc>
        <w:tc>
          <w:tcPr>
            <w:tcW w:type="dxa" w:w="1768"/>
          </w:tcPr>
          <w:p>
            <w:r/>
            <w:r>
              <w:rPr>
                <w:rFonts w:ascii="Times New Roman" w:hAnsi="Times New Roman"/>
                <w:sz w:val="18"/>
              </w:rPr>
              <w:t>1</w:t>
            </w:r>
          </w:p>
        </w:tc>
        <w:tc>
          <w:tcPr>
            <w:tcW w:type="dxa" w:w="1768"/>
          </w:tcPr>
          <w:p>
            <w:r/>
            <w:r>
              <w:rPr>
                <w:rFonts w:ascii="Times New Roman" w:hAnsi="Times New Roman"/>
                <w:sz w:val="18"/>
              </w:rPr>
              <w:t>1</w:t>
            </w:r>
          </w:p>
        </w:tc>
        <w:tc>
          <w:tcPr>
            <w:tcW w:type="dxa" w:w="1768"/>
          </w:tcPr>
          <w:p>
            <w:r/>
            <w:r>
              <w:rPr>
                <w:rFonts w:ascii="Times New Roman" w:hAnsi="Times New Roman"/>
                <w:sz w:val="18"/>
              </w:rPr>
              <w:t>1</w:t>
            </w:r>
          </w:p>
        </w:tc>
        <w:tc>
          <w:tcPr>
            <w:tcW w:type="dxa" w:w="1768"/>
          </w:tcPr>
          <w:p>
            <w:r/>
            <w:r>
              <w:rPr>
                <w:rFonts w:ascii="Times New Roman" w:hAnsi="Times New Roman"/>
                <w:sz w:val="18"/>
              </w:rPr>
              <w:t>System allocator, single-threaded</w:t>
            </w:r>
          </w:p>
        </w:tc>
      </w:tr>
      <w:tr>
        <w:tc>
          <w:tcPr>
            <w:tcW w:type="dxa" w:w="1768"/>
          </w:tcPr>
          <w:p>
            <w:r/>
            <w:r>
              <w:rPr>
                <w:rFonts w:ascii="Times New Roman" w:hAnsi="Times New Roman"/>
                <w:sz w:val="18"/>
              </w:rPr>
              <w:t>Fixed pool + memset + free (384 B)</w:t>
            </w:r>
          </w:p>
        </w:tc>
        <w:tc>
          <w:tcPr>
            <w:tcW w:type="dxa" w:w="1768"/>
          </w:tcPr>
          <w:p>
            <w:r/>
            <w:r>
              <w:rPr>
                <w:rFonts w:ascii="Times New Roman" w:hAnsi="Times New Roman"/>
                <w:sz w:val="18"/>
              </w:rPr>
              <w:t>13</w:t>
            </w:r>
          </w:p>
        </w:tc>
        <w:tc>
          <w:tcPr>
            <w:tcW w:type="dxa" w:w="1768"/>
          </w:tcPr>
          <w:p>
            <w:r/>
            <w:r>
              <w:rPr>
                <w:rFonts w:ascii="Times New Roman" w:hAnsi="Times New Roman"/>
                <w:sz w:val="18"/>
              </w:rPr>
              <w:t>14</w:t>
            </w:r>
          </w:p>
        </w:tc>
        <w:tc>
          <w:tcPr>
            <w:tcW w:type="dxa" w:w="1768"/>
          </w:tcPr>
          <w:p>
            <w:r/>
            <w:r>
              <w:rPr>
                <w:rFonts w:ascii="Times New Roman" w:hAnsi="Times New Roman"/>
                <w:sz w:val="18"/>
              </w:rPr>
              <w:t>15</w:t>
            </w:r>
          </w:p>
        </w:tc>
        <w:tc>
          <w:tcPr>
            <w:tcW w:type="dxa" w:w="1768"/>
          </w:tcPr>
          <w:p>
            <w:r/>
            <w:r>
              <w:rPr>
                <w:rFonts w:ascii="Times New Roman" w:hAnsi="Times New Roman"/>
                <w:sz w:val="18"/>
              </w:rPr>
              <w:t>Custom pool slower due to indirection</w:t>
            </w:r>
          </w:p>
        </w:tc>
      </w:tr>
      <w:tr>
        <w:tc>
          <w:tcPr>
            <w:tcW w:type="dxa" w:w="1768"/>
          </w:tcPr>
          <w:p>
            <w:r/>
            <w:r>
              <w:rPr>
                <w:rFonts w:ascii="Times New Roman" w:hAnsi="Times New Roman"/>
                <w:sz w:val="18"/>
              </w:rPr>
              <w:t>malloc + memcpy + free (336 B msg)</w:t>
            </w:r>
          </w:p>
        </w:tc>
        <w:tc>
          <w:tcPr>
            <w:tcW w:type="dxa" w:w="1768"/>
          </w:tcPr>
          <w:p>
            <w:r/>
            <w:r>
              <w:rPr>
                <w:rFonts w:ascii="Times New Roman" w:hAnsi="Times New Roman"/>
                <w:sz w:val="18"/>
              </w:rPr>
              <w:t>156</w:t>
            </w:r>
          </w:p>
        </w:tc>
        <w:tc>
          <w:tcPr>
            <w:tcW w:type="dxa" w:w="1768"/>
          </w:tcPr>
          <w:p>
            <w:r/>
            <w:r>
              <w:rPr>
                <w:rFonts w:ascii="Times New Roman" w:hAnsi="Times New Roman"/>
                <w:sz w:val="18"/>
              </w:rPr>
              <w:t>167</w:t>
            </w:r>
          </w:p>
        </w:tc>
        <w:tc>
          <w:tcPr>
            <w:tcW w:type="dxa" w:w="1768"/>
          </w:tcPr>
          <w:p>
            <w:r/>
            <w:r>
              <w:rPr>
                <w:rFonts w:ascii="Times New Roman" w:hAnsi="Times New Roman"/>
                <w:sz w:val="18"/>
              </w:rPr>
              <w:t>316</w:t>
            </w:r>
          </w:p>
        </w:tc>
        <w:tc>
          <w:tcPr>
            <w:tcW w:type="dxa" w:w="1768"/>
          </w:tcPr>
          <w:p>
            <w:r/>
            <w:r>
              <w:rPr>
                <w:rFonts w:ascii="Times New Roman" w:hAnsi="Times New Roman"/>
                <w:sz w:val="18"/>
              </w:rPr>
              <w:t>Baseline message handling</w:t>
            </w:r>
          </w:p>
        </w:tc>
      </w:tr>
      <w:tr>
        <w:tc>
          <w:tcPr>
            <w:tcW w:type="dxa" w:w="1768"/>
          </w:tcPr>
          <w:p>
            <w:r/>
            <w:r>
              <w:rPr>
                <w:rFonts w:ascii="Times New Roman" w:hAnsi="Times New Roman"/>
                <w:sz w:val="18"/>
              </w:rPr>
              <w:t>Reused buffer + memcpy (336 B msg)</w:t>
            </w:r>
          </w:p>
        </w:tc>
        <w:tc>
          <w:tcPr>
            <w:tcW w:type="dxa" w:w="1768"/>
          </w:tcPr>
          <w:p>
            <w:r/>
            <w:r>
              <w:rPr>
                <w:rFonts w:ascii="Times New Roman" w:hAnsi="Times New Roman"/>
                <w:sz w:val="18"/>
              </w:rPr>
              <w:t>104</w:t>
            </w:r>
          </w:p>
        </w:tc>
        <w:tc>
          <w:tcPr>
            <w:tcW w:type="dxa" w:w="1768"/>
          </w:tcPr>
          <w:p>
            <w:r/>
            <w:r>
              <w:rPr>
                <w:rFonts w:ascii="Times New Roman" w:hAnsi="Times New Roman"/>
                <w:sz w:val="18"/>
              </w:rPr>
              <w:t>110</w:t>
            </w:r>
          </w:p>
        </w:tc>
        <w:tc>
          <w:tcPr>
            <w:tcW w:type="dxa" w:w="1768"/>
          </w:tcPr>
          <w:p>
            <w:r/>
            <w:r>
              <w:rPr>
                <w:rFonts w:ascii="Times New Roman" w:hAnsi="Times New Roman"/>
                <w:sz w:val="18"/>
              </w:rPr>
              <w:t>251</w:t>
            </w:r>
          </w:p>
        </w:tc>
        <w:tc>
          <w:tcPr>
            <w:tcW w:type="dxa" w:w="1768"/>
          </w:tcPr>
          <w:p>
            <w:r/>
            <w:r>
              <w:rPr>
                <w:rFonts w:ascii="Times New Roman" w:hAnsi="Times New Roman"/>
                <w:sz w:val="18"/>
              </w:rPr>
              <w:t>52 ns saved (1.5×)</w:t>
            </w:r>
          </w:p>
        </w:tc>
      </w:tr>
    </w:tbl>
    <w:p>
      <w:pPr>
        <w:spacing w:after="120"/>
      </w:pPr>
      <w:r>
        <w:rPr>
          <w:rFonts w:ascii="Times New Roman" w:hAnsi="Times New Roman"/>
          <w:b w:val="0"/>
          <w:i w:val="0"/>
          <w:sz w:val="20"/>
        </w:rPr>
      </w:r>
    </w:p>
    <w:p>
      <w:pPr>
        <w:spacing w:before="160"/>
        <w:jc w:val="center"/>
      </w:pPr>
      <w:r>
        <w:drawing>
          <wp:inline xmlns:a="http://schemas.openxmlformats.org/drawingml/2006/main" xmlns:pic="http://schemas.openxmlformats.org/drawingml/2006/picture">
            <wp:extent cx="5029200" cy="2801073"/>
            <wp:docPr id="2" name="Picture 2"/>
            <wp:cNvGraphicFramePr>
              <a:graphicFrameLocks noChangeAspect="1"/>
            </wp:cNvGraphicFramePr>
            <a:graphic>
              <a:graphicData uri="http://schemas.openxmlformats.org/drawingml/2006/picture">
                <pic:pic>
                  <pic:nvPicPr>
                    <pic:cNvPr id="0" name="fig1_component_speedups.png"/>
                    <pic:cNvPicPr/>
                  </pic:nvPicPr>
                  <pic:blipFill>
                    <a:blip r:embed="rId10"/>
                    <a:stretch>
                      <a:fillRect/>
                    </a:stretch>
                  </pic:blipFill>
                  <pic:spPr>
                    <a:xfrm>
                      <a:off x="0" y="0"/>
                      <a:ext cx="5029200" cy="2801073"/>
                    </a:xfrm>
                    <a:prstGeom prst="rect"/>
                  </pic:spPr>
                </pic:pic>
              </a:graphicData>
            </a:graphic>
          </wp:inline>
        </w:drawing>
      </w:r>
    </w:p>
    <w:p>
      <w:pPr>
        <w:spacing w:after="160"/>
        <w:jc w:val="center"/>
      </w:pPr>
      <w:r>
        <w:rPr>
          <w:rFonts w:ascii="Times New Roman" w:hAnsi="Times New Roman"/>
          <w:sz w:val="18"/>
        </w:rPr>
        <w:t>Fig. 2. Measured speedup per pipeline component (p50 median latency, log scale). Speedup factors are annotated below the optimised bars. Data from Tables 3–7.</w:t>
      </w:r>
    </w:p>
    <w:p>
      <w:pPr>
        <w:pStyle w:val="Heading2"/>
      </w:pPr>
      <w:r>
        <w:t>5.6  Full Pipeline Integration</w:t>
      </w:r>
    </w:p>
    <w:p>
      <w:pPr>
        <w:pStyle w:val="BodyText"/>
        <w:ind w:firstLine="0"/>
      </w:pPr>
      <w:r>
        <w:rPr>
          <w:rFonts w:ascii="Times New Roman" w:hAnsi="Times New Roman"/>
          <w:sz w:val="20"/>
        </w:rPr>
        <w:t>Up to this point each optimisation has been measured in isolation. But in practice, the firm’s critical path runs them in sequence: receive bytes → parse message → update order book → pass to strategy thread. Table 8 reports the combined measurement: parsing a 10-level depth message and applying all 10 updates to the order book, measured as a single end-to-end operation.</w:t>
      </w:r>
    </w:p>
    <w:p>
      <w:pPr>
        <w:spacing w:before="160" w:after="80"/>
      </w:pPr>
      <w:r>
        <w:rPr>
          <w:rFonts w:ascii="Times New Roman" w:hAnsi="Times New Roman"/>
          <w:sz w:val="18"/>
        </w:rPr>
        <w:t>Table 8. Full parse-to-book-update pipeline latency per message. Median of five runs.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Pipeline variant</w:t>
            </w:r>
          </w:p>
        </w:tc>
        <w:tc>
          <w:tcPr>
            <w:tcW w:type="dxa" w:w="1768"/>
          </w:tcPr>
          <w:p>
            <w:r/>
            <w:r>
              <w:rPr>
                <w:rFonts w:ascii="Times New Roman" w:hAnsi="Times New Roman"/>
                <w:b/>
                <w:sz w:val="18"/>
              </w:rPr>
              <w:t>p50 (ns)</w:t>
            </w:r>
          </w:p>
        </w:tc>
        <w:tc>
          <w:tcPr>
            <w:tcW w:type="dxa" w:w="1768"/>
          </w:tcPr>
          <w:p>
            <w:r/>
            <w:r>
              <w:rPr>
                <w:rFonts w:ascii="Times New Roman" w:hAnsi="Times New Roman"/>
                <w:b/>
                <w:sz w:val="18"/>
              </w:rPr>
              <w:t>p95 (ns)</w:t>
            </w:r>
          </w:p>
        </w:tc>
        <w:tc>
          <w:tcPr>
            <w:tcW w:type="dxa" w:w="1768"/>
          </w:tcPr>
          <w:p>
            <w:r/>
            <w:r>
              <w:rPr>
                <w:rFonts w:ascii="Times New Roman" w:hAnsi="Times New Roman"/>
                <w:b/>
                <w:sz w:val="18"/>
              </w:rPr>
              <w:t>p99 (ns)</w:t>
            </w:r>
          </w:p>
        </w:tc>
        <w:tc>
          <w:tcPr>
            <w:tcW w:type="dxa" w:w="1768"/>
          </w:tcPr>
          <w:p>
            <w:r/>
            <w:r>
              <w:rPr>
                <w:rFonts w:ascii="Times New Roman" w:hAnsi="Times New Roman"/>
                <w:b/>
                <w:sz w:val="18"/>
              </w:rPr>
              <w:t>Speedup</w:t>
            </w:r>
          </w:p>
        </w:tc>
      </w:tr>
      <w:tr>
        <w:tc>
          <w:tcPr>
            <w:tcW w:type="dxa" w:w="1768"/>
          </w:tcPr>
          <w:p>
            <w:r/>
            <w:r>
              <w:rPr>
                <w:rFonts w:ascii="Times New Roman" w:hAnsi="Times New Roman"/>
                <w:sz w:val="18"/>
              </w:rPr>
              <w:t>Naive parse (from_chars) + std::map book</w:t>
            </w:r>
          </w:p>
        </w:tc>
        <w:tc>
          <w:tcPr>
            <w:tcW w:type="dxa" w:w="1768"/>
          </w:tcPr>
          <w:p>
            <w:r/>
            <w:r>
              <w:rPr>
                <w:rFonts w:ascii="Times New Roman" w:hAnsi="Times New Roman"/>
                <w:sz w:val="18"/>
              </w:rPr>
              <w:t>2,868</w:t>
            </w:r>
          </w:p>
        </w:tc>
        <w:tc>
          <w:tcPr>
            <w:tcW w:type="dxa" w:w="1768"/>
          </w:tcPr>
          <w:p>
            <w:r/>
            <w:r>
              <w:rPr>
                <w:rFonts w:ascii="Times New Roman" w:hAnsi="Times New Roman"/>
                <w:sz w:val="18"/>
              </w:rPr>
              <w:t>3,464</w:t>
            </w:r>
          </w:p>
        </w:tc>
        <w:tc>
          <w:tcPr>
            <w:tcW w:type="dxa" w:w="1768"/>
          </w:tcPr>
          <w:p>
            <w:r/>
            <w:r>
              <w:rPr>
                <w:rFonts w:ascii="Times New Roman" w:hAnsi="Times New Roman"/>
                <w:sz w:val="18"/>
              </w:rPr>
              <w:t>4,748</w:t>
            </w:r>
          </w:p>
        </w:tc>
        <w:tc>
          <w:tcPr>
            <w:tcW w:type="dxa" w:w="1768"/>
          </w:tcPr>
          <w:p>
            <w:r/>
            <w:r>
              <w:rPr>
                <w:rFonts w:ascii="Times New Roman" w:hAnsi="Times New Roman"/>
                <w:sz w:val="18"/>
              </w:rPr>
              <w:t>1.0×</w:t>
            </w:r>
          </w:p>
        </w:tc>
      </w:tr>
      <w:tr>
        <w:tc>
          <w:tcPr>
            <w:tcW w:type="dxa" w:w="1768"/>
          </w:tcPr>
          <w:p>
            <w:r/>
            <w:r>
              <w:rPr>
                <w:rFonts w:ascii="Times New Roman" w:hAnsi="Times New Roman"/>
                <w:sz w:val="18"/>
              </w:rPr>
              <w:t>Zero-copy parse + price ladder</w:t>
            </w:r>
          </w:p>
        </w:tc>
        <w:tc>
          <w:tcPr>
            <w:tcW w:type="dxa" w:w="1768"/>
          </w:tcPr>
          <w:p>
            <w:r/>
            <w:r>
              <w:rPr>
                <w:rFonts w:ascii="Times New Roman" w:hAnsi="Times New Roman"/>
                <w:sz w:val="18"/>
              </w:rPr>
              <w:t>494</w:t>
            </w:r>
          </w:p>
        </w:tc>
        <w:tc>
          <w:tcPr>
            <w:tcW w:type="dxa" w:w="1768"/>
          </w:tcPr>
          <w:p>
            <w:r/>
            <w:r>
              <w:rPr>
                <w:rFonts w:ascii="Times New Roman" w:hAnsi="Times New Roman"/>
                <w:sz w:val="18"/>
              </w:rPr>
              <w:t>568</w:t>
            </w:r>
          </w:p>
        </w:tc>
        <w:tc>
          <w:tcPr>
            <w:tcW w:type="dxa" w:w="1768"/>
          </w:tcPr>
          <w:p>
            <w:r/>
            <w:r>
              <w:rPr>
                <w:rFonts w:ascii="Times New Roman" w:hAnsi="Times New Roman"/>
                <w:sz w:val="18"/>
              </w:rPr>
              <w:t>978</w:t>
            </w:r>
          </w:p>
        </w:tc>
        <w:tc>
          <w:tcPr>
            <w:tcW w:type="dxa" w:w="1768"/>
          </w:tcPr>
          <w:p>
            <w:r/>
            <w:r>
              <w:rPr>
                <w:rFonts w:ascii="Times New Roman" w:hAnsi="Times New Roman"/>
                <w:sz w:val="18"/>
              </w:rPr>
              <w:t>5.8×</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The optimised pipeline processes a message in 494 ns versus 2,868 ns for the baseline, a 5.8× improvement. Note that the baseline here already uses from_chars rather than stod; against the stod-based pipeline the improvement would be over 30×. This compound speedup is greater than any individual factor because the optimisations eliminate different bottlenecks: the parser removes heap allocation and floating-point conversion, while the ladder removes tree traversal and per-node allocation.</w:t>
      </w:r>
    </w:p>
    <w:p>
      <w:pPr>
        <w:pStyle w:val="BodyText"/>
        <w:ind w:firstLine="283"/>
      </w:pPr>
      <w:r>
        <w:rPr>
          <w:rFonts w:ascii="Times New Roman" w:hAnsi="Times New Roman"/>
          <w:sz w:val="20"/>
        </w:rPr>
        <w:t>As an independent check, we wrote a separate program (advanced_examples.cpp, Example B) that runs parse_fast followed by LadderBook updates and Signal construction in a single function. It measured a median of 528 ns per message (p95: 864 ns, p99: 1,932 ns), which is consistent with the 494 ns from the integrated benchmark in latency_examples.cpp and within the expected variation from the additional Signal-struct write. The burst-processing test (Example C) sustained this rate across bursts of 10 to 1,000 messages, measuring 480–490 ns per message at a throughput of approximately 2.05 million messages per second.</w:t>
      </w:r>
    </w:p>
    <w:p>
      <w:pPr>
        <w:pStyle w:val="BodyText"/>
        <w:ind w:firstLine="283"/>
      </w:pPr>
      <w:r>
        <w:rPr>
          <w:rFonts w:ascii="Times New Roman" w:hAnsi="Times New Roman"/>
          <w:sz w:val="20"/>
        </w:rPr>
        <w:t>Adding thread hand-off, the full critical path from raw bytes to strategy notification takes approximately 528 + 29 = 557 ns on the optimised path versus 2,868 + 75 = 2,943 ns on the baseline, yielding a 5.3× improvement overall. Listing 7 shows the integration: the network thread parses the message and updates the book, then pushes a lightweight signal (best bid, best ask, timestamp) through the SPSC ring to the strategy thread.</w:t>
      </w:r>
    </w:p>
    <w:p>
      <w:pPr>
        <w:spacing w:before="120" w:after="60"/>
      </w:pPr>
      <w:r>
        <w:rPr>
          <w:rFonts w:ascii="Times New Roman" w:hAnsi="Times New Roman"/>
          <w:i/>
          <w:sz w:val="18"/>
        </w:rPr>
        <w:t>Listing 7. Integrated network-thread critical path.</w:t>
      </w:r>
    </w:p>
    <w:p>
      <w:pPr>
        <w:spacing w:before="0" w:after="0" w:line="220" w:lineRule="exact"/>
      </w:pPr>
      <w:r>
        <w:rPr>
          <w:rFonts w:ascii="Courier New" w:hAnsi="Courier New"/>
          <w:sz w:val="16"/>
        </w:rPr>
        <w:t>/* Listing 7. Integrated critical path: parse, update book, signal</w:t>
      </w:r>
    </w:p>
    <w:p>
      <w:pPr>
        <w:spacing w:before="0" w:after="0" w:line="220" w:lineRule="exact"/>
      </w:pPr>
      <w:r>
        <w:rPr>
          <w:rFonts w:ascii="Courier New" w:hAnsi="Courier New"/>
          <w:sz w:val="16"/>
        </w:rPr>
        <w:t xml:space="preserve"> * the strategy thread (C++20, simplified). */</w:t>
      </w:r>
    </w:p>
    <w:p>
      <w:pPr>
        <w:spacing w:before="0" w:after="0" w:line="220" w:lineRule="exact"/>
      </w:pPr>
      <w:r>
        <w:rPr>
          <w:rFonts w:ascii="Courier New" w:hAnsi="Courier New"/>
          <w:sz w:val="16"/>
        </w:rPr>
        <w:t>struct Signal {</w:t>
      </w:r>
    </w:p>
    <w:p>
      <w:pPr>
        <w:spacing w:before="0" w:after="0" w:line="220" w:lineRule="exact"/>
      </w:pPr>
      <w:r>
        <w:rPr>
          <w:rFonts w:ascii="Courier New" w:hAnsi="Courier New"/>
          <w:sz w:val="16"/>
        </w:rPr>
        <w:t xml:space="preserve">    int64_t best_bid;</w:t>
      </w:r>
    </w:p>
    <w:p>
      <w:pPr>
        <w:spacing w:before="0" w:after="0" w:line="220" w:lineRule="exact"/>
      </w:pPr>
      <w:r>
        <w:rPr>
          <w:rFonts w:ascii="Courier New" w:hAnsi="Courier New"/>
          <w:sz w:val="16"/>
        </w:rPr>
        <w:t xml:space="preserve">    int64_t best_ask;</w:t>
      </w:r>
    </w:p>
    <w:p>
      <w:pPr>
        <w:spacing w:before="0" w:after="0" w:line="220" w:lineRule="exact"/>
      </w:pPr>
      <w:r>
        <w:rPr>
          <w:rFonts w:ascii="Courier New" w:hAnsi="Courier New"/>
          <w:sz w:val="16"/>
        </w:rPr>
        <w:t xml:space="preserve">    int64_t timestamp_ns;</w:t>
      </w:r>
    </w:p>
    <w:p>
      <w:pPr>
        <w:spacing w:before="0" w:after="0" w:line="220" w:lineRule="exact"/>
      </w:pPr>
      <w:r>
        <w:rPr>
          <w:rFonts w:ascii="Courier New" w:hAnsi="Courier New"/>
          <w:sz w:val="16"/>
        </w:rPr>
        <w:t>};</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Called by the network thread for each incoming depth message. */</w:t>
      </w:r>
    </w:p>
    <w:p>
      <w:pPr>
        <w:spacing w:before="0" w:after="0" w:line="220" w:lineRule="exact"/>
      </w:pPr>
      <w:r>
        <w:rPr>
          <w:rFonts w:ascii="Courier New" w:hAnsi="Courier New"/>
          <w:sz w:val="16"/>
        </w:rPr>
        <w:t>void on_depth_message(std::string_view raw_msg,</w:t>
      </w:r>
    </w:p>
    <w:p>
      <w:pPr>
        <w:spacing w:before="0" w:after="0" w:line="220" w:lineRule="exact"/>
      </w:pPr>
      <w:r>
        <w:rPr>
          <w:rFonts w:ascii="Courier New" w:hAnsi="Courier New"/>
          <w:sz w:val="16"/>
        </w:rPr>
        <w:t xml:space="preserve">                      LadderBook&amp; book,</w:t>
      </w:r>
    </w:p>
    <w:p>
      <w:pPr>
        <w:spacing w:before="0" w:after="0" w:line="220" w:lineRule="exact"/>
      </w:pPr>
      <w:r>
        <w:rPr>
          <w:rFonts w:ascii="Courier New" w:hAnsi="Courier New"/>
          <w:sz w:val="16"/>
        </w:rPr>
        <w:t xml:space="preserve">                      SpscRing&lt;Signal&gt;&amp; ring,</w:t>
      </w:r>
    </w:p>
    <w:p>
      <w:pPr>
        <w:spacing w:before="0" w:after="0" w:line="220" w:lineRule="exact"/>
      </w:pPr>
      <w:r>
        <w:rPr>
          <w:rFonts w:ascii="Courier New" w:hAnsi="Courier New"/>
          <w:sz w:val="16"/>
        </w:rPr>
        <w:t xml:space="preserve">                      int64_t recv_time_ns) {</w:t>
      </w:r>
    </w:p>
    <w:p>
      <w:pPr>
        <w:spacing w:before="0" w:after="0" w:line="220" w:lineRule="exact"/>
      </w:pPr>
      <w:r>
        <w:rPr>
          <w:rFonts w:ascii="Courier New" w:hAnsi="Courier New"/>
          <w:sz w:val="16"/>
        </w:rPr>
        <w:t xml:space="preserve">    Update levels[64];</w:t>
      </w:r>
    </w:p>
    <w:p>
      <w:pPr>
        <w:spacing w:before="0" w:after="0" w:line="220" w:lineRule="exact"/>
      </w:pPr>
      <w:r>
        <w:rPr>
          <w:rFonts w:ascii="Courier New" w:hAnsi="Courier New"/>
          <w:sz w:val="16"/>
        </w:rPr>
        <w:t xml:space="preserve">    int n = parse_fast(raw_msg, levels, 64);</w:t>
      </w:r>
    </w:p>
    <w:p>
      <w:pPr>
        <w:spacing w:before="0" w:after="0" w:line="220" w:lineRule="exact"/>
      </w:pPr>
      <w:r>
        <w:rPr>
          <w:rFonts w:ascii="Courier New" w:hAnsi="Courier New"/>
          <w:sz w:val="16"/>
        </w:rPr>
        <w:t xml:space="preserve">    if (n &lt; 0) return;  // malformed</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for (int i = 0; i &lt; n; ++i)</w:t>
      </w:r>
    </w:p>
    <w:p>
      <w:pPr>
        <w:spacing w:before="0" w:after="0" w:line="220" w:lineRule="exact"/>
      </w:pPr>
      <w:r>
        <w:rPr>
          <w:rFonts w:ascii="Courier New" w:hAnsi="Courier New"/>
          <w:sz w:val="16"/>
        </w:rPr>
        <w:t xml:space="preserve">        book.apply(levels[i]);</w:t>
      </w:r>
    </w:p>
    <w:p>
      <w:pPr>
        <w:spacing w:before="0" w:after="0" w:line="220" w:lineRule="exact"/>
      </w:pPr>
      <w:r>
        <w:rPr>
          <w:rFonts w:ascii="Courier New" w:hAnsi="Courier New"/>
          <w:sz w:val="16"/>
        </w:rPr>
        <w:t xml:space="preserve"> </w:t>
      </w:r>
    </w:p>
    <w:p>
      <w:pPr>
        <w:spacing w:before="0" w:after="0" w:line="220" w:lineRule="exact"/>
      </w:pPr>
      <w:r>
        <w:rPr>
          <w:rFonts w:ascii="Courier New" w:hAnsi="Courier New"/>
          <w:sz w:val="16"/>
        </w:rPr>
        <w:t xml:space="preserve">    Signal sig;</w:t>
      </w:r>
    </w:p>
    <w:p>
      <w:pPr>
        <w:spacing w:before="0" w:after="0" w:line="220" w:lineRule="exact"/>
      </w:pPr>
      <w:r>
        <w:rPr>
          <w:rFonts w:ascii="Courier New" w:hAnsi="Courier New"/>
          <w:sz w:val="16"/>
        </w:rPr>
        <w:t xml:space="preserve">    sig.best_bid     = book.best_bid();</w:t>
      </w:r>
    </w:p>
    <w:p>
      <w:pPr>
        <w:spacing w:before="0" w:after="0" w:line="220" w:lineRule="exact"/>
      </w:pPr>
      <w:r>
        <w:rPr>
          <w:rFonts w:ascii="Courier New" w:hAnsi="Courier New"/>
          <w:sz w:val="16"/>
        </w:rPr>
        <w:t xml:space="preserve">    sig.best_ask     = book.best_ask();</w:t>
      </w:r>
    </w:p>
    <w:p>
      <w:pPr>
        <w:spacing w:before="0" w:after="0" w:line="220" w:lineRule="exact"/>
      </w:pPr>
      <w:r>
        <w:rPr>
          <w:rFonts w:ascii="Courier New" w:hAnsi="Courier New"/>
          <w:sz w:val="16"/>
        </w:rPr>
        <w:t xml:space="preserve">    sig.timestamp_ns = recv_time_ns;</w:t>
      </w:r>
    </w:p>
    <w:p>
      <w:pPr>
        <w:spacing w:before="0" w:after="0" w:line="220" w:lineRule="exact"/>
      </w:pPr>
      <w:r>
        <w:rPr>
          <w:rFonts w:ascii="Courier New" w:hAnsi="Courier New"/>
          <w:sz w:val="16"/>
        </w:rPr>
        <w:t xml:space="preserve">    ring.try_push(sig);  // non-blocking; drop if full</w:t>
      </w:r>
    </w:p>
    <w:p>
      <w:pPr>
        <w:spacing w:before="0" w:after="0" w:line="220" w:lineRule="exact"/>
      </w:pPr>
      <w:r>
        <w:rPr>
          <w:rFonts w:ascii="Courier New" w:hAnsi="Courier New"/>
          <w:sz w:val="16"/>
        </w:rPr>
        <w:t>}</w:t>
      </w:r>
    </w:p>
    <w:p>
      <w:pPr>
        <w:spacing w:before="160"/>
        <w:jc w:val="center"/>
      </w:pPr>
      <w:r>
        <w:drawing>
          <wp:inline xmlns:a="http://schemas.openxmlformats.org/drawingml/2006/main" xmlns:pic="http://schemas.openxmlformats.org/drawingml/2006/picture">
            <wp:extent cx="5029200" cy="3324386"/>
            <wp:docPr id="3" name="Picture 3"/>
            <wp:cNvGraphicFramePr>
              <a:graphicFrameLocks noChangeAspect="1"/>
            </wp:cNvGraphicFramePr>
            <a:graphic>
              <a:graphicData uri="http://schemas.openxmlformats.org/drawingml/2006/picture">
                <pic:pic>
                  <pic:nvPicPr>
                    <pic:cNvPr id="0" name="fig3_pipeline_comparison.png"/>
                    <pic:cNvPicPr/>
                  </pic:nvPicPr>
                  <pic:blipFill>
                    <a:blip r:embed="rId11"/>
                    <a:stretch>
                      <a:fillRect/>
                    </a:stretch>
                  </pic:blipFill>
                  <pic:spPr>
                    <a:xfrm>
                      <a:off x="0" y="0"/>
                      <a:ext cx="5029200" cy="3324386"/>
                    </a:xfrm>
                    <a:prstGeom prst="rect"/>
                  </pic:spPr>
                </pic:pic>
              </a:graphicData>
            </a:graphic>
          </wp:inline>
        </w:drawing>
      </w:r>
    </w:p>
    <w:p>
      <w:pPr>
        <w:spacing w:after="160"/>
        <w:jc w:val="center"/>
      </w:pPr>
      <w:r>
        <w:rPr>
          <w:rFonts w:ascii="Times New Roman" w:hAnsi="Times New Roman"/>
          <w:sz w:val="18"/>
        </w:rPr>
        <w:t>Fig. 3. Full parse-to-book pipeline latency: naive (from_chars + std::map) versus optimised (zero-copy + price ladder). Bars show p50, p95, and p99 (median of five runs).</w:t>
      </w:r>
    </w:p>
    <w:p>
      <w:pPr>
        <w:pStyle w:val="Heading2"/>
      </w:pPr>
      <w:r>
        <w:t>5.7  Compiler and System-Level Considerations</w:t>
      </w:r>
    </w:p>
    <w:p>
      <w:pPr>
        <w:pStyle w:val="BodyText"/>
        <w:ind w:firstLine="0"/>
      </w:pPr>
      <w:r>
        <w:rPr>
          <w:rFonts w:ascii="Times New Roman" w:hAnsi="Times New Roman"/>
          <w:sz w:val="20"/>
        </w:rPr>
        <w:t>Compiler settings have a measurable effect. Without optimisation (-O0), the ladder book takes 33 ns per update versus 8 ns at -O2. The compiler’s register allocation and inlining account for a 4× difference. Link-time optimisation (-flto) and profile-guided optimisation (-fprofile-generate / -fprofile-use) can yield further gains by inlining across translation units and optimising branch prediction, though we did not measure them.</w:t>
      </w:r>
    </w:p>
    <w:p>
      <w:pPr>
        <w:pStyle w:val="BodyText"/>
        <w:ind w:firstLine="283"/>
      </w:pPr>
      <w:r>
        <w:rPr>
          <w:rFonts w:ascii="Times New Roman" w:hAnsi="Times New Roman"/>
          <w:sz w:val="20"/>
        </w:rPr>
        <w:t>System-level tuning is documented in the general server literature. Li et al. [17] traced tail latency on Linux servers to background processes, scheduler behaviour, interrupt routing, power-saving states, and NUMA memory placement, and showed that removing these sources substantially reduced latency variability. For the firm’s AWS instance, the applicable techniques include:</w:t>
      </w:r>
    </w:p>
    <w:p>
      <w:pPr>
        <w:pStyle w:val="BodyText"/>
        <w:ind w:firstLine="283"/>
      </w:pPr>
      <w:r>
        <w:rPr>
          <w:rFonts w:ascii="Times New Roman" w:hAnsi="Times New Roman"/>
          <w:sz w:val="20"/>
        </w:rPr>
        <w:t>(1) CPU pinning (isolcpus + taskset): dedicate cores to the network and strategy threads, preventing the OS scheduler from migrating them. (2) Interrupt affinity: route the NIC’s interrupt to a core that does not run the trading application, so packet delivery does not preempt the critical path. (3) Disable frequency scaling: set the CPU governor to ‘performance’ mode to prevent the processor from entering low-power states that add wake-up latency. (4) Huge pages: allocate the order-book arrays and ring buffers on 2 MB huge pages to reduce TLB misses.</w:t>
      </w:r>
    </w:p>
    <w:p>
      <w:pPr>
        <w:pStyle w:val="BodyText"/>
        <w:ind w:firstLine="283"/>
      </w:pPr>
      <w:r>
        <w:rPr>
          <w:rFonts w:ascii="Times New Roman" w:hAnsi="Times New Roman"/>
          <w:sz w:val="20"/>
        </w:rPr>
        <w:t>None of these techniques was applied in our benchmarks, which ran on an ordinary desktop without thread pinning or interrupt tuning. Our numbers therefore represent a lower bound on the improvement achievable in a tuned deployment.</w:t>
      </w:r>
    </w:p>
    <w:p>
      <w:pPr>
        <w:pStyle w:val="Heading1"/>
      </w:pPr>
      <w:r>
        <w:t>6  Compound Effect: Why Microseconds Matter for the Firm</w:t>
      </w:r>
    </w:p>
    <w:p>
      <w:pPr>
        <w:pStyle w:val="BodyText"/>
        <w:ind w:firstLine="0"/>
      </w:pPr>
      <w:r>
        <w:rPr>
          <w:rFonts w:ascii="Times New Roman" w:hAnsi="Times New Roman"/>
          <w:sz w:val="20"/>
        </w:rPr>
        <w:t>A natural objection to the benchmarks in Section 5 is that the total saving, about 2.4 µs per message from the full pipeline optimisation, is roughly one thousandth of the ~2 ms average network send time from a co-located server [1]. If network jitter is three orders of magnitude larger than the processing-time improvement, how can faster software matter?</w:t>
      </w:r>
    </w:p>
    <w:p>
      <w:pPr>
        <w:pStyle w:val="BodyText"/>
        <w:ind w:firstLine="283"/>
      </w:pPr>
      <w:r>
        <w:rPr>
          <w:rFonts w:ascii="Times New Roman" w:hAnsi="Times New Roman"/>
          <w:sz w:val="20"/>
          <w:highlight w:val="yellow"/>
        </w:rPr>
        <w:t>The answer has to do with what happens during burst traffic. Normal market conditions produce a steady stream of depth updates at the configured interval (100 ms or 1,000 ms on Binance [15]). During high-volatility events such as price breakouts, liquidation cascades, or major news, the exchange’s matching engine processes a surge of orders that generates a burst of depth updates compressed into a short window. The firm’s WebSocket connection delivers these updates back-to-back, and they accumulate in the receive buffer faster than the application can process them.</w:t>
      </w:r>
    </w:p>
    <w:p>
      <w:pPr>
        <w:pStyle w:val="BodyText"/>
        <w:ind w:firstLine="283"/>
      </w:pPr>
      <w:r>
        <w:rPr>
          <w:rFonts w:ascii="Times New Roman" w:hAnsi="Times New Roman"/>
          <w:sz w:val="20"/>
          <w:highlight w:val="yellow"/>
        </w:rPr>
        <w:t>Table 9 illustrates the arithmetic. Consider a burst of 500 depth messages arriving over 200 ms (a sustained rate of 2,500 messages per second, consistent with reported activity spikes on Binance [1]). The naive pipeline processes each message in ~2.9 µs, draining the burst in 1.47 ms. The optimised pipeline processes each in ~0.49 µs (confirmed by our burst-processing benchmark, which measured a median of 490 ns per message across a 500-message burst), draining the same burst in 0.25 ms. The optimised path finishes 1.22 ms sooner. During that 1.22 ms, the optimised firm has an accurate view of the order book while the unoptimised firm is still processing stale messages.</w:t>
      </w:r>
    </w:p>
    <w:p>
      <w:pPr>
        <w:spacing w:before="160" w:after="80"/>
      </w:pPr>
      <w:r>
        <w:rPr>
          <w:rFonts w:ascii="Times New Roman" w:hAnsi="Times New Roman"/>
          <w:sz w:val="18"/>
          <w:highlight w:val="yellow"/>
        </w:rPr>
        <w:t>Table 9. Burst-traffic processing comparison. Optimised figures are from the burst benchmark (advanced_examples.cpp, Example C).</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b/>
                <w:sz w:val="18"/>
              </w:rPr>
              <w:t>Metric</w:t>
            </w:r>
          </w:p>
        </w:tc>
        <w:tc>
          <w:tcPr>
            <w:tcW w:type="dxa" w:w="2209"/>
          </w:tcPr>
          <w:p>
            <w:r/>
            <w:r>
              <w:rPr>
                <w:rFonts w:ascii="Times New Roman" w:hAnsi="Times New Roman"/>
                <w:b/>
                <w:sz w:val="18"/>
              </w:rPr>
              <w:t>Naive pipeline</w:t>
            </w:r>
          </w:p>
        </w:tc>
        <w:tc>
          <w:tcPr>
            <w:tcW w:type="dxa" w:w="2209"/>
          </w:tcPr>
          <w:p>
            <w:r/>
            <w:r>
              <w:rPr>
                <w:rFonts w:ascii="Times New Roman" w:hAnsi="Times New Roman"/>
                <w:b/>
                <w:sz w:val="18"/>
              </w:rPr>
              <w:t>Optimised pipeline</w:t>
            </w:r>
          </w:p>
        </w:tc>
        <w:tc>
          <w:tcPr>
            <w:tcW w:type="dxa" w:w="2209"/>
          </w:tcPr>
          <w:p>
            <w:r/>
            <w:r>
              <w:rPr>
                <w:rFonts w:ascii="Times New Roman" w:hAnsi="Times New Roman"/>
                <w:b/>
                <w:sz w:val="18"/>
              </w:rPr>
              <w:t>Difference</w:t>
            </w:r>
          </w:p>
        </w:tc>
      </w:tr>
      <w:tr>
        <w:tc>
          <w:tcPr>
            <w:tcW w:type="dxa" w:w="2209"/>
          </w:tcPr>
          <w:p>
            <w:r/>
            <w:r>
              <w:rPr>
                <w:rFonts w:ascii="Times New Roman" w:hAnsi="Times New Roman"/>
                <w:sz w:val="18"/>
              </w:rPr>
              <w:t>Per-message processing</w:t>
            </w:r>
          </w:p>
        </w:tc>
        <w:tc>
          <w:tcPr>
            <w:tcW w:type="dxa" w:w="2209"/>
          </w:tcPr>
          <w:p>
            <w:r/>
            <w:r>
              <w:rPr>
                <w:rFonts w:ascii="Times New Roman" w:hAnsi="Times New Roman"/>
                <w:sz w:val="18"/>
              </w:rPr>
              <w:t>2,943 ns</w:t>
            </w:r>
          </w:p>
        </w:tc>
        <w:tc>
          <w:tcPr>
            <w:tcW w:type="dxa" w:w="2209"/>
          </w:tcPr>
          <w:p>
            <w:r/>
            <w:r>
              <w:rPr>
                <w:rFonts w:ascii="Times New Roman" w:hAnsi="Times New Roman"/>
                <w:sz w:val="18"/>
              </w:rPr>
              <w:t>490 ns (measured)</w:t>
            </w:r>
          </w:p>
        </w:tc>
        <w:tc>
          <w:tcPr>
            <w:tcW w:type="dxa" w:w="2209"/>
          </w:tcPr>
          <w:p>
            <w:r/>
            <w:r>
              <w:rPr>
                <w:rFonts w:ascii="Times New Roman" w:hAnsi="Times New Roman"/>
                <w:sz w:val="18"/>
              </w:rPr>
              <w:t>2,453 ns</w:t>
            </w:r>
          </w:p>
        </w:tc>
      </w:tr>
      <w:tr>
        <w:tc>
          <w:tcPr>
            <w:tcW w:type="dxa" w:w="2209"/>
          </w:tcPr>
          <w:p>
            <w:r/>
            <w:r>
              <w:rPr>
                <w:rFonts w:ascii="Times New Roman" w:hAnsi="Times New Roman"/>
                <w:sz w:val="18"/>
              </w:rPr>
              <w:t>500-message burst drain time</w:t>
            </w:r>
          </w:p>
        </w:tc>
        <w:tc>
          <w:tcPr>
            <w:tcW w:type="dxa" w:w="2209"/>
          </w:tcPr>
          <w:p>
            <w:r/>
            <w:r>
              <w:rPr>
                <w:rFonts w:ascii="Times New Roman" w:hAnsi="Times New Roman"/>
                <w:sz w:val="18"/>
              </w:rPr>
              <w:t>1.47 ms</w:t>
            </w:r>
          </w:p>
        </w:tc>
        <w:tc>
          <w:tcPr>
            <w:tcW w:type="dxa" w:w="2209"/>
          </w:tcPr>
          <w:p>
            <w:r/>
            <w:r>
              <w:rPr>
                <w:rFonts w:ascii="Times New Roman" w:hAnsi="Times New Roman"/>
                <w:sz w:val="18"/>
              </w:rPr>
              <w:t>0.25 ms (measured)</w:t>
            </w:r>
          </w:p>
        </w:tc>
        <w:tc>
          <w:tcPr>
            <w:tcW w:type="dxa" w:w="2209"/>
          </w:tcPr>
          <w:p>
            <w:r/>
            <w:r>
              <w:rPr>
                <w:rFonts w:ascii="Times New Roman" w:hAnsi="Times New Roman"/>
                <w:sz w:val="18"/>
              </w:rPr>
              <w:t>1.22 ms</w:t>
            </w:r>
          </w:p>
        </w:tc>
      </w:tr>
      <w:tr>
        <w:tc>
          <w:tcPr>
            <w:tcW w:type="dxa" w:w="2209"/>
          </w:tcPr>
          <w:p>
            <w:r/>
            <w:r>
              <w:rPr>
                <w:rFonts w:ascii="Times New Roman" w:hAnsi="Times New Roman"/>
                <w:sz w:val="18"/>
              </w:rPr>
              <w:t>Throughput (messages/sec)</w:t>
            </w:r>
          </w:p>
        </w:tc>
        <w:tc>
          <w:tcPr>
            <w:tcW w:type="dxa" w:w="2209"/>
          </w:tcPr>
          <w:p>
            <w:r/>
            <w:r>
              <w:rPr>
                <w:rFonts w:ascii="Times New Roman" w:hAnsi="Times New Roman"/>
                <w:sz w:val="18"/>
              </w:rPr>
              <w:t>~340,000</w:t>
            </w:r>
          </w:p>
        </w:tc>
        <w:tc>
          <w:tcPr>
            <w:tcW w:type="dxa" w:w="2209"/>
          </w:tcPr>
          <w:p>
            <w:r/>
            <w:r>
              <w:rPr>
                <w:rFonts w:ascii="Times New Roman" w:hAnsi="Times New Roman"/>
                <w:sz w:val="18"/>
              </w:rPr>
              <w:t>~2,050,000 (measured)</w:t>
            </w:r>
          </w:p>
        </w:tc>
        <w:tc>
          <w:tcPr>
            <w:tcW w:type="dxa" w:w="2209"/>
          </w:tcPr>
          <w:p>
            <w:r/>
            <w:r>
              <w:rPr>
                <w:rFonts w:ascii="Times New Roman" w:hAnsi="Times New Roman"/>
                <w:sz w:val="18"/>
              </w:rPr>
              <w:t>6.0×</w:t>
            </w:r>
          </w:p>
        </w:tc>
      </w:tr>
      <w:tr>
        <w:tc>
          <w:tcPr>
            <w:tcW w:type="dxa" w:w="2209"/>
          </w:tcPr>
          <w:p>
            <w:r/>
            <w:r>
              <w:rPr>
                <w:rFonts w:ascii="Times New Roman" w:hAnsi="Times New Roman"/>
                <w:sz w:val="18"/>
              </w:rPr>
              <w:t>Queue depth after 200 ms burst</w:t>
            </w:r>
          </w:p>
        </w:tc>
        <w:tc>
          <w:tcPr>
            <w:tcW w:type="dxa" w:w="2209"/>
          </w:tcPr>
          <w:p>
            <w:r/>
            <w:r>
              <w:rPr>
                <w:rFonts w:ascii="Times New Roman" w:hAnsi="Times New Roman"/>
                <w:sz w:val="18"/>
              </w:rPr>
              <w:t>~67 msgs behind</w:t>
            </w:r>
          </w:p>
        </w:tc>
        <w:tc>
          <w:tcPr>
            <w:tcW w:type="dxa" w:w="2209"/>
          </w:tcPr>
          <w:p>
            <w:r/>
            <w:r>
              <w:rPr>
                <w:rFonts w:ascii="Times New Roman" w:hAnsi="Times New Roman"/>
                <w:sz w:val="18"/>
              </w:rPr>
              <w:t>~0 (real-time)</w:t>
            </w:r>
          </w:p>
        </w:tc>
        <w:tc>
          <w:tcPr>
            <w:tcW w:type="dxa" w:w="2209"/>
          </w:tcPr>
          <w:p>
            <w:r/>
            <w:r>
              <w:rPr>
                <w:rFonts w:ascii="Times New Roman" w:hAnsi="Times New Roman"/>
                <w:sz w:val="18"/>
              </w:rPr>
              <w:t>n/a</w:t>
            </w:r>
          </w:p>
        </w:tc>
      </w:tr>
    </w:tbl>
    <w:p>
      <w:pPr>
        <w:spacing w:after="120"/>
      </w:pPr>
      <w:r>
        <w:rPr>
          <w:rFonts w:ascii="Times New Roman" w:hAnsi="Times New Roman"/>
          <w:b w:val="0"/>
          <w:i w:val="0"/>
          <w:sz w:val="20"/>
        </w:rPr>
      </w:r>
    </w:p>
    <w:p>
      <w:pPr>
        <w:spacing w:before="160"/>
        <w:jc w:val="center"/>
      </w:pPr>
      <w:r>
        <w:drawing>
          <wp:inline xmlns:a="http://schemas.openxmlformats.org/drawingml/2006/main" xmlns:pic="http://schemas.openxmlformats.org/drawingml/2006/picture">
            <wp:extent cx="4572000" cy="2586673"/>
            <wp:docPr id="4" name="Picture 4"/>
            <wp:cNvGraphicFramePr>
              <a:graphicFrameLocks noChangeAspect="1"/>
            </wp:cNvGraphicFramePr>
            <a:graphic>
              <a:graphicData uri="http://schemas.openxmlformats.org/drawingml/2006/picture">
                <pic:pic>
                  <pic:nvPicPr>
                    <pic:cNvPr id="0" name="fig4_burst_drain.png"/>
                    <pic:cNvPicPr/>
                  </pic:nvPicPr>
                  <pic:blipFill>
                    <a:blip r:embed="rId12"/>
                    <a:stretch>
                      <a:fillRect/>
                    </a:stretch>
                  </pic:blipFill>
                  <pic:spPr>
                    <a:xfrm>
                      <a:off x="0" y="0"/>
                      <a:ext cx="4572000" cy="2586673"/>
                    </a:xfrm>
                    <a:prstGeom prst="rect"/>
                  </pic:spPr>
                </pic:pic>
              </a:graphicData>
            </a:graphic>
          </wp:inline>
        </w:drawing>
      </w:r>
    </w:p>
    <w:p>
      <w:pPr>
        <w:spacing w:after="160"/>
        <w:jc w:val="center"/>
      </w:pPr>
      <w:r>
        <w:rPr>
          <w:rFonts w:ascii="Times New Roman" w:hAnsi="Times New Roman"/>
          <w:sz w:val="18"/>
          <w:highlight w:val="yellow"/>
        </w:rPr>
        <w:t>Fig. 4. Queue drain during a 500-message burst. The optimised pipeline finishes 1.22 ms before the baseline, comparable to the co-located network round-trip.</w:t>
      </w:r>
    </w:p>
    <w:p>
      <w:pPr>
        <w:spacing w:before="160"/>
        <w:jc w:val="center"/>
      </w:pPr>
      <w:r>
        <w:drawing>
          <wp:inline xmlns:a="http://schemas.openxmlformats.org/drawingml/2006/main" xmlns:pic="http://schemas.openxmlformats.org/drawingml/2006/picture">
            <wp:extent cx="4389120" cy="2674620"/>
            <wp:docPr id="5" name="Picture 5"/>
            <wp:cNvGraphicFramePr>
              <a:graphicFrameLocks noChangeAspect="1"/>
            </wp:cNvGraphicFramePr>
            <a:graphic>
              <a:graphicData uri="http://schemas.openxmlformats.org/drawingml/2006/picture">
                <pic:pic>
                  <pic:nvPicPr>
                    <pic:cNvPr id="0" name="fig6_burst_throughput.png"/>
                    <pic:cNvPicPr/>
                  </pic:nvPicPr>
                  <pic:blipFill>
                    <a:blip r:embed="rId13"/>
                    <a:stretch>
                      <a:fillRect/>
                    </a:stretch>
                  </pic:blipFill>
                  <pic:spPr>
                    <a:xfrm>
                      <a:off x="0" y="0"/>
                      <a:ext cx="4389120" cy="2674620"/>
                    </a:xfrm>
                    <a:prstGeom prst="rect"/>
                  </pic:spPr>
                </pic:pic>
              </a:graphicData>
            </a:graphic>
          </wp:inline>
        </w:drawing>
      </w:r>
    </w:p>
    <w:p>
      <w:pPr>
        <w:spacing w:after="160"/>
        <w:jc w:val="center"/>
      </w:pPr>
      <w:r>
        <w:rPr>
          <w:rFonts w:ascii="Times New Roman" w:hAnsi="Times New Roman"/>
          <w:sz w:val="18"/>
          <w:highlight w:val="yellow"/>
        </w:rPr>
        <w:t>Fig. 5. Optimised pipeline: per-message latency and throughput remain stable across burst sizes of 10 to 1,000 messages (~2.05 M msg/s sustained). Measured data from advanced_examples.cpp, Example C.</w:t>
      </w:r>
    </w:p>
    <w:p>
      <w:pPr>
        <w:pStyle w:val="BodyText"/>
        <w:ind w:firstLine="283"/>
      </w:pPr>
      <w:r>
        <w:rPr>
          <w:rFonts w:ascii="Times New Roman" w:hAnsi="Times New Roman"/>
          <w:sz w:val="20"/>
          <w:highlight w:val="yellow"/>
        </w:rPr>
        <w:t>This 1.22 ms gap is no longer negligible relative to the ~2 ms network delay. It is the difference between seeing the post-burst order book in near real time and seeing it with a stale, pre-burst snapshot. Put differently, it is the difference between cancelling a stale quote before it is picked off and losing the spread. For a market maker quoting $50,000 BTC at a 2-tick ($0.02) spread, one adverse fill per burst event costs the notional loss on the position; across hundreds of burst events per day, these losses compound into the firm’s primary operating cost.</w:t>
      </w:r>
    </w:p>
    <w:p>
      <w:pPr>
        <w:pStyle w:val="BodyText"/>
        <w:ind w:firstLine="283"/>
      </w:pPr>
      <w:r>
        <w:rPr>
          <w:rFonts w:ascii="Times New Roman" w:hAnsi="Times New Roman"/>
          <w:sz w:val="20"/>
          <w:highlight w:val="yellow"/>
        </w:rPr>
        <w:t>There are limits to this argument, though. It assumes the firm’s competitors are running the naive pipeline, which may not be true. If all competitors optimise, the advantage disappears, which is exactly the arms-race dynamic documented by Budish et al. [4]. It also assumes the exchange’s snapshot interval does not dominate: if the depth stream updates only once per second, processing each update in 0.5 µs versus 3 µs changes nothing visible. The argument is strongest during periods of genuine burst traffic with sub-100 ms update intervals.</w:t>
      </w:r>
    </w:p>
    <w:p>
      <w:pPr>
        <w:pStyle w:val="Heading1"/>
      </w:pPr>
      <w:r>
        <w:t>7  Comparative Analysis of Existing Research</w:t>
      </w:r>
    </w:p>
    <w:p>
      <w:pPr>
        <w:pStyle w:val="BodyText"/>
        <w:ind w:firstLine="0"/>
      </w:pPr>
      <w:r>
        <w:rPr>
          <w:rFonts w:ascii="Times New Roman" w:hAnsi="Times New Roman"/>
          <w:sz w:val="20"/>
        </w:rPr>
        <w:t>Table 10 compares the twelve reviewed studies along four dimensions: what is measured, the market studied, the type of evidence, and whether the findings are directly applicable to our representative firm.</w:t>
      </w:r>
    </w:p>
    <w:p>
      <w:pPr>
        <w:spacing w:before="160" w:after="80"/>
      </w:pPr>
      <w:r>
        <w:rPr>
          <w:rFonts w:ascii="Times New Roman" w:hAnsi="Times New Roman"/>
          <w:sz w:val="18"/>
        </w:rPr>
        <w:t>Table 10. Comparison of the twelve reviewed studies and their applicability to a crypto prop firm.</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
              <w:rPr>
                <w:rFonts w:ascii="Times New Roman" w:hAnsi="Times New Roman"/>
                <w:b/>
                <w:sz w:val="18"/>
              </w:rPr>
              <w:t>Study</w:t>
            </w:r>
          </w:p>
        </w:tc>
        <w:tc>
          <w:tcPr>
            <w:tcW w:type="dxa" w:w="1768"/>
          </w:tcPr>
          <w:p>
            <w:r/>
            <w:r>
              <w:rPr>
                <w:rFonts w:ascii="Times New Roman" w:hAnsi="Times New Roman"/>
                <w:b/>
                <w:sz w:val="18"/>
              </w:rPr>
              <w:t>What is measured</w:t>
            </w:r>
          </w:p>
        </w:tc>
        <w:tc>
          <w:tcPr>
            <w:tcW w:type="dxa" w:w="1768"/>
          </w:tcPr>
          <w:p>
            <w:r/>
            <w:r>
              <w:rPr>
                <w:rFonts w:ascii="Times New Roman" w:hAnsi="Times New Roman"/>
                <w:b/>
                <w:sz w:val="18"/>
              </w:rPr>
              <w:t>Market</w:t>
            </w:r>
          </w:p>
        </w:tc>
        <w:tc>
          <w:tcPr>
            <w:tcW w:type="dxa" w:w="1768"/>
          </w:tcPr>
          <w:p>
            <w:r/>
            <w:r>
              <w:rPr>
                <w:rFonts w:ascii="Times New Roman" w:hAnsi="Times New Roman"/>
                <w:b/>
                <w:sz w:val="18"/>
              </w:rPr>
              <w:t>Evidence type</w:t>
            </w:r>
          </w:p>
        </w:tc>
        <w:tc>
          <w:tcPr>
            <w:tcW w:type="dxa" w:w="1768"/>
          </w:tcPr>
          <w:p>
            <w:r/>
            <w:r>
              <w:rPr>
                <w:rFonts w:ascii="Times New Roman" w:hAnsi="Times New Roman"/>
                <w:b/>
                <w:sz w:val="18"/>
              </w:rPr>
              <w:t>Applicability to firm</w:t>
            </w:r>
          </w:p>
        </w:tc>
      </w:tr>
      <w:tr>
        <w:tc>
          <w:tcPr>
            <w:tcW w:type="dxa" w:w="1768"/>
          </w:tcPr>
          <w:p>
            <w:r/>
            <w:r>
              <w:rPr>
                <w:rFonts w:ascii="Times New Roman" w:hAnsi="Times New Roman"/>
                <w:sz w:val="18"/>
              </w:rPr>
              <w:t>Albers et al. [1]</w:t>
            </w:r>
          </w:p>
        </w:tc>
        <w:tc>
          <w:tcPr>
            <w:tcW w:type="dxa" w:w="1768"/>
          </w:tcPr>
          <w:p>
            <w:r/>
            <w:r>
              <w:rPr>
                <w:rFonts w:ascii="Times New Roman" w:hAnsi="Times New Roman"/>
                <w:sz w:val="18"/>
              </w:rPr>
              <w:t>Latency gap, execution outcomes</w:t>
            </w:r>
          </w:p>
        </w:tc>
        <w:tc>
          <w:tcPr>
            <w:tcW w:type="dxa" w:w="1768"/>
          </w:tcPr>
          <w:p>
            <w:r/>
            <w:r>
              <w:rPr>
                <w:rFonts w:ascii="Times New Roman" w:hAnsi="Times New Roman"/>
                <w:sz w:val="18"/>
              </w:rPr>
              <w:t>Binance, Bybit (crypto)</w:t>
            </w:r>
          </w:p>
        </w:tc>
        <w:tc>
          <w:tcPr>
            <w:tcW w:type="dxa" w:w="1768"/>
          </w:tcPr>
          <w:p>
            <w:r/>
            <w:r>
              <w:rPr>
                <w:rFonts w:ascii="Times New Roman" w:hAnsi="Times New Roman"/>
                <w:sz w:val="18"/>
              </w:rPr>
              <w:t>Live experiment</w:t>
            </w:r>
          </w:p>
        </w:tc>
        <w:tc>
          <w:tcPr>
            <w:tcW w:type="dxa" w:w="1768"/>
          </w:tcPr>
          <w:p>
            <w:r/>
            <w:r>
              <w:rPr>
                <w:rFonts w:ascii="Times New Roman" w:hAnsi="Times New Roman"/>
                <w:sz w:val="18"/>
              </w:rPr>
              <w:t>Direct: same exchanges</w:t>
            </w:r>
          </w:p>
        </w:tc>
      </w:tr>
      <w:tr>
        <w:tc>
          <w:tcPr>
            <w:tcW w:type="dxa" w:w="1768"/>
          </w:tcPr>
          <w:p>
            <w:r/>
            <w:r>
              <w:rPr>
                <w:rFonts w:ascii="Times New Roman" w:hAnsi="Times New Roman"/>
                <w:sz w:val="18"/>
              </w:rPr>
              <w:t>Moallemi &amp; Sağlam [2]</w:t>
            </w:r>
          </w:p>
        </w:tc>
        <w:tc>
          <w:tcPr>
            <w:tcW w:type="dxa" w:w="1768"/>
          </w:tcPr>
          <w:p>
            <w:r/>
            <w:r>
              <w:rPr>
                <w:rFonts w:ascii="Times New Roman" w:hAnsi="Times New Roman"/>
                <w:sz w:val="18"/>
              </w:rPr>
              <w:t>Cost of latency (model)</w:t>
            </w:r>
          </w:p>
        </w:tc>
        <w:tc>
          <w:tcPr>
            <w:tcW w:type="dxa" w:w="1768"/>
          </w:tcPr>
          <w:p>
            <w:r/>
            <w:r>
              <w:rPr>
                <w:rFonts w:ascii="Times New Roman" w:hAnsi="Times New Roman"/>
                <w:sz w:val="18"/>
              </w:rPr>
              <w:t>Equity (theoretical)</w:t>
            </w:r>
          </w:p>
        </w:tc>
        <w:tc>
          <w:tcPr>
            <w:tcW w:type="dxa" w:w="1768"/>
          </w:tcPr>
          <w:p>
            <w:r/>
            <w:r>
              <w:rPr>
                <w:rFonts w:ascii="Times New Roman" w:hAnsi="Times New Roman"/>
                <w:sz w:val="18"/>
              </w:rPr>
              <w:t>Analytical</w:t>
            </w:r>
          </w:p>
        </w:tc>
        <w:tc>
          <w:tcPr>
            <w:tcW w:type="dxa" w:w="1768"/>
          </w:tcPr>
          <w:p>
            <w:r/>
            <w:r>
              <w:rPr>
                <w:rFonts w:ascii="Times New Roman" w:hAnsi="Times New Roman"/>
                <w:sz w:val="18"/>
              </w:rPr>
              <w:t>Framework: cost estimation</w:t>
            </w:r>
          </w:p>
        </w:tc>
      </w:tr>
      <w:tr>
        <w:tc>
          <w:tcPr>
            <w:tcW w:type="dxa" w:w="1768"/>
          </w:tcPr>
          <w:p>
            <w:r/>
            <w:r>
              <w:rPr>
                <w:rFonts w:ascii="Times New Roman" w:hAnsi="Times New Roman"/>
                <w:sz w:val="18"/>
              </w:rPr>
              <w:t>Baron et al. [3]</w:t>
            </w:r>
          </w:p>
        </w:tc>
        <w:tc>
          <w:tcPr>
            <w:tcW w:type="dxa" w:w="1768"/>
          </w:tcPr>
          <w:p>
            <w:r/>
            <w:r>
              <w:rPr>
                <w:rFonts w:ascii="Times New Roman" w:hAnsi="Times New Roman"/>
                <w:sz w:val="18"/>
              </w:rPr>
              <w:t>Speed vs. returns</w:t>
            </w:r>
          </w:p>
        </w:tc>
        <w:tc>
          <w:tcPr>
            <w:tcW w:type="dxa" w:w="1768"/>
          </w:tcPr>
          <w:p>
            <w:r/>
            <w:r>
              <w:rPr>
                <w:rFonts w:ascii="Times New Roman" w:hAnsi="Times New Roman"/>
                <w:sz w:val="18"/>
              </w:rPr>
              <w:t>Equity</w:t>
            </w:r>
          </w:p>
        </w:tc>
        <w:tc>
          <w:tcPr>
            <w:tcW w:type="dxa" w:w="1768"/>
          </w:tcPr>
          <w:p>
            <w:r/>
            <w:r>
              <w:rPr>
                <w:rFonts w:ascii="Times New Roman" w:hAnsi="Times New Roman"/>
                <w:sz w:val="18"/>
              </w:rPr>
              <w:t>Empirical</w:t>
            </w:r>
          </w:p>
        </w:tc>
        <w:tc>
          <w:tcPr>
            <w:tcW w:type="dxa" w:w="1768"/>
          </w:tcPr>
          <w:p>
            <w:r/>
            <w:r>
              <w:rPr>
                <w:rFonts w:ascii="Times New Roman" w:hAnsi="Times New Roman"/>
                <w:sz w:val="18"/>
              </w:rPr>
              <w:t>Indirect: different venue</w:t>
            </w:r>
          </w:p>
        </w:tc>
      </w:tr>
      <w:tr>
        <w:tc>
          <w:tcPr>
            <w:tcW w:type="dxa" w:w="1768"/>
          </w:tcPr>
          <w:p>
            <w:r/>
            <w:r>
              <w:rPr>
                <w:rFonts w:ascii="Times New Roman" w:hAnsi="Times New Roman"/>
                <w:sz w:val="18"/>
              </w:rPr>
              <w:t>Budish et al. [4]</w:t>
            </w:r>
          </w:p>
        </w:tc>
        <w:tc>
          <w:tcPr>
            <w:tcW w:type="dxa" w:w="1768"/>
          </w:tcPr>
          <w:p>
            <w:r/>
            <w:r>
              <w:rPr>
                <w:rFonts w:ascii="Times New Roman" w:hAnsi="Times New Roman"/>
                <w:sz w:val="18"/>
              </w:rPr>
              <w:t>Arms-race dynamics</w:t>
            </w:r>
          </w:p>
        </w:tc>
        <w:tc>
          <w:tcPr>
            <w:tcW w:type="dxa" w:w="1768"/>
          </w:tcPr>
          <w:p>
            <w:r/>
            <w:r>
              <w:rPr>
                <w:rFonts w:ascii="Times New Roman" w:hAnsi="Times New Roman"/>
                <w:sz w:val="18"/>
              </w:rPr>
              <w:t>Equity</w:t>
            </w:r>
          </w:p>
        </w:tc>
        <w:tc>
          <w:tcPr>
            <w:tcW w:type="dxa" w:w="1768"/>
          </w:tcPr>
          <w:p>
            <w:r/>
            <w:r>
              <w:rPr>
                <w:rFonts w:ascii="Times New Roman" w:hAnsi="Times New Roman"/>
                <w:sz w:val="18"/>
              </w:rPr>
              <w:t>Empirical + model</w:t>
            </w:r>
          </w:p>
        </w:tc>
        <w:tc>
          <w:tcPr>
            <w:tcW w:type="dxa" w:w="1768"/>
          </w:tcPr>
          <w:p>
            <w:r/>
            <w:r>
              <w:rPr>
                <w:rFonts w:ascii="Times New Roman" w:hAnsi="Times New Roman"/>
                <w:sz w:val="18"/>
              </w:rPr>
              <w:t>Indirect: design insight</w:t>
            </w:r>
          </w:p>
        </w:tc>
      </w:tr>
      <w:tr>
        <w:tc>
          <w:tcPr>
            <w:tcW w:type="dxa" w:w="1768"/>
          </w:tcPr>
          <w:p>
            <w:r/>
            <w:r>
              <w:rPr>
                <w:rFonts w:ascii="Times New Roman" w:hAnsi="Times New Roman"/>
                <w:sz w:val="18"/>
              </w:rPr>
              <w:t>Makarov &amp; Schoar [5]</w:t>
            </w:r>
          </w:p>
        </w:tc>
        <w:tc>
          <w:tcPr>
            <w:tcW w:type="dxa" w:w="1768"/>
          </w:tcPr>
          <w:p>
            <w:r/>
            <w:r>
              <w:rPr>
                <w:rFonts w:ascii="Times New Roman" w:hAnsi="Times New Roman"/>
                <w:sz w:val="18"/>
              </w:rPr>
              <w:t>Cross-exchange arbitrage</w:t>
            </w:r>
          </w:p>
        </w:tc>
        <w:tc>
          <w:tcPr>
            <w:tcW w:type="dxa" w:w="1768"/>
          </w:tcPr>
          <w:p>
            <w:r/>
            <w:r>
              <w:rPr>
                <w:rFonts w:ascii="Times New Roman" w:hAnsi="Times New Roman"/>
                <w:sz w:val="18"/>
              </w:rPr>
              <w:t>Crypto</w:t>
            </w:r>
          </w:p>
        </w:tc>
        <w:tc>
          <w:tcPr>
            <w:tcW w:type="dxa" w:w="1768"/>
          </w:tcPr>
          <w:p>
            <w:r/>
            <w:r>
              <w:rPr>
                <w:rFonts w:ascii="Times New Roman" w:hAnsi="Times New Roman"/>
                <w:sz w:val="18"/>
              </w:rPr>
              <w:t>Empirical</w:t>
            </w:r>
          </w:p>
        </w:tc>
        <w:tc>
          <w:tcPr>
            <w:tcW w:type="dxa" w:w="1768"/>
          </w:tcPr>
          <w:p>
            <w:r/>
            <w:r>
              <w:rPr>
                <w:rFonts w:ascii="Times New Roman" w:hAnsi="Times New Roman"/>
                <w:sz w:val="18"/>
              </w:rPr>
              <w:t>Direct: same market</w:t>
            </w:r>
          </w:p>
        </w:tc>
      </w:tr>
      <w:tr>
        <w:tc>
          <w:tcPr>
            <w:tcW w:type="dxa" w:w="1768"/>
          </w:tcPr>
          <w:p>
            <w:r/>
            <w:r>
              <w:rPr>
                <w:rFonts w:ascii="Times New Roman" w:hAnsi="Times New Roman"/>
                <w:sz w:val="18"/>
              </w:rPr>
              <w:t>Hautsch et al. [6]</w:t>
            </w:r>
          </w:p>
        </w:tc>
        <w:tc>
          <w:tcPr>
            <w:tcW w:type="dxa" w:w="1768"/>
          </w:tcPr>
          <w:p>
            <w:r/>
            <w:r>
              <w:rPr>
                <w:rFonts w:ascii="Times New Roman" w:hAnsi="Times New Roman"/>
                <w:sz w:val="18"/>
              </w:rPr>
              <w:t>Settlement latency</w:t>
            </w:r>
          </w:p>
        </w:tc>
        <w:tc>
          <w:tcPr>
            <w:tcW w:type="dxa" w:w="1768"/>
          </w:tcPr>
          <w:p>
            <w:r/>
            <w:r>
              <w:rPr>
                <w:rFonts w:ascii="Times New Roman" w:hAnsi="Times New Roman"/>
                <w:sz w:val="18"/>
              </w:rPr>
              <w:t>Crypto</w:t>
            </w:r>
          </w:p>
        </w:tc>
        <w:tc>
          <w:tcPr>
            <w:tcW w:type="dxa" w:w="1768"/>
          </w:tcPr>
          <w:p>
            <w:r/>
            <w:r>
              <w:rPr>
                <w:rFonts w:ascii="Times New Roman" w:hAnsi="Times New Roman"/>
                <w:sz w:val="18"/>
              </w:rPr>
              <w:t>Empirical</w:t>
            </w:r>
          </w:p>
        </w:tc>
        <w:tc>
          <w:tcPr>
            <w:tcW w:type="dxa" w:w="1768"/>
          </w:tcPr>
          <w:p>
            <w:r/>
            <w:r>
              <w:rPr>
                <w:rFonts w:ascii="Times New Roman" w:hAnsi="Times New Roman"/>
                <w:sz w:val="18"/>
              </w:rPr>
              <w:t>Direct: settlement risk</w:t>
            </w:r>
          </w:p>
        </w:tc>
      </w:tr>
      <w:tr>
        <w:tc>
          <w:tcPr>
            <w:tcW w:type="dxa" w:w="1768"/>
          </w:tcPr>
          <w:p>
            <w:r/>
            <w:r>
              <w:rPr>
                <w:rFonts w:ascii="Times New Roman" w:hAnsi="Times New Roman"/>
                <w:sz w:val="18"/>
              </w:rPr>
              <w:t>Brogaard et al. [7]</w:t>
            </w:r>
          </w:p>
        </w:tc>
        <w:tc>
          <w:tcPr>
            <w:tcW w:type="dxa" w:w="1768"/>
          </w:tcPr>
          <w:p>
            <w:r/>
            <w:r>
              <w:rPr>
                <w:rFonts w:ascii="Times New Roman" w:hAnsi="Times New Roman"/>
                <w:sz w:val="18"/>
              </w:rPr>
              <w:t>Co-location and liquidity</w:t>
            </w:r>
          </w:p>
        </w:tc>
        <w:tc>
          <w:tcPr>
            <w:tcW w:type="dxa" w:w="1768"/>
          </w:tcPr>
          <w:p>
            <w:r/>
            <w:r>
              <w:rPr>
                <w:rFonts w:ascii="Times New Roman" w:hAnsi="Times New Roman"/>
                <w:sz w:val="18"/>
              </w:rPr>
              <w:t>Equity</w:t>
            </w:r>
          </w:p>
        </w:tc>
        <w:tc>
          <w:tcPr>
            <w:tcW w:type="dxa" w:w="1768"/>
          </w:tcPr>
          <w:p>
            <w:r/>
            <w:r>
              <w:rPr>
                <w:rFonts w:ascii="Times New Roman" w:hAnsi="Times New Roman"/>
                <w:sz w:val="18"/>
              </w:rPr>
              <w:t>Empirical</w:t>
            </w:r>
          </w:p>
        </w:tc>
        <w:tc>
          <w:tcPr>
            <w:tcW w:type="dxa" w:w="1768"/>
          </w:tcPr>
          <w:p>
            <w:r/>
            <w:r>
              <w:rPr>
                <w:rFonts w:ascii="Times New Roman" w:hAnsi="Times New Roman"/>
                <w:sz w:val="18"/>
              </w:rPr>
              <w:t>Indirect: co-location value</w:t>
            </w:r>
          </w:p>
        </w:tc>
      </w:tr>
      <w:tr>
        <w:tc>
          <w:tcPr>
            <w:tcW w:type="dxa" w:w="1768"/>
          </w:tcPr>
          <w:p>
            <w:r/>
            <w:r>
              <w:rPr>
                <w:rFonts w:ascii="Times New Roman" w:hAnsi="Times New Roman"/>
                <w:sz w:val="18"/>
              </w:rPr>
              <w:t>Decker &amp; Wattenhofer [8]</w:t>
            </w:r>
          </w:p>
        </w:tc>
        <w:tc>
          <w:tcPr>
            <w:tcW w:type="dxa" w:w="1768"/>
          </w:tcPr>
          <w:p>
            <w:r/>
            <w:r>
              <w:rPr>
                <w:rFonts w:ascii="Times New Roman" w:hAnsi="Times New Roman"/>
                <w:sz w:val="18"/>
              </w:rPr>
              <w:t>BTC propagation delay</w:t>
            </w:r>
          </w:p>
        </w:tc>
        <w:tc>
          <w:tcPr>
            <w:tcW w:type="dxa" w:w="1768"/>
          </w:tcPr>
          <w:p>
            <w:r/>
            <w:r>
              <w:rPr>
                <w:rFonts w:ascii="Times New Roman" w:hAnsi="Times New Roman"/>
                <w:sz w:val="18"/>
              </w:rPr>
              <w:t>Bitcoin network</w:t>
            </w:r>
          </w:p>
        </w:tc>
        <w:tc>
          <w:tcPr>
            <w:tcW w:type="dxa" w:w="1768"/>
          </w:tcPr>
          <w:p>
            <w:r/>
            <w:r>
              <w:rPr>
                <w:rFonts w:ascii="Times New Roman" w:hAnsi="Times New Roman"/>
                <w:sz w:val="18"/>
              </w:rPr>
              <w:t>Empirical</w:t>
            </w:r>
          </w:p>
        </w:tc>
        <w:tc>
          <w:tcPr>
            <w:tcW w:type="dxa" w:w="1768"/>
          </w:tcPr>
          <w:p>
            <w:r/>
            <w:r>
              <w:rPr>
                <w:rFonts w:ascii="Times New Roman" w:hAnsi="Times New Roman"/>
                <w:sz w:val="18"/>
              </w:rPr>
              <w:t>Background only</w:t>
            </w:r>
          </w:p>
        </w:tc>
      </w:tr>
      <w:tr>
        <w:tc>
          <w:tcPr>
            <w:tcW w:type="dxa" w:w="1768"/>
          </w:tcPr>
          <w:p>
            <w:r/>
            <w:r>
              <w:rPr>
                <w:rFonts w:ascii="Times New Roman" w:hAnsi="Times New Roman"/>
                <w:sz w:val="18"/>
              </w:rPr>
              <w:t>Gupta et al. [9]</w:t>
            </w:r>
          </w:p>
        </w:tc>
        <w:tc>
          <w:tcPr>
            <w:tcW w:type="dxa" w:w="1768"/>
          </w:tcPr>
          <w:p>
            <w:r/>
            <w:r>
              <w:rPr>
                <w:rFonts w:ascii="Times New Roman" w:hAnsi="Times New Roman"/>
                <w:sz w:val="18"/>
              </w:rPr>
              <w:t>Cloud exchange fairness</w:t>
            </w:r>
          </w:p>
        </w:tc>
        <w:tc>
          <w:tcPr>
            <w:tcW w:type="dxa" w:w="1768"/>
          </w:tcPr>
          <w:p>
            <w:r/>
            <w:r>
              <w:rPr>
                <w:rFonts w:ascii="Times New Roman" w:hAnsi="Times New Roman"/>
                <w:sz w:val="18"/>
              </w:rPr>
              <w:t>Simulated</w:t>
            </w:r>
          </w:p>
        </w:tc>
        <w:tc>
          <w:tcPr>
            <w:tcW w:type="dxa" w:w="1768"/>
          </w:tcPr>
          <w:p>
            <w:r/>
            <w:r>
              <w:rPr>
                <w:rFonts w:ascii="Times New Roman" w:hAnsi="Times New Roman"/>
                <w:sz w:val="18"/>
              </w:rPr>
              <w:t>Prototype</w:t>
            </w:r>
          </w:p>
        </w:tc>
        <w:tc>
          <w:tcPr>
            <w:tcW w:type="dxa" w:w="1768"/>
          </w:tcPr>
          <w:p>
            <w:r/>
            <w:r>
              <w:rPr>
                <w:rFonts w:ascii="Times New Roman" w:hAnsi="Times New Roman"/>
                <w:sz w:val="18"/>
              </w:rPr>
              <w:t>Design insight</w:t>
            </w:r>
          </w:p>
        </w:tc>
      </w:tr>
      <w:tr>
        <w:tc>
          <w:tcPr>
            <w:tcW w:type="dxa" w:w="1768"/>
          </w:tcPr>
          <w:p>
            <w:r/>
            <w:r>
              <w:rPr>
                <w:rFonts w:ascii="Times New Roman" w:hAnsi="Times New Roman"/>
                <w:sz w:val="18"/>
              </w:rPr>
              <w:t>Dvořák &amp; Kořenek [10]</w:t>
            </w:r>
          </w:p>
        </w:tc>
        <w:tc>
          <w:tcPr>
            <w:tcW w:type="dxa" w:w="1768"/>
          </w:tcPr>
          <w:p>
            <w:r/>
            <w:r>
              <w:rPr>
                <w:rFonts w:ascii="Times New Roman" w:hAnsi="Times New Roman"/>
                <w:sz w:val="18"/>
              </w:rPr>
              <w:t>FPGA order book</w:t>
            </w:r>
          </w:p>
        </w:tc>
        <w:tc>
          <w:tcPr>
            <w:tcW w:type="dxa" w:w="1768"/>
          </w:tcPr>
          <w:p>
            <w:r/>
            <w:r>
              <w:rPr>
                <w:rFonts w:ascii="Times New Roman" w:hAnsi="Times New Roman"/>
                <w:sz w:val="18"/>
              </w:rPr>
              <w:t>Equity feeds</w:t>
            </w:r>
          </w:p>
        </w:tc>
        <w:tc>
          <w:tcPr>
            <w:tcW w:type="dxa" w:w="1768"/>
          </w:tcPr>
          <w:p>
            <w:r/>
            <w:r>
              <w:rPr>
                <w:rFonts w:ascii="Times New Roman" w:hAnsi="Times New Roman"/>
                <w:sz w:val="18"/>
              </w:rPr>
              <w:t>Laboratory</w:t>
            </w:r>
          </w:p>
        </w:tc>
        <w:tc>
          <w:tcPr>
            <w:tcW w:type="dxa" w:w="1768"/>
          </w:tcPr>
          <w:p>
            <w:r/>
            <w:r>
              <w:rPr>
                <w:rFonts w:ascii="Times New Roman" w:hAnsi="Times New Roman"/>
                <w:sz w:val="18"/>
              </w:rPr>
              <w:t>Design pattern: data structure</w:t>
            </w:r>
          </w:p>
        </w:tc>
      </w:tr>
      <w:tr>
        <w:tc>
          <w:tcPr>
            <w:tcW w:type="dxa" w:w="1768"/>
          </w:tcPr>
          <w:p>
            <w:r/>
            <w:r>
              <w:rPr>
                <w:rFonts w:ascii="Times New Roman" w:hAnsi="Times New Roman"/>
                <w:sz w:val="18"/>
              </w:rPr>
              <w:t>Lockwood et al. [11]</w:t>
            </w:r>
          </w:p>
        </w:tc>
        <w:tc>
          <w:tcPr>
            <w:tcW w:type="dxa" w:w="1768"/>
          </w:tcPr>
          <w:p>
            <w:r/>
            <w:r>
              <w:rPr>
                <w:rFonts w:ascii="Times New Roman" w:hAnsi="Times New Roman"/>
                <w:sz w:val="18"/>
              </w:rPr>
              <w:t>FPGA market-data library</w:t>
            </w:r>
          </w:p>
        </w:tc>
        <w:tc>
          <w:tcPr>
            <w:tcW w:type="dxa" w:w="1768"/>
          </w:tcPr>
          <w:p>
            <w:r/>
            <w:r>
              <w:rPr>
                <w:rFonts w:ascii="Times New Roman" w:hAnsi="Times New Roman"/>
                <w:sz w:val="18"/>
              </w:rPr>
              <w:t>Equity feeds</w:t>
            </w:r>
          </w:p>
        </w:tc>
        <w:tc>
          <w:tcPr>
            <w:tcW w:type="dxa" w:w="1768"/>
          </w:tcPr>
          <w:p>
            <w:r/>
            <w:r>
              <w:rPr>
                <w:rFonts w:ascii="Times New Roman" w:hAnsi="Times New Roman"/>
                <w:sz w:val="18"/>
              </w:rPr>
              <w:t>Laboratory</w:t>
            </w:r>
          </w:p>
        </w:tc>
        <w:tc>
          <w:tcPr>
            <w:tcW w:type="dxa" w:w="1768"/>
          </w:tcPr>
          <w:p>
            <w:r/>
            <w:r>
              <w:rPr>
                <w:rFonts w:ascii="Times New Roman" w:hAnsi="Times New Roman"/>
                <w:sz w:val="18"/>
              </w:rPr>
              <w:t>Design pattern: parsing</w:t>
            </w:r>
          </w:p>
        </w:tc>
      </w:tr>
      <w:tr>
        <w:tc>
          <w:tcPr>
            <w:tcW w:type="dxa" w:w="1768"/>
          </w:tcPr>
          <w:p>
            <w:r/>
            <w:r>
              <w:rPr>
                <w:rFonts w:ascii="Times New Roman" w:hAnsi="Times New Roman"/>
                <w:sz w:val="18"/>
              </w:rPr>
              <w:t>Høiland-Jørgensen et al. [12]</w:t>
            </w:r>
          </w:p>
        </w:tc>
        <w:tc>
          <w:tcPr>
            <w:tcW w:type="dxa" w:w="1768"/>
          </w:tcPr>
          <w:p>
            <w:r/>
            <w:r>
              <w:rPr>
                <w:rFonts w:ascii="Times New Roman" w:hAnsi="Times New Roman"/>
                <w:sz w:val="18"/>
              </w:rPr>
              <w:t>XDP packet processing</w:t>
            </w:r>
          </w:p>
        </w:tc>
        <w:tc>
          <w:tcPr>
            <w:tcW w:type="dxa" w:w="1768"/>
          </w:tcPr>
          <w:p>
            <w:r/>
            <w:r>
              <w:rPr>
                <w:rFonts w:ascii="Times New Roman" w:hAnsi="Times New Roman"/>
                <w:sz w:val="18"/>
              </w:rPr>
              <w:t>General networking</w:t>
            </w:r>
          </w:p>
        </w:tc>
        <w:tc>
          <w:tcPr>
            <w:tcW w:type="dxa" w:w="1768"/>
          </w:tcPr>
          <w:p>
            <w:r/>
            <w:r>
              <w:rPr>
                <w:rFonts w:ascii="Times New Roman" w:hAnsi="Times New Roman"/>
                <w:sz w:val="18"/>
              </w:rPr>
              <w:t>Throughput test</w:t>
            </w:r>
          </w:p>
        </w:tc>
        <w:tc>
          <w:tcPr>
            <w:tcW w:type="dxa" w:w="1768"/>
          </w:tcPr>
          <w:p>
            <w:r/>
            <w:r>
              <w:rPr>
                <w:rFonts w:ascii="Times New Roman" w:hAnsi="Times New Roman"/>
                <w:sz w:val="18"/>
              </w:rPr>
              <w:t>Indirect: kernel bypass</w:t>
            </w:r>
          </w:p>
        </w:tc>
      </w:tr>
    </w:tbl>
    <w:p>
      <w:pPr>
        <w:spacing w:after="120"/>
      </w:pPr>
      <w:r>
        <w:rPr>
          <w:rFonts w:ascii="Times New Roman" w:hAnsi="Times New Roman"/>
          <w:b w:val="0"/>
          <w:i w:val="0"/>
          <w:sz w:val="20"/>
        </w:rPr>
      </w:r>
    </w:p>
    <w:p>
      <w:pPr>
        <w:pStyle w:val="BodyText"/>
        <w:ind w:firstLine="283"/>
      </w:pPr>
      <w:r>
        <w:rPr>
          <w:rFonts w:ascii="Times New Roman" w:hAnsi="Times New Roman"/>
          <w:sz w:val="20"/>
        </w:rPr>
        <w:t>Three patterns are worth highlighting. First, the strongest direct evidence for cryptocurrency markets comes from a single study: Albers et al. [1] is the only paper that measures execution outcomes on the specific exchanges our firm uses. All other empirical work comes from equity markets [3, 4, 7] or the Bitcoin blockchain [6, 8]. The engineering papers [9–12] measure techniques in laboratory settings with hardware and protocol stacks different from those of cloud-hosted crypto exchanges.</w:t>
      </w:r>
    </w:p>
    <w:p>
      <w:pPr>
        <w:pStyle w:val="BodyText"/>
        <w:ind w:firstLine="283"/>
      </w:pPr>
      <w:r>
        <w:rPr>
          <w:rFonts w:ascii="Times New Roman" w:hAnsi="Times New Roman"/>
          <w:sz w:val="20"/>
        </w:rPr>
        <w:t>Second, the studies define latency inconsistently. Moallemi and Sağlam [2] model the delay between decision and execution. Albers et al. [1] measure the gap between a snapshot and matching. Lockwood et al. [11] report the delay inside one FPGA appliance. Dvořák and Kořenek [10] measure a single book update. Høiland-Jørgensen et al. [12] report packets per second. These quantities span roughly eight orders of magnitude and cannot be compared directly.</w:t>
      </w:r>
    </w:p>
    <w:p>
      <w:pPr>
        <w:pStyle w:val="BodyText"/>
        <w:ind w:firstLine="283"/>
      </w:pPr>
      <w:r>
        <w:rPr>
          <w:rFonts w:ascii="Times New Roman" w:hAnsi="Times New Roman"/>
          <w:sz w:val="20"/>
        </w:rPr>
        <w:t>Third, the studies agree on qualitative points but disagree on practical implications. All accept that relative speed matters [1, 3, 4] and that co-location is the first step [1, 3, 7]. The FPGA papers [10, 11] imply that software is too slow and unpredictable for serious HFT. Albers et al. [1] counter that, among co-located cryptocurrency traders, reaction times differ by only a few microseconds while network delay varies by a millisecond, so a race becomes close to a lottery. Our burst-traffic analysis (Section 6) offers a partial resolution: under normal conditions the lottery argument holds, but during burst episodes the software-level difference can compound into a meaningful edge.</w:t>
      </w:r>
    </w:p>
    <w:p>
      <w:pPr>
        <w:spacing w:before="160"/>
        <w:jc w:val="center"/>
      </w:pPr>
      <w:r>
        <w:drawing>
          <wp:inline xmlns:a="http://schemas.openxmlformats.org/drawingml/2006/main" xmlns:pic="http://schemas.openxmlformats.org/drawingml/2006/picture">
            <wp:extent cx="5303520" cy="3237266"/>
            <wp:docPr id="6" name="Picture 6"/>
            <wp:cNvGraphicFramePr>
              <a:graphicFrameLocks noChangeAspect="1"/>
            </wp:cNvGraphicFramePr>
            <a:graphic>
              <a:graphicData uri="http://schemas.openxmlformats.org/drawingml/2006/picture">
                <pic:pic>
                  <pic:nvPicPr>
                    <pic:cNvPr id="0" name="fig5_time_scales.png"/>
                    <pic:cNvPicPr/>
                  </pic:nvPicPr>
                  <pic:blipFill>
                    <a:blip r:embed="rId14"/>
                    <a:stretch>
                      <a:fillRect/>
                    </a:stretch>
                  </pic:blipFill>
                  <pic:spPr>
                    <a:xfrm>
                      <a:off x="0" y="0"/>
                      <a:ext cx="5303520" cy="3237266"/>
                    </a:xfrm>
                    <a:prstGeom prst="rect"/>
                  </pic:spPr>
                </pic:pic>
              </a:graphicData>
            </a:graphic>
          </wp:inline>
        </w:drawing>
      </w:r>
    </w:p>
    <w:p>
      <w:pPr>
        <w:spacing w:after="160"/>
        <w:jc w:val="center"/>
      </w:pPr>
      <w:r>
        <w:rPr>
          <w:rFonts w:ascii="Times New Roman" w:hAnsi="Times New Roman"/>
          <w:sz w:val="18"/>
        </w:rPr>
        <w:t>Fig. 6. Time scales reported in the cited sources and measured in this paper. Quantities span roughly ten orders of magnitude and are of different kinds; the axis is for scale, not ranking. Blue = our optimised, red = our baseline, grey = published equity/FPGA, salmon = published crypto network.</w:t>
      </w:r>
    </w:p>
    <w:p>
      <w:pPr>
        <w:pStyle w:val="Heading1"/>
      </w:pPr>
      <w:r>
        <w:t>8  Limitations and Research Gaps</w:t>
      </w:r>
    </w:p>
    <w:p>
      <w:pPr>
        <w:pStyle w:val="BodyText"/>
        <w:ind w:firstLine="0"/>
      </w:pPr>
      <w:r>
        <w:rPr>
          <w:rFonts w:ascii="Times New Roman" w:hAnsi="Times New Roman"/>
          <w:sz w:val="20"/>
        </w:rPr>
        <w:t>We should note that this review covers twelve sources and is not exhaustive. For several papers, only the published abstract was available, so our descriptions are limited to what the abstracts report. Proprietary trading firms do not publish their methods; the academic literature almost certainly understates the state of practice.</w:t>
      </w:r>
    </w:p>
    <w:p>
      <w:pPr>
        <w:pStyle w:val="BodyText"/>
        <w:ind w:firstLine="283"/>
      </w:pPr>
      <w:r>
        <w:rPr>
          <w:rFonts w:ascii="Times New Roman" w:hAnsi="Times New Roman"/>
          <w:sz w:val="20"/>
        </w:rPr>
        <w:t>The benchmarks have their own specific limitations. They run on a desktop computer, not on the AWS instance type the firm would use. The workload is synthetic (messages are generated in memory, not received over a network), so the results exclude kernel-to-userspace copy overhead, TLS decryption, and WebSocket frame reassembly. The batch-timing methodology understates the per-call tail: one slow call in a batch of 100 raises the batch mean by only 1%, so the true p99 is likely worse than reported. Thread hand-off benchmarks use busy-spinning, which gives the best latency but wastes CPU; a production system might use a hybrid spin-then-sleep strategy that trades latency for efficiency.</w:t>
      </w:r>
    </w:p>
    <w:p>
      <w:pPr>
        <w:pStyle w:val="BodyText"/>
        <w:ind w:firstLine="283"/>
      </w:pPr>
      <w:r>
        <w:rPr>
          <w:rFonts w:ascii="Times New Roman" w:hAnsi="Times New Roman"/>
          <w:sz w:val="20"/>
        </w:rPr>
        <w:t>The representative firm is a composite, not a measurement of a real operation. Real firms face constraints we have not modelled: exchange rate limits, IP bans, API authentication overhead, multi-exchange synchronisation, risk checks before order submission, and the strategy computation itself. The burst-traffic argument in Section 6 is analytical, not measured on a live exchange; the actual message rate during a burst event has not been publicly documented with the precision needed to validate the calculation.</w:t>
      </w:r>
    </w:p>
    <w:p>
      <w:pPr>
        <w:pStyle w:val="BodyText"/>
        <w:ind w:firstLine="283"/>
      </w:pPr>
      <w:r>
        <w:rPr>
          <w:rFonts w:ascii="Times New Roman" w:hAnsi="Times New Roman"/>
          <w:sz w:val="20"/>
        </w:rPr>
        <w:t>Five specific research gaps deserve attention:</w:t>
      </w:r>
    </w:p>
    <w:p>
      <w:pPr>
        <w:pStyle w:val="BodyText"/>
        <w:ind w:firstLine="283"/>
      </w:pPr>
      <w:r>
        <w:rPr>
          <w:rFonts w:ascii="Times New Roman" w:hAnsi="Times New Roman"/>
          <w:sz w:val="20"/>
        </w:rPr>
        <w:t>Controlled comparisons. No reviewed study compares latency-reduction techniques on the same cryptocurrency exchange under the same conditions. The engineering results [10–12] come from different hardware, protocols, and years.</w:t>
      </w:r>
    </w:p>
    <w:p>
      <w:pPr>
        <w:pStyle w:val="BodyText"/>
        <w:ind w:firstLine="283"/>
      </w:pPr>
      <w:r>
        <w:rPr>
          <w:rFonts w:ascii="Times New Roman" w:hAnsi="Times New Roman"/>
          <w:sz w:val="20"/>
        </w:rPr>
        <w:t>Measurement standards. There is no shared methodology for measuring or decomposing end-to-end trading latency on cryptocurrency exchanges. Even Albers et al. [1], the most detailed study, do not publish their full networking configuration.</w:t>
      </w:r>
    </w:p>
    <w:p>
      <w:pPr>
        <w:pStyle w:val="BodyText"/>
        <w:ind w:firstLine="283"/>
      </w:pPr>
      <w:r>
        <w:rPr>
          <w:rFonts w:ascii="Times New Roman" w:hAnsi="Times New Roman"/>
          <w:sz w:val="20"/>
        </w:rPr>
        <w:t>Software-level evidence in crypto. Language choice, memory management, and concurrency design lack peer-reviewed measurements in a cryptocurrency-trading setting. Our microbenchmarks demonstrate the mechanisms but are not a substitute for live-exchange measurements.</w:t>
      </w:r>
    </w:p>
    <w:p>
      <w:pPr>
        <w:pStyle w:val="BodyText"/>
        <w:ind w:firstLine="283"/>
      </w:pPr>
      <w:r>
        <w:rPr>
          <w:rFonts w:ascii="Times New Roman" w:hAnsi="Times New Roman"/>
          <w:sz w:val="20"/>
        </w:rPr>
        <w:t>Exchange-side data. The live evidence covers two exchanges, perpetual futures, and periods of days to a week [1]. Spot markets, other exchanges (OKX, Kraken, Coinbase), and longer observation windows remain unstudied.</w:t>
      </w:r>
    </w:p>
    <w:p>
      <w:pPr>
        <w:pStyle w:val="BodyText"/>
        <w:ind w:firstLine="283"/>
      </w:pPr>
      <w:r>
        <w:rPr>
          <w:rFonts w:ascii="Times New Roman" w:hAnsi="Times New Roman"/>
          <w:sz w:val="20"/>
        </w:rPr>
        <w:t>Cost–benefit analysis. The monetary value of microsecond improvements on cryptocurrency exchanges has not been quantified. Moallemi and Sağlam’s [2] cost-of-latency model could be calibrated to Bitcoin data, but no published work has done so.</w:t>
      </w:r>
    </w:p>
    <w:p>
      <w:pPr>
        <w:pStyle w:val="BodyText"/>
        <w:ind w:firstLine="283"/>
      </w:pPr>
      <w:r>
        <w:rPr>
          <w:rFonts w:ascii="Times New Roman" w:hAnsi="Times New Roman"/>
          <w:sz w:val="20"/>
        </w:rPr>
        <w:t>Realistic next steps include an open benchmark suite that replays recorded exchange data and reports latency by component; controlled A/B comparisons of software configurations from servers in the exchange’s cloud region; extension of the Albers et al. [1] experiment to spot markets and additional exchanges; and calibration of a cost-of-latency model [2] to cryptocurrency order-book data.</w:t>
      </w:r>
    </w:p>
    <w:p>
      <w:pPr>
        <w:pStyle w:val="Heading1"/>
      </w:pPr>
      <w:r>
        <w:t>9  Conclusion</w:t>
      </w:r>
    </w:p>
    <w:p>
      <w:pPr>
        <w:pStyle w:val="BodyText"/>
        <w:ind w:firstLine="0"/>
      </w:pPr>
      <w:r>
        <w:rPr>
          <w:rFonts w:ascii="Times New Roman" w:hAnsi="Times New Roman"/>
          <w:sz w:val="20"/>
        </w:rPr>
        <w:t>The literature supports a clear ordering of evidence for a proprietary trading firm entering cryptocurrency HFT. Co-location (renting a server in the exchange’s cloud region) has the strongest empirical support and should be treated as a prerequisite, not an optimisation. Beyond co-location, the evidence is thinner: hardware acceleration and kernel-bypass networking have strong laboratory results from equity settings but have not been evaluated on cloud-hosted crypto exchanges, and software-level optimisations lack direct evidence in the reviewed literature.</w:t>
      </w:r>
    </w:p>
    <w:p>
      <w:pPr>
        <w:pStyle w:val="BodyText"/>
        <w:ind w:firstLine="283"/>
      </w:pPr>
      <w:r>
        <w:rPr>
          <w:rFonts w:ascii="Times New Roman" w:hAnsi="Times New Roman"/>
          <w:sz w:val="20"/>
        </w:rPr>
        <w:t>The microbenchmarks we present fill part of that gap. An array-indexed order book is 11× faster than a tree-based one. Zero-copy fixed-point parsing is 3.4× faster than string-based parsing (and 34× faster than a stod-based variant). A lock-free SPSC ring buffer is 2.5× faster than a mutex queue. Across the full pipeline, the optimised path is 5.8× faster than the baseline. These are measured results on one machine with synthetic data; they bound what is achievable in the software layer, not what is achievable end-to-end.</w:t>
      </w:r>
    </w:p>
    <w:p>
      <w:pPr>
        <w:pStyle w:val="BodyText"/>
        <w:ind w:firstLine="283"/>
      </w:pPr>
      <w:r>
        <w:rPr>
          <w:rFonts w:ascii="Times New Roman" w:hAnsi="Times New Roman"/>
          <w:sz w:val="20"/>
        </w:rPr>
        <w:t>The compound effect becomes operationally significant during burst-traffic episodes, when the firm that drains its message queue fastest recovers an accurate market view before competitors. Our burst-processing benchmark confirmed this directly: the optimised pipeline sustained 2.05 million messages per second and processed a 500-message burst in 0.25 ms versus the baseline’s 1.47 ms, a 1.22 ms gap comparable to the network round-trip itself. Whether this advantage translates to profit depends on the competitive landscape: if all firms optimise, the advantage disappears, reproducing the arms-race equilibrium described by Budish et al. [4].</w:t>
      </w:r>
    </w:p>
    <w:p>
      <w:pPr>
        <w:pStyle w:val="BodyText"/>
        <w:ind w:firstLine="283"/>
      </w:pPr>
      <w:r>
        <w:rPr>
          <w:rFonts w:ascii="Times New Roman" w:hAnsi="Times New Roman"/>
          <w:sz w:val="20"/>
        </w:rPr>
        <w:t>Every technique comes with trade-offs. The price ladder trades memory for speed. The SPSC ring trades generality (one producer, one consumer) for lock-freedom. The zero-copy parser trades flexibility (only the Binance depth format) for speed. Kernel bypass trades OS isolation for control. None is best in every setting, and the most important open task remains direct, controlled measurement on live cryptocurrency exchanges.</w:t>
      </w:r>
    </w:p>
    <w:p>
      <w:pPr>
        <w:pStyle w:val="Heading1"/>
      </w:pPr>
      <w:r>
        <w:t>References</w:t>
      </w:r>
    </w:p>
    <w:p>
      <w:pPr>
        <w:spacing w:after="80"/>
        <w:ind w:firstLine="0"/>
      </w:pPr>
      <w:r>
        <w:rPr>
          <w:rFonts w:ascii="Times New Roman" w:hAnsi="Times New Roman"/>
          <w:sz w:val="18"/>
          <w:highlight w:val="cyan"/>
        </w:rPr>
        <w:t>1.</w:t>
        <w:tab/>
        <w:t>Albers, J., Cucuringu, M., Howison, S. and Shestopaloff, A.Y., 2025. The good, the bad, and latency: exploratory trading on Bybit and Binance. Quantitative Finance, 25(6), pp.919–947. https://doi.org/10.1080/14697688.2025.2515933</w:t>
      </w:r>
    </w:p>
    <w:p>
      <w:pPr>
        <w:spacing w:after="80"/>
        <w:ind w:firstLine="0"/>
      </w:pPr>
      <w:r>
        <w:rPr>
          <w:rFonts w:ascii="Times New Roman" w:hAnsi="Times New Roman"/>
          <w:sz w:val="18"/>
        </w:rPr>
        <w:t>2.</w:t>
        <w:tab/>
        <w:t>Moallemi, C.C. and Sağlam, M., 2013. OR Forum: The cost of latency in high-frequency trading. Operations Research, 61(5), pp.1070–1086. https://doi.org/10.1287/opre.2013.1165</w:t>
      </w:r>
    </w:p>
    <w:p>
      <w:pPr>
        <w:spacing w:after="80"/>
        <w:ind w:firstLine="0"/>
      </w:pPr>
      <w:r>
        <w:rPr>
          <w:rFonts w:ascii="Times New Roman" w:hAnsi="Times New Roman"/>
          <w:sz w:val="18"/>
        </w:rPr>
        <w:t>3.</w:t>
        <w:tab/>
        <w:t>Baron, M., Brogaard, J., Hagströmer, B. and Kirilenko, A., 2019. Risk and return in high-frequency trading. Journal of Financial and Quantitative Analysis, 54(3), pp.993–1024. https://doi.org/10.1017/S0022109018001096</w:t>
      </w:r>
    </w:p>
    <w:p>
      <w:pPr>
        <w:spacing w:after="80"/>
        <w:ind w:firstLine="0"/>
      </w:pPr>
      <w:r>
        <w:rPr>
          <w:rFonts w:ascii="Times New Roman" w:hAnsi="Times New Roman"/>
          <w:sz w:val="18"/>
        </w:rPr>
        <w:t>4.</w:t>
        <w:tab/>
        <w:t>Budish, E., Cramton, P. and Shim, J., 2015. The high-frequency trading arms race: frequent batch auctions as a market design response. The Quarterly Journal of Economics, 130(4), pp.1547–1621. https://doi.org/10.1093/qje/qjv027</w:t>
      </w:r>
    </w:p>
    <w:p>
      <w:pPr>
        <w:spacing w:after="80"/>
        <w:ind w:firstLine="0"/>
      </w:pPr>
      <w:r>
        <w:rPr>
          <w:rFonts w:ascii="Times New Roman" w:hAnsi="Times New Roman"/>
          <w:sz w:val="18"/>
        </w:rPr>
        <w:t>5.</w:t>
        <w:tab/>
        <w:t>Makarov, I. and Schoar, A., 2020. Trading and arbitrage in cryptocurrency markets. Journal of Financial Economics, 135(2), pp.293–319. https://doi.org/10.1016/j.jfineco.2019.07.001</w:t>
      </w:r>
    </w:p>
    <w:p>
      <w:pPr>
        <w:spacing w:after="80"/>
        <w:ind w:firstLine="0"/>
      </w:pPr>
      <w:r>
        <w:rPr>
          <w:rFonts w:ascii="Times New Roman" w:hAnsi="Times New Roman"/>
          <w:sz w:val="18"/>
        </w:rPr>
        <w:t>6.</w:t>
        <w:tab/>
        <w:t>Hautsch, N., Scheuch, C. and Voigt, S., 2024. Building trust takes time: limits to arbitrage for blockchain-based assets. Review of Finance, 28(4), pp.1345–1381. https://doi.org/10.1093/rof/rfae004</w:t>
      </w:r>
    </w:p>
    <w:p>
      <w:pPr>
        <w:spacing w:after="80"/>
        <w:ind w:firstLine="0"/>
      </w:pPr>
      <w:r>
        <w:rPr>
          <w:rFonts w:ascii="Times New Roman" w:hAnsi="Times New Roman"/>
          <w:sz w:val="18"/>
        </w:rPr>
        <w:t>7.</w:t>
        <w:tab/>
        <w:t>Brogaard, J., Hagströmer, B., Nordén, L. and Riordan, R., 2015. Trading fast and slow: colocation and liquidity. The Review of Financial Studies, 28(12), pp.3407–3443. https://doi.org/10.1093/rfs/hhv045</w:t>
      </w:r>
    </w:p>
    <w:p>
      <w:pPr>
        <w:spacing w:after="80"/>
        <w:ind w:firstLine="0"/>
      </w:pPr>
      <w:r>
        <w:rPr>
          <w:rFonts w:ascii="Times New Roman" w:hAnsi="Times New Roman"/>
          <w:sz w:val="18"/>
        </w:rPr>
        <w:t>8.</w:t>
        <w:tab/>
        <w:t>Decker, C. and Wattenhofer, R., 2013. Information propagation in the Bitcoin network. IEEE P2P 2013 Proceedings, pp.1–10. https://doi.org/10.1109/P2P.2013.6688704</w:t>
      </w:r>
    </w:p>
    <w:p>
      <w:pPr>
        <w:spacing w:after="80"/>
        <w:ind w:firstLine="0"/>
      </w:pPr>
      <w:r>
        <w:rPr>
          <w:rFonts w:ascii="Times New Roman" w:hAnsi="Times New Roman"/>
          <w:sz w:val="18"/>
        </w:rPr>
        <w:t>9.</w:t>
        <w:tab/>
        <w:t>Gupta, E., Goyal, P., Marinos, I., Zhao, C., Mittal, R. and Chandra, R., 2023. DBO: fairness for cloud-hosted financial exchanges. Proceedings of the ACM SIGCOMM 2023 Conference, pp.550–563. https://doi.org/10.1145/3603269.3604871</w:t>
      </w:r>
    </w:p>
    <w:p>
      <w:pPr>
        <w:spacing w:after="80"/>
        <w:ind w:firstLine="0"/>
      </w:pPr>
      <w:r>
        <w:rPr>
          <w:rFonts w:ascii="Times New Roman" w:hAnsi="Times New Roman"/>
          <w:sz w:val="18"/>
        </w:rPr>
        <w:t>10.</w:t>
        <w:tab/>
        <w:t>Dvořák, M. and Kořenek, J., 2014. Low latency book handling in FPGA for high frequency trading. 17th International Symposium on Design and Diagnostics of Electronic Circuits and Systems, pp.175–178. https://doi.org/10.1109/DDECS.2014.6868785</w:t>
      </w:r>
    </w:p>
    <w:p>
      <w:pPr>
        <w:spacing w:after="80"/>
        <w:ind w:firstLine="0"/>
      </w:pPr>
      <w:r>
        <w:rPr>
          <w:rFonts w:ascii="Times New Roman" w:hAnsi="Times New Roman"/>
          <w:sz w:val="18"/>
        </w:rPr>
        <w:t>11.</w:t>
        <w:tab/>
        <w:t>Lockwood, J.W., Gupte, A., Mehta, N., Blott, M., English, T. and Vissers, K., 2012. A low-latency library in FPGA hardware for high-frequency trading (HFT). 2012 IEEE 20th Annual Symposium on High-Performance Interconnects, pp.9–16. https://doi.org/10.1109/HOTI.2012.15</w:t>
      </w:r>
    </w:p>
    <w:p>
      <w:pPr>
        <w:spacing w:after="80"/>
        <w:ind w:firstLine="0"/>
      </w:pPr>
      <w:r>
        <w:rPr>
          <w:rFonts w:ascii="Times New Roman" w:hAnsi="Times New Roman"/>
          <w:sz w:val="18"/>
        </w:rPr>
        <w:t>12.</w:t>
        <w:tab/>
        <w:t>Høiland-Jørgensen, T., Brouer, J.D., Borkmann, D., Fastabend, J., Herbert, T., Ahern, D. and Miller, D., 2018. The eXpress data path: fast programmable packet processing in the operating system kernel. Proceedings of the 14th International Conference on emerging Networking EXperiments and Technologies, pp.54–66. https://doi.org/10.1145/3281411.3281443</w:t>
      </w:r>
    </w:p>
    <w:p>
      <w:pPr>
        <w:spacing w:after="80"/>
        <w:ind w:firstLine="0"/>
      </w:pPr>
      <w:r>
        <w:rPr>
          <w:rFonts w:ascii="Times New Roman" w:hAnsi="Times New Roman"/>
          <w:sz w:val="18"/>
        </w:rPr>
        <w:t>13.</w:t>
        <w:tab/>
        <w:t>Dean, J. and Barroso, L.A., 2013. The tail at scale. Communications of the ACM, 56(2), pp.74–80. https://doi.org/10.1145/2408776.2408794</w:t>
      </w:r>
    </w:p>
    <w:p>
      <w:pPr>
        <w:spacing w:after="80"/>
        <w:ind w:firstLine="0"/>
      </w:pPr>
      <w:r>
        <w:rPr>
          <w:rFonts w:ascii="Times New Roman" w:hAnsi="Times New Roman"/>
          <w:sz w:val="18"/>
        </w:rPr>
        <w:t>14.</w:t>
        <w:tab/>
        <w:t>Chilimbi, T.M., Hill, M.D. and Larus, J.R., 1999. Cache-conscious structure layout. Proceedings of the ACM SIGPLAN 1999 Conference on Programming Language Design and Implementation, pp.1–12. https://doi.org/10.1145/301618.301633</w:t>
      </w:r>
    </w:p>
    <w:p>
      <w:pPr>
        <w:spacing w:after="80"/>
        <w:ind w:firstLine="0"/>
      </w:pPr>
      <w:r>
        <w:rPr>
          <w:rFonts w:ascii="Times New Roman" w:hAnsi="Times New Roman"/>
          <w:sz w:val="18"/>
        </w:rPr>
        <w:t>15.</w:t>
        <w:tab/>
        <w:t>Binance Developer Docs: Spot WebSocket Market Streams, Diff. Depth Stream. https://developers.binance.com/docs/binance-spot-api-docs/web-socket-streams</w:t>
      </w:r>
    </w:p>
    <w:p>
      <w:pPr>
        <w:spacing w:after="80"/>
        <w:ind w:firstLine="0"/>
      </w:pPr>
      <w:r>
        <w:rPr>
          <w:rFonts w:ascii="Times New Roman" w:hAnsi="Times New Roman"/>
          <w:sz w:val="18"/>
        </w:rPr>
        <w:t>16.</w:t>
        <w:tab/>
        <w:t>Michael, M.M. and Scott, M.L., 1996. Simple, fast, and practical non-blocking and blocking concurrent queue algorithms. Proceedings of the Fifteenth Annual ACM Symposium on Principles of Distributed Computing, pp.267–275. https://doi.org/10.1145/248052.248106</w:t>
      </w:r>
      <w:r>
        <w:rPr>
          <w:b/>
          <w:highlight w:val="yellow"/>
        </w:rPr>
        <w:t xml:space="preserve"> [DRAFT NOTE: Claude cleaned up the DOI links and formatted all 17 citations into Springer CCIS style.]</w:t>
      </w:r>
    </w:p>
    <w:p>
      <w:pPr>
        <w:spacing w:after="80"/>
        <w:ind w:firstLine="0"/>
      </w:pPr>
      <w:r>
        <w:rPr>
          <w:rFonts w:ascii="Times New Roman" w:hAnsi="Times New Roman"/>
          <w:sz w:val="18"/>
        </w:rPr>
        <w:t>17.</w:t>
        <w:tab/>
        <w:t>Li, J., Sharma, N.K., Ports, D.R.K. and Gribble, S.D., 2014. Tales of the tail: hardware, OS, and application-level sources of tail latency. Proceedings of the ACM Symposium on Cloud Computing, pp.1–14. https://doi.org/10.1145/2670979.2670988</w:t>
      </w:r>
    </w:p>
    <w:sectPr w:rsidR="00FC693F" w:rsidRPr="0006063C" w:rsidSect="00034616">
      <w:pgSz w:w="12240" w:h="15840"/>
      <w:pgMar w:top="1417" w:right="1701" w:bottom="1417" w:left="1701" w:header="720" w:footer="720" w:gutter="0"/>
      <w:cols w:space="720"/>
      <w:docGrid w:linePitch="360"/>
    </w:sectPr>
  </w:body>
</w:document>
</file>

<file path=word/comments.xml><?xml version="1.0" encoding="utf-8"?>
<w:comments xmlns:w="http://schemas.openxmlformats.org/wordprocessingml/2006/main">
  <w:comment w:id="1" w:author="jasoncannotbanme" w:initials="JC" w:date="2026-10-21T15:20:00Z">
    <w:p>
      <w:pPr>
        <w:pStyle w:val="CommentText"/>
      </w:pPr>
      <w:r>
        <w:t>Claude helped rewrite this draft abstract into the final academic version for the PDF.</w:t>
      </w:r>
    </w:p>
  </w:comment>
  <w:comment w:id="2" w:author="jasoncannotbanme" w:initials="JC" w:date="2026-10-21T15:35:00Z">
    <w:p>
      <w:pPr>
        <w:pStyle w:val="CommentText"/>
      </w:pPr>
      <w:r>
        <w:t>Check if Binance WebSocket rate limits changed on Tokyo ap-northeast-1.</w:t>
      </w:r>
    </w:p>
  </w:comment>
  <w:comment w:id="3" w:author="jasoncannotbanme" w:initials="JC" w:date="2026-10-21T16:10:00Z">
    <w:p>
      <w:pPr>
        <w:pStyle w:val="CommentText"/>
      </w:pPr>
      <w:r>
        <w:t>Fixed-point parsing treats price as uint64 cents, avoids float exponent normalizing. 124ns down to 11ns.</w:t>
      </w:r>
    </w:p>
  </w:comment>
  <w:comment w:id="4" w:author="jasoncannotbanme" w:initials="JC" w:date="2026-10-21T16:40:00Z">
    <w:p>
      <w:pPr>
        <w:pStyle w:val="CommentText"/>
      </w:pPr>
      <w:r>
        <w:t>Need to cite Chilimbi 1999 to explain why std::map cache misses happen due to tree pointer chasing.</w:t>
      </w:r>
    </w:p>
  </w:comment>
  <w:comment w:id="5" w:author="jasoncannotbanme" w:initials="JC" w:date="2026-10-21T17:05:00Z">
    <w:p>
      <w:pPr>
        <w:pStyle w:val="CommentText"/>
      </w:pPr>
      <w:r>
        <w:t>The custom pool didn't beat malloc because of Windows LFH. Keep the honest 108ns result in Table 7.</w:t>
      </w:r>
    </w:p>
  </w:comment>
  <w:comment w:id="6" w:author="jasoncannotbanme" w:initials="JC" w:date="2026-10-21T17:30:00Z">
    <w:p>
      <w:pPr>
        <w:pStyle w:val="CommentText"/>
      </w:pPr>
      <w:r>
        <w:t>This burst queue calculation (1.4 ms backlog vs 240 us drain) is what addresses Ma'am's question about network vs software latency.</w:t>
      </w:r>
    </w:p>
  </w:comment>
  <w:comment w:id="7" w:author="jasoncannotbanme" w:initials="JC" w:date="2026-10-21T18:15:00Z">
    <w:p>
      <w:pPr>
        <w:pStyle w:val="CommentText"/>
      </w:pPr>
      <w:r>
        <w:t>Used Claude to verify all 17 DOIs and format references into Springer CCIS style.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ind w:firstLine="283"/>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Comments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