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10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Logic Model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62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Logic Model for Algorithmic Awareness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- Bethany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330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Audience: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highlight w:val="yellow"/>
          <w:rtl w:val="0"/>
        </w:rPr>
        <w:t xml:space="preserve">Leaders/decision-makers within o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highlight w:val="yellow"/>
          <w:vertAlign w:val="baseline"/>
          <w:rtl w:val="0"/>
        </w:rPr>
        <w:t xml:space="preserve">rganization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highlight w:val="yellow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baseline"/>
          <w:rtl w:val="0"/>
        </w:rPr>
        <w:t xml:space="preserve">in the field (DLF, LITA, Mozilla,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Overall Project Goal: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To create platform and program support for Algorithmic Awareness within the organization’s goals and strategic initiatives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360"/>
        <w:gridCol w:w="2925"/>
        <w:gridCol w:w="3330"/>
        <w:tblGridChange w:id="0">
          <w:tblGrid>
            <w:gridCol w:w="2715"/>
            <w:gridCol w:w="3360"/>
            <w:gridCol w:w="2925"/>
            <w:gridCol w:w="3330"/>
          </w:tblGrid>
        </w:tblGridChange>
      </w:tblGrid>
      <w:t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Objectives</w:t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t xml:space="preserve">(what your audience will be able to do/say/feel, etc. after the project)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Resources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(what you have or need to do your project)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Activities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(what you do to make project happen)</w:t>
            </w:r>
          </w:p>
        </w:tc>
        <w:tc>
          <w:tcPr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Outputs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(what you produce or deliver as part of your project)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Audience will show they know more about the project by...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will be important to provide descriptions of the project in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differently-digestible levels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bite-sized blurb, 1 page précis, more detailed statement of plans/partnership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Gotsta write ‘em. (With more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customization for potential partnering orgs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the deeper/more detailed the write-up is.)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...being able to accurately articulate Algorithmic Awareness’s stated mission, approach, &amp; goals, but then also re-cast/position them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 terms of the org’s own vocab, priorities, &amp; projects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Audience will demonstrate that they care about the teaching/learning objectives by...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Time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to explore, kick ideas around!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the request to move beyond simply reviewing prose resources or sample curricula to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getting relevant folks on a call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to discuss next steps.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...actually taking the initiative to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engage organizational staff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 thinking through relevant connections/possibilities -- rather than just pushing out info about the project on request or politely directing partnership queries to existing, easy-for-the-org outlets (like, “here’s our discussion list; here’s our conference CFP; feel free!”)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Audience will state their intent to engage in these stewardship actions...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organizational champion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someone within the org who is energized by the idea and willing to devote time to exploring collaborations +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 clear sub-community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the org serves and can identify as the specific audience or co-designers/trainers for Algorithmic Awareness.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Evidence on the project side that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sophisticated materials are already available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-- but that they are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also easily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customizable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There’s no clearer statement of intent than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collaboration on a grant or jointly-hosted meeting.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Are partnerships like these an Algorithmic Awareness goal? (Or do you have a desire to “hand off” project materials to a hosting org? If so, it’s the “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we’ll publish/host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for the foreseeable future” commitment.)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2240" w:w="15840"/>
      <w:pgMar w:bottom="1440" w:top="1056" w:left="720" w:right="61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