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Trestle Admin and</w:t>
        <w:br/>
        <w:t>Application Views</w:t>
      </w:r>
    </w:p>
    <w:p>
      <w:pPr>
        <w:pStyle w:val="Subtitle"/>
      </w:pPr>
      <w:r>
        <w:t>Technical design handoff for engineering</w:t>
      </w:r>
    </w:p>
    <w:p>
      <w:pPr>
        <w:spacing w:after="60"/>
      </w:pPr>
      <w:r>
        <w:rPr>
          <w:sz w:val="20"/>
        </w:rPr>
        <w:t>Version 1.0 • 18 October 2026</w:t>
      </w:r>
    </w:p>
    <w:p>
      <w:pPr>
        <w:spacing w:after="180"/>
      </w:pPr>
      <w:r>
        <w:rPr>
          <w:sz w:val="20"/>
        </w:rPr>
        <w:t>Implementation baseline: Trestle 0.5.0</w:t>
        <w:br/>
        <w:t xml:space="preserve">Commit </w:t>
      </w:r>
      <w:hyperlink r:id="rId11" w:history="1">
        <w:r>
          <w:rPr>
            <w:rFonts w:ascii="Arial" w:hAnsi="Arial"/>
            <w:color w:val="24587A"/>
            <w:sz w:val="19"/>
          </w:rPr>
          <w:t xml:space="preserve">bc372db40f082d72f3587a7340245e63c681eace</w:t>
        </w:r>
      </w:hyperlink>
    </w:p>
    <w:p>
      <w:pPr>
        <w:spacing w:after="100"/>
      </w:pPr>
      <w:r>
        <w:rPr>
          <w:sz w:val="19"/>
        </w:rPr>
        <w:t xml:space="preserve">Jump to  </w:t>
      </w:r>
      <w:hyperlink w:anchor="section_3" w:history="1">
        <w:r>
          <w:rPr>
            <w:rFonts w:ascii="Arial" w:hAnsi="Arial"/>
            <w:color w:val="24587A"/>
            <w:sz w:val="19"/>
          </w:rPr>
          <w:t xml:space="preserve">Architecture</w:t>
        </w:r>
      </w:hyperlink>
      <w:r>
        <w:rPr>
          <w:sz w:val="19"/>
        </w:rPr>
        <w:t xml:space="preserve">  ·  </w:t>
      </w:r>
      <w:hyperlink w:anchor="section_5" w:history="1">
        <w:r>
          <w:rPr>
            <w:rFonts w:ascii="Arial" w:hAnsi="Arial"/>
            <w:color w:val="24587A"/>
            <w:sz w:val="19"/>
          </w:rPr>
          <w:t xml:space="preserve">Protocol</w:t>
        </w:r>
      </w:hyperlink>
      <w:r>
        <w:rPr>
          <w:sz w:val="19"/>
        </w:rPr>
        <w:t xml:space="preserve">  ·  </w:t>
      </w:r>
      <w:hyperlink w:anchor="section_8" w:history="1">
        <w:r>
          <w:rPr>
            <w:rFonts w:ascii="Arial" w:hAnsi="Arial"/>
            <w:color w:val="24587A"/>
            <w:sz w:val="19"/>
          </w:rPr>
          <w:t xml:space="preserve">Controllers</w:t>
        </w:r>
      </w:hyperlink>
      <w:r>
        <w:rPr>
          <w:sz w:val="19"/>
        </w:rPr>
        <w:t xml:space="preserve">  ·  </w:t>
      </w:r>
      <w:hyperlink w:anchor="section_11" w:history="1">
        <w:r>
          <w:rPr>
            <w:rFonts w:ascii="Arial" w:hAnsi="Arial"/>
            <w:color w:val="24587A"/>
            <w:sz w:val="19"/>
          </w:rPr>
          <w:t xml:space="preserve">Implementation</w:t>
        </w:r>
      </w:hyperlink>
      <w:r>
        <w:rPr>
          <w:sz w:val="19"/>
        </w:rPr>
        <w:t xml:space="preserve">  ·  </w:t>
      </w:r>
      <w:hyperlink w:anchor="section_12" w:history="1">
        <w:r>
          <w:rPr>
            <w:rFonts w:ascii="Arial" w:hAnsi="Arial"/>
            <w:color w:val="24587A"/>
            <w:sz w:val="19"/>
          </w:rPr>
          <w:t xml:space="preserve">Acceptance</w:t>
        </w:r>
      </w:hyperlink>
    </w:p>
    <w:p>
      <w:pPr>
        <w:pStyle w:val="Heading1"/>
      </w:pPr>
      <w:bookmarkStart w:id="11" w:name="section_1"/>
      <w:r>
        <w:t>1 Engineering decision</w:t>
      </w:r>
      <w:bookmarkEnd w:id="11"/>
    </w:p>
    <w:p>
      <w:r>
        <w:t>We will extend Trestle's existing resource registration, operation executor, interaction descriptors, and React renderer into a reusable admin and application view system. The first release will provide collection pages, record pages, operation forms, relationship lookup, and consistent action handling. Business packages will contribute their own projections, operations, and default views. Custom React will remain able to use the same controllers and transport.</w:t>
      </w:r>
    </w:p>
    <w:p>
      <w:r>
        <w:t>The intended developer experience is precise: after explicitly registering resources and operations, an application can obtain its ordinary management screens without writing resource-specific React pages or duplicating CRUD plumbing. A developer can then configure those screens, compose a business workspace, or replace selected components.</w:t>
      </w:r>
    </w:p>
    <w:p>
      <w:r>
        <w:t>This handoff defines the proposed implementation, compatibility rules, APIs, rollout, and evidence engineering must produce. Existing implementation facts are identified against the pinned baseline and linked in the source register. New types, configuration keys, endpoints, and examples in this document are proposed interfaces. Their semantics are the design commitment; exact Rust signatures can be adjusted to the repository's generic state and registration conventions.</w:t>
      </w:r>
    </w:p>
    <w:p>
      <w:pPr>
        <w:pStyle w:val="Heading2"/>
      </w:pPr>
      <w:r>
        <w:t>Delivery scope</w:t>
      </w:r>
    </w:p>
    <w:p>
      <w:r>
        <w:t>The release described by this handoff spans phases P0 through P4. It includes an installable admin shell, collection and record routing, typed tables, bounded filtering and search, create and edit forms, action dialogs, remote relationship lookup, record-sensitive action hints, and custom component slots. It also includes a shared mutation controller, strict view decoding, compatibility checks, and a second application demonstration.</w:t>
      </w:r>
    </w:p>
    <w:p>
      <w:r>
        <w:t>P1 is the first usable internal admin milestone. P2 completes routine interactions. P3 adds composed record workspaces, reusable query projections, a basic queue view, and a stable interface for background operation status. P4 qualifies those capabilities for release. Boards, dashboards, record history, bulk work, and an application inspector are follow-on capabilities with separate acceptance criteria.</w:t>
      </w:r>
    </w:p>
    <w:p>
      <w:r>
        <w:t>The framework continues to serve JSON. Frontend bundles are separate artifacts and can share an origin through the deployment edge. Trestle owns generic application mechanics. Contacts, deals, tickets, campaigns, approval rules, and other business semantics belong in capability applications built with Trestle.</w:t>
      </w:r>
    </w:p>
    <w:p>
      <w:pPr>
        <w:pStyle w:val="Heading2"/>
      </w:pPr>
      <w:r>
        <w:t>Success criteria</w:t>
      </w:r>
    </w:p>
    <w:p>
      <w:pPr>
        <w:pStyle w:val="ListBullet"/>
      </w:pPr>
      <w:r>
        <w:t>The same compiled renderer serves two unrelated applications from their registered descriptions, including when their databases are empty.</w:t>
      </w:r>
    </w:p>
    <w:p>
      <w:pPr>
        <w:pStyle w:val="ListBullet"/>
      </w:pPr>
      <w:r>
        <w:t>Every visible write resolves to an explicitly published operation and runs through the existing executor.</w:t>
      </w:r>
    </w:p>
    <w:p>
      <w:pPr>
        <w:pStyle w:val="ListBullet"/>
      </w:pPr>
      <w:r>
        <w:t>Forms derive writable inputs from operation contracts. Read projections and database fields never implicitly become mutation inputs.</w:t>
      </w:r>
    </w:p>
    <w:p>
      <w:pPr>
        <w:pStyle w:val="ListBullet"/>
      </w:pPr>
      <w:r>
        <w:t>A developer can customize one field widget and one record section without forking the renderer or rewriting transport behavior.</w:t>
      </w:r>
    </w:p>
    <w:p>
      <w:pPr>
        <w:pStyle w:val="ListBullet"/>
      </w:pPr>
      <w:r>
        <w:t>Old frontend bundles, new backend versions, and already-open forms encounter explicit compatibility behavior.</w:t>
      </w:r>
    </w:p>
    <w:p>
      <w:pPr>
        <w:pStyle w:val="ListBullet"/>
      </w:pPr>
      <w:r>
        <w:t>Permission changes, stale records, and network failures preserve correct application state and provide an actionable interface.</w:t>
      </w:r>
    </w:p>
    <w:p>
      <w:pPr>
        <w:pStyle w:val="Heading1"/>
      </w:pPr>
      <w:bookmarkStart w:id="12" w:name="section_2"/>
      <w:r>
        <w:t>2 Existing implementation and constraints</w:t>
      </w:r>
      <w:bookmarkEnd w:id="12"/>
    </w:p>
    <w:p>
      <w:pPr>
        <w:pStyle w:val="Heading2"/>
      </w:pPr>
      <w:r>
        <w:t>Reuse the current foundation</w:t>
      </w:r>
    </w:p>
    <w:p>
      <w:r>
        <w:t xml:space="preserve">The baseline already contains a small ModelAdmin-style system. ResourceRegistration binds typed or dynamic operations to list, retrieve, create, update, delete, and action routes. AdminView supplies a title, record label, columns, filters, create/edit forms, and row actions. ResourceOp supports typed Operation implementations and Arc-backed DynOperation implementations. Intent projects can publish the same system with an explicit admin section. </w:t>
      </w:r>
      <w:hyperlink w:anchor="R1" w:history="1">
        <w:r>
          <w:rPr>
            <w:rFonts w:ascii="Arial" w:hAnsi="Arial"/>
            <w:color w:val="24587A"/>
          </w:rPr>
          <w:t xml:space="preserve">[R1]</w:t>
        </w:r>
      </w:hyperlink>
      <w:r>
        <w:t xml:space="preserve"> </w:t>
      </w:r>
      <w:hyperlink w:anchor="R2" w:history="1">
        <w:r>
          <w:rPr>
            <w:rFonts w:ascii="Arial" w:hAnsi="Arial"/>
            <w:color w:val="24587A"/>
          </w:rPr>
          <w:t xml:space="preserve">[R2]</w:t>
        </w:r>
      </w:hyperlink>
    </w:p>
    <w:p>
      <w:r>
        <w:t xml:space="preserve">OperationForm already loads and decodes an interaction descriptor, renders registered widgets, validates portable input, maps field errors, submits an interaction revision, handles If-Match, preserves PATCH omission, and displays stale or unknown outcomes. It includes basic label, focus, and live-status behavior. The form protocol has required features and revision checking. </w:t>
      </w:r>
      <w:hyperlink w:anchor="R3" w:history="1">
        <w:r>
          <w:rPr>
            <w:rFonts w:ascii="Arial" w:hAnsi="Arial"/>
            <w:color w:val="24587A"/>
          </w:rPr>
          <w:t xml:space="preserve">[R3]</w:t>
        </w:r>
      </w:hyperlink>
      <w:r>
        <w:t xml:space="preserve"> </w:t>
      </w:r>
      <w:hyperlink w:anchor="R4" w:history="1">
        <w:r>
          <w:rPr>
            <w:rFonts w:ascii="Arial" w:hAnsi="Arial"/>
            <w:color w:val="24587A"/>
          </w:rPr>
          <w:t xml:space="preserve">[R4]</w:t>
        </w:r>
      </w:hyperlink>
      <w:r>
        <w:t xml:space="preserve"> </w:t>
      </w:r>
      <w:hyperlink w:anchor="R5" w:history="1">
        <w:r>
          <w:rPr>
            <w:rFonts w:ascii="Arial" w:hAnsi="Arial"/>
            <w:color w:val="24587A"/>
          </w:rPr>
          <w:t xml:space="preserve">[R5]</w:t>
        </w:r>
      </w:hyperlink>
    </w:p>
    <w:p>
      <w:r>
        <w:t xml:space="preserve">The new public IntentDoc represents the intent file as data and validates through the same parser. Permission, Ctx::run, and Project::intent_app allow Rust operations with arbitrary output contracts to share an intent project's tenancy, role checks, and scoped connection. These are the extension points for richer reads and commands. </w:t>
      </w:r>
      <w:hyperlink w:anchor="R6" w:history="1">
        <w:r>
          <w:rPr>
            <w:rFonts w:ascii="Arial" w:hAnsi="Arial"/>
            <w:color w:val="24587A"/>
          </w:rPr>
          <w:t xml:space="preserve">[R6]</w:t>
        </w:r>
      </w:hyperlink>
      <w:r>
        <w:t xml:space="preserve"> </w:t>
      </w:r>
      <w:hyperlink w:anchor="R7" w:history="1">
        <w:r>
          <w:rPr>
            <w:rFonts w:ascii="Arial" w:hAnsi="Arial"/>
            <w:color w:val="24587A"/>
          </w:rPr>
          <w:t xml:space="preserve">[R7]</w:t>
        </w:r>
      </w:hyperlink>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1757"/>
        <w:gridCol w:w="3456"/>
        <w:gridCol w:w="4939"/>
      </w:tblGrid>
      <w:tr>
        <w:trPr>
          <w:cantSplit/>
          <w:tblHeader/>
        </w:trPr>
        <w:tc>
          <w:tcPr>
            <w:tcW w:type="dxa" w:w="1757"/>
            <w:vAlign w:val="center"/>
            <w:shd w:fill="354653"/>
          </w:tcPr>
          <w:p>
            <w:pPr>
              <w:pStyle w:val="TableText"/>
              <w:keepNext/>
              <w:widowControl/>
            </w:pPr>
            <w:r>
              <w:rPr>
                <w:b/>
                <w:color w:val="FFFFFF"/>
                <w:sz w:val="20"/>
              </w:rPr>
              <w:t>Area</w:t>
            </w:r>
          </w:p>
        </w:tc>
        <w:tc>
          <w:tcPr>
            <w:tcW w:type="dxa" w:w="3456"/>
            <w:vAlign w:val="center"/>
            <w:shd w:fill="354653"/>
          </w:tcPr>
          <w:p>
            <w:pPr>
              <w:pStyle w:val="TableText"/>
              <w:keepNext/>
              <w:widowControl/>
            </w:pPr>
            <w:r>
              <w:rPr>
                <w:b/>
                <w:color w:val="FFFFFF"/>
                <w:sz w:val="20"/>
              </w:rPr>
              <w:t>Baseline behavior</w:t>
            </w:r>
          </w:p>
        </w:tc>
        <w:tc>
          <w:tcPr>
            <w:tcW w:type="dxa" w:w="4939"/>
            <w:vAlign w:val="center"/>
            <w:shd w:fill="354653"/>
          </w:tcPr>
          <w:p>
            <w:pPr>
              <w:pStyle w:val="TableText"/>
              <w:keepNext/>
              <w:widowControl/>
            </w:pPr>
            <w:r>
              <w:rPr>
                <w:b/>
                <w:color w:val="FFFFFF"/>
                <w:sz w:val="20"/>
              </w:rPr>
              <w:t>Required extension</w:t>
            </w:r>
          </w:p>
        </w:tc>
      </w:tr>
      <w:tr>
        <w:trPr>
          <w:cantSplit/>
        </w:trPr>
        <w:tc>
          <w:tcPr>
            <w:tcW w:type="dxa" w:w="1757"/>
            <w:vAlign w:val="center"/>
          </w:tcPr>
          <w:p>
            <w:pPr>
              <w:pStyle w:val="TableText"/>
              <w:keepNext w:val="0"/>
              <w:widowControl/>
            </w:pPr>
            <w:r>
              <w:rPr>
                <w:sz w:val="20"/>
              </w:rPr>
              <w:t>Admin host</w:t>
            </w:r>
          </w:p>
        </w:tc>
        <w:tc>
          <w:tcPr>
            <w:tcW w:type="dxa" w:w="3456"/>
            <w:vAlign w:val="center"/>
          </w:tcPr>
          <w:p>
            <w:pPr>
              <w:pStyle w:val="TableText"/>
              <w:keepNext w:val="0"/>
              <w:widowControl/>
            </w:pPr>
            <w:r>
              <w:rPr>
                <w:sz w:val="20"/>
              </w:rPr>
              <w:t>Metadata resources rendered as stacked sections</w:t>
            </w:r>
          </w:p>
        </w:tc>
        <w:tc>
          <w:tcPr>
            <w:tcW w:type="dxa" w:w="4939"/>
            <w:vAlign w:val="center"/>
          </w:tcPr>
          <w:p>
            <w:pPr>
              <w:pStyle w:val="TableText"/>
              <w:keepNext w:val="0"/>
              <w:widowControl/>
            </w:pPr>
            <w:r>
              <w:rPr>
                <w:sz w:val="20"/>
              </w:rPr>
              <w:t>Navigation, routes, reusable shell</w:t>
            </w:r>
          </w:p>
        </w:tc>
      </w:tr>
      <w:tr>
        <w:trPr>
          <w:cantSplit/>
        </w:trPr>
        <w:tc>
          <w:tcPr>
            <w:tcW w:type="dxa" w:w="1757"/>
            <w:vAlign w:val="center"/>
            <w:shd w:fill="F5F6F7"/>
          </w:tcPr>
          <w:p>
            <w:pPr>
              <w:pStyle w:val="TableText"/>
              <w:keepNext w:val="0"/>
              <w:widowControl/>
            </w:pPr>
            <w:r>
              <w:rPr>
                <w:sz w:val="20"/>
              </w:rPr>
              <w:t>View metadata</w:t>
            </w:r>
          </w:p>
        </w:tc>
        <w:tc>
          <w:tcPr>
            <w:tcW w:type="dxa" w:w="3456"/>
            <w:vAlign w:val="center"/>
            <w:shd w:fill="F5F6F7"/>
          </w:tcPr>
          <w:p>
            <w:pPr>
              <w:pStyle w:val="TableText"/>
              <w:keepNext w:val="0"/>
              <w:widowControl/>
            </w:pPr>
            <w:r>
              <w:rPr>
                <w:sz w:val="20"/>
              </w:rPr>
              <w:t>Small AdminView and AdminDoc structures</w:t>
            </w:r>
          </w:p>
        </w:tc>
        <w:tc>
          <w:tcPr>
            <w:tcW w:type="dxa" w:w="4939"/>
            <w:vAlign w:val="center"/>
            <w:shd w:fill="F5F6F7"/>
          </w:tcPr>
          <w:p>
            <w:pPr>
              <w:pStyle w:val="TableText"/>
              <w:keepNext w:val="0"/>
              <w:widowControl/>
            </w:pPr>
            <w:r>
              <w:rPr>
                <w:sz w:val="20"/>
              </w:rPr>
              <w:t>General versioned view definitions</w:t>
            </w:r>
          </w:p>
        </w:tc>
      </w:tr>
      <w:tr>
        <w:trPr>
          <w:cantSplit/>
        </w:trPr>
        <w:tc>
          <w:tcPr>
            <w:tcW w:type="dxa" w:w="1757"/>
            <w:vAlign w:val="center"/>
          </w:tcPr>
          <w:p>
            <w:pPr>
              <w:pStyle w:val="TableText"/>
              <w:keepNext w:val="0"/>
              <w:widowControl/>
            </w:pPr>
            <w:r>
              <w:rPr>
                <w:sz w:val="20"/>
              </w:rPr>
              <w:t>Admin decoding</w:t>
            </w:r>
          </w:p>
        </w:tc>
        <w:tc>
          <w:tcPr>
            <w:tcW w:type="dxa" w:w="3456"/>
            <w:vAlign w:val="center"/>
          </w:tcPr>
          <w:p>
            <w:pPr>
              <w:pStyle w:val="TableText"/>
              <w:keepNext w:val="0"/>
              <w:widowControl/>
            </w:pPr>
            <w:r>
              <w:rPr>
                <w:sz w:val="20"/>
              </w:rPr>
              <w:t>Manifest accepted with TypeScript casts</w:t>
            </w:r>
          </w:p>
        </w:tc>
        <w:tc>
          <w:tcPr>
            <w:tcW w:type="dxa" w:w="4939"/>
            <w:vAlign w:val="center"/>
          </w:tcPr>
          <w:p>
            <w:pPr>
              <w:pStyle w:val="TableText"/>
              <w:keepNext w:val="0"/>
              <w:widowControl/>
            </w:pPr>
            <w:r>
              <w:rPr>
                <w:sz w:val="20"/>
              </w:rPr>
              <w:t>Strict structural and binding validation</w:t>
            </w:r>
          </w:p>
        </w:tc>
      </w:tr>
      <w:tr>
        <w:trPr>
          <w:cantSplit/>
        </w:trPr>
        <w:tc>
          <w:tcPr>
            <w:tcW w:type="dxa" w:w="1757"/>
            <w:vAlign w:val="center"/>
            <w:shd w:fill="F5F6F7"/>
          </w:tcPr>
          <w:p>
            <w:pPr>
              <w:pStyle w:val="TableText"/>
              <w:keepNext w:val="0"/>
              <w:widowControl/>
            </w:pPr>
            <w:r>
              <w:rPr>
                <w:sz w:val="20"/>
              </w:rPr>
              <w:t>Action buttons</w:t>
            </w:r>
          </w:p>
        </w:tc>
        <w:tc>
          <w:tcPr>
            <w:tcW w:type="dxa" w:w="3456"/>
            <w:vAlign w:val="center"/>
            <w:shd w:fill="F5F6F7"/>
          </w:tcPr>
          <w:p>
            <w:pPr>
              <w:pStyle w:val="TableText"/>
              <w:keepNext w:val="0"/>
              <w:widowControl/>
            </w:pPr>
            <w:r>
              <w:rPr>
                <w:sz w:val="20"/>
              </w:rPr>
              <w:t>Thin POST path with a 200 success assumption</w:t>
            </w:r>
          </w:p>
        </w:tc>
        <w:tc>
          <w:tcPr>
            <w:tcW w:type="dxa" w:w="4939"/>
            <w:vAlign w:val="center"/>
            <w:shd w:fill="F5F6F7"/>
          </w:tcPr>
          <w:p>
            <w:pPr>
              <w:pStyle w:val="TableText"/>
              <w:keepNext w:val="0"/>
              <w:widowControl/>
            </w:pPr>
            <w:r>
              <w:rPr>
                <w:sz w:val="20"/>
              </w:rPr>
              <w:t>Shared descriptor-driven invocation</w:t>
            </w:r>
          </w:p>
        </w:tc>
      </w:tr>
      <w:tr>
        <w:trPr>
          <w:cantSplit/>
        </w:trPr>
        <w:tc>
          <w:tcPr>
            <w:tcW w:type="dxa" w:w="1757"/>
            <w:vAlign w:val="center"/>
          </w:tcPr>
          <w:p>
            <w:pPr>
              <w:pStyle w:val="TableText"/>
              <w:keepNext w:val="0"/>
              <w:widowControl/>
            </w:pPr>
            <w:r>
              <w:rPr>
                <w:sz w:val="20"/>
              </w:rPr>
              <w:t>Action inputs</w:t>
            </w:r>
          </w:p>
        </w:tc>
        <w:tc>
          <w:tcPr>
            <w:tcW w:type="dxa" w:w="3456"/>
            <w:vAlign w:val="center"/>
          </w:tcPr>
          <w:p>
            <w:pPr>
              <w:pStyle w:val="TableText"/>
              <w:keepNext w:val="0"/>
              <w:widowControl/>
            </w:pPr>
            <w:r>
              <w:rPr>
                <w:sz w:val="20"/>
              </w:rPr>
              <w:t>Backend operation forms exist</w:t>
            </w:r>
          </w:p>
        </w:tc>
        <w:tc>
          <w:tcPr>
            <w:tcW w:type="dxa" w:w="4939"/>
            <w:vAlign w:val="center"/>
          </w:tcPr>
          <w:p>
            <w:pPr>
              <w:pStyle w:val="TableText"/>
              <w:keepNext w:val="0"/>
              <w:widowControl/>
            </w:pPr>
            <w:r>
              <w:rPr>
                <w:sz w:val="20"/>
              </w:rPr>
              <w:t>Bind those forms to row actions and dialogs</w:t>
            </w:r>
          </w:p>
        </w:tc>
      </w:tr>
      <w:tr>
        <w:trPr>
          <w:cantSplit/>
        </w:trPr>
        <w:tc>
          <w:tcPr>
            <w:tcW w:type="dxa" w:w="1757"/>
            <w:vAlign w:val="center"/>
            <w:shd w:fill="F5F6F7"/>
          </w:tcPr>
          <w:p>
            <w:pPr>
              <w:pStyle w:val="TableText"/>
              <w:keepNext w:val="0"/>
              <w:widowControl/>
            </w:pPr>
            <w:r>
              <w:rPr>
                <w:sz w:val="20"/>
              </w:rPr>
              <w:t>Relations</w:t>
            </w:r>
          </w:p>
        </w:tc>
        <w:tc>
          <w:tcPr>
            <w:tcW w:type="dxa" w:w="3456"/>
            <w:vAlign w:val="center"/>
            <w:shd w:fill="F5F6F7"/>
          </w:tcPr>
          <w:p>
            <w:pPr>
              <w:pStyle w:val="TableText"/>
              <w:keepNext w:val="0"/>
              <w:widowControl/>
            </w:pPr>
            <w:r>
              <w:rPr>
                <w:sz w:val="20"/>
              </w:rPr>
              <w:t>First page with at most 100 choices</w:t>
            </w:r>
          </w:p>
        </w:tc>
        <w:tc>
          <w:tcPr>
            <w:tcW w:type="dxa" w:w="4939"/>
            <w:vAlign w:val="center"/>
            <w:shd w:fill="F5F6F7"/>
          </w:tcPr>
          <w:p>
            <w:pPr>
              <w:pStyle w:val="TableText"/>
              <w:keepNext w:val="0"/>
              <w:widowControl/>
            </w:pPr>
            <w:r>
              <w:rPr>
                <w:sz w:val="20"/>
              </w:rPr>
              <w:t>Search, paging, selected-value resolution</w:t>
            </w:r>
          </w:p>
        </w:tc>
      </w:tr>
      <w:tr>
        <w:trPr>
          <w:cantSplit/>
        </w:trPr>
        <w:tc>
          <w:tcPr>
            <w:tcW w:type="dxa" w:w="1757"/>
            <w:vAlign w:val="center"/>
          </w:tcPr>
          <w:p>
            <w:pPr>
              <w:pStyle w:val="TableText"/>
              <w:keepNext w:val="0"/>
              <w:widowControl/>
            </w:pPr>
            <w:r>
              <w:rPr>
                <w:sz w:val="20"/>
              </w:rPr>
              <w:t>Form layout</w:t>
            </w:r>
          </w:p>
        </w:tc>
        <w:tc>
          <w:tcPr>
            <w:tcW w:type="dxa" w:w="3456"/>
            <w:vAlign w:val="center"/>
          </w:tcPr>
          <w:p>
            <w:pPr>
              <w:pStyle w:val="TableText"/>
              <w:keepNext w:val="0"/>
              <w:widowControl/>
            </w:pPr>
            <w:r>
              <w:rPr>
                <w:sz w:val="20"/>
              </w:rPr>
              <w:t>Vertical fields with structured value widgets</w:t>
            </w:r>
          </w:p>
        </w:tc>
        <w:tc>
          <w:tcPr>
            <w:tcW w:type="dxa" w:w="4939"/>
            <w:vAlign w:val="center"/>
          </w:tcPr>
          <w:p>
            <w:pPr>
              <w:pStyle w:val="TableText"/>
              <w:keepNext w:val="0"/>
              <w:widowControl/>
            </w:pPr>
            <w:r>
              <w:rPr>
                <w:sz w:val="20"/>
              </w:rPr>
              <w:t>Bounded sections and columns</w:t>
            </w:r>
          </w:p>
        </w:tc>
      </w:tr>
      <w:tr>
        <w:trPr>
          <w:cantSplit/>
        </w:trPr>
        <w:tc>
          <w:tcPr>
            <w:tcW w:type="dxa" w:w="1757"/>
            <w:vAlign w:val="center"/>
            <w:shd w:fill="F5F6F7"/>
          </w:tcPr>
          <w:p>
            <w:pPr>
              <w:pStyle w:val="TableText"/>
              <w:keepNext w:val="0"/>
              <w:widowControl/>
            </w:pPr>
            <w:r>
              <w:rPr>
                <w:sz w:val="20"/>
              </w:rPr>
              <w:t>Product application</w:t>
            </w:r>
          </w:p>
        </w:tc>
        <w:tc>
          <w:tcPr>
            <w:tcW w:type="dxa" w:w="3456"/>
            <w:vAlign w:val="center"/>
            <w:shd w:fill="F5F6F7"/>
          </w:tcPr>
          <w:p>
            <w:pPr>
              <w:pStyle w:val="TableText"/>
              <w:keepNext w:val="0"/>
              <w:widowControl/>
            </w:pPr>
            <w:r>
              <w:rPr>
                <w:sz w:val="20"/>
              </w:rPr>
              <w:t>Lessons and units pilot screens</w:t>
            </w:r>
          </w:p>
        </w:tc>
        <w:tc>
          <w:tcPr>
            <w:tcW w:type="dxa" w:w="4939"/>
            <w:vAlign w:val="center"/>
            <w:shd w:fill="F5F6F7"/>
          </w:tcPr>
          <w:p>
            <w:pPr>
              <w:pStyle w:val="TableText"/>
              <w:keepNext w:val="0"/>
              <w:widowControl/>
            </w:pPr>
            <w:r>
              <w:rPr>
                <w:sz w:val="20"/>
              </w:rPr>
              <w:t>Reusable composed application views</w:t>
            </w:r>
          </w:p>
        </w:tc>
      </w:tr>
      <w:tr>
        <w:trPr>
          <w:cantSplit/>
        </w:trPr>
        <w:tc>
          <w:tcPr>
            <w:tcW w:type="dxa" w:w="1757"/>
            <w:vAlign w:val="center"/>
          </w:tcPr>
          <w:p>
            <w:pPr>
              <w:pStyle w:val="TableText"/>
              <w:keepNext w:val="0"/>
              <w:widowControl/>
            </w:pPr>
            <w:r>
              <w:rPr>
                <w:sz w:val="20"/>
              </w:rPr>
              <w:t>Frontend delivery</w:t>
            </w:r>
          </w:p>
        </w:tc>
        <w:tc>
          <w:tcPr>
            <w:tcW w:type="dxa" w:w="3456"/>
            <w:vAlign w:val="center"/>
          </w:tcPr>
          <w:p>
            <w:pPr>
              <w:pStyle w:val="TableText"/>
              <w:keepNext w:val="0"/>
              <w:widowControl/>
            </w:pPr>
            <w:r>
              <w:rPr>
                <w:sz w:val="20"/>
              </w:rPr>
              <w:t>Private workspaces with source exports</w:t>
            </w:r>
          </w:p>
        </w:tc>
        <w:tc>
          <w:tcPr>
            <w:tcW w:type="dxa" w:w="4939"/>
            <w:vAlign w:val="center"/>
          </w:tcPr>
          <w:p>
            <w:pPr>
              <w:pStyle w:val="TableText"/>
              <w:keepNext w:val="0"/>
              <w:widowControl/>
            </w:pPr>
            <w:r>
              <w:rPr>
                <w:sz w:val="20"/>
              </w:rPr>
              <w:t>Built packages and an external consumer</w:t>
            </w:r>
          </w:p>
        </w:tc>
      </w:tr>
      <w:tr>
        <w:trPr>
          <w:cantSplit/>
        </w:trPr>
        <w:tc>
          <w:tcPr>
            <w:tcW w:type="dxa" w:w="1757"/>
            <w:vAlign w:val="center"/>
            <w:shd w:fill="F5F6F7"/>
          </w:tcPr>
          <w:p>
            <w:pPr>
              <w:pStyle w:val="TableText"/>
              <w:keepNext w:val="0"/>
              <w:widowControl/>
            </w:pPr>
            <w:r>
              <w:rPr>
                <w:sz w:val="20"/>
              </w:rPr>
              <w:t>CI</w:t>
            </w:r>
          </w:p>
        </w:tc>
        <w:tc>
          <w:tcPr>
            <w:tcW w:type="dxa" w:w="3456"/>
            <w:vAlign w:val="center"/>
            <w:shd w:fill="F5F6F7"/>
          </w:tcPr>
          <w:p>
            <w:pPr>
              <w:pStyle w:val="TableText"/>
              <w:keepNext w:val="0"/>
              <w:widowControl/>
            </w:pPr>
            <w:r>
              <w:rPr>
                <w:sz w:val="20"/>
              </w:rPr>
              <w:t>Frontend unit tests and typechecking</w:t>
            </w:r>
          </w:p>
        </w:tc>
        <w:tc>
          <w:tcPr>
            <w:tcW w:type="dxa" w:w="4939"/>
            <w:vAlign w:val="center"/>
            <w:shd w:fill="F5F6F7"/>
          </w:tcPr>
          <w:p>
            <w:pPr>
              <w:pStyle w:val="TableText"/>
              <w:keepNext w:val="0"/>
              <w:widowControl/>
            </w:pPr>
            <w:r>
              <w:rPr>
                <w:sz w:val="20"/>
              </w:rPr>
              <w:t>Production builds and focused browser evidence</w:t>
            </w:r>
          </w:p>
        </w:tc>
      </w:tr>
    </w:tbl>
    <w:p>
      <w:pPr>
        <w:spacing w:after="40" w:before="0" w:line="40" w:lineRule="exact"/>
      </w:pPr>
      <w:r>
        <w:rPr>
          <w:sz w:val="4"/>
        </w:rPr>
      </w:r>
    </w:p>
    <w:p>
      <w:r>
        <w:t xml:space="preserve">These gaps are present in the admin host, renderer, and workflow sources. Several recent ADRs still carry Proposed status even though their implementation is in the baseline; code and tests determine the baseline classification. </w:t>
      </w:r>
      <w:hyperlink w:anchor="R8" w:history="1">
        <w:r>
          <w:rPr>
            <w:rFonts w:ascii="Arial" w:hAnsi="Arial"/>
            <w:color w:val="24587A"/>
          </w:rPr>
          <w:t xml:space="preserve">[R8]</w:t>
        </w:r>
      </w:hyperlink>
      <w:r>
        <w:t xml:space="preserve"> </w:t>
      </w:r>
      <w:hyperlink w:anchor="R9" w:history="1">
        <w:r>
          <w:rPr>
            <w:rFonts w:ascii="Arial" w:hAnsi="Arial"/>
            <w:color w:val="24587A"/>
          </w:rPr>
          <w:t xml:space="preserve">[R9]</w:t>
        </w:r>
      </w:hyperlink>
      <w:r>
        <w:t xml:space="preserve"> </w:t>
      </w:r>
      <w:hyperlink w:anchor="R10" w:history="1">
        <w:r>
          <w:rPr>
            <w:rFonts w:ascii="Arial" w:hAnsi="Arial"/>
            <w:color w:val="24587A"/>
          </w:rPr>
          <w:t xml:space="preserve">[R10]</w:t>
        </w:r>
      </w:hyperlink>
      <w:r>
        <w:t xml:space="preserve"> </w:t>
      </w:r>
      <w:hyperlink w:anchor="R11" w:history="1">
        <w:r>
          <w:rPr>
            <w:rFonts w:ascii="Arial" w:hAnsi="Arial"/>
            <w:color w:val="24587A"/>
          </w:rPr>
          <w:t xml:space="preserve">[R11]</w:t>
        </w:r>
      </w:hyperlink>
    </w:p>
    <w:p>
      <w:pPr>
        <w:pStyle w:val="Heading2"/>
      </w:pPr>
      <w:r>
        <w:t>Invariants</w:t>
      </w:r>
    </w:p>
    <w:p>
      <w:r>
        <w:t>Engineering must preserve the following requirements across admin, business views, custom React, and direct API callers.</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9432"/>
      </w:tblGrid>
      <w:tr>
        <w:trPr>
          <w:cantSplit/>
          <w:tblHeader/>
        </w:trPr>
        <w:tc>
          <w:tcPr>
            <w:tcW w:type="dxa" w:w="720"/>
            <w:vAlign w:val="center"/>
            <w:shd w:fill="354653"/>
          </w:tcPr>
          <w:p>
            <w:pPr>
              <w:pStyle w:val="TableText"/>
              <w:keepNext/>
              <w:widowControl/>
            </w:pPr>
            <w:r>
              <w:rPr>
                <w:b/>
                <w:color w:val="FFFFFF"/>
                <w:sz w:val="20"/>
              </w:rPr>
              <w:t>ID</w:t>
            </w:r>
          </w:p>
        </w:tc>
        <w:tc>
          <w:tcPr>
            <w:tcW w:type="dxa" w:w="9432"/>
            <w:vAlign w:val="center"/>
            <w:shd w:fill="354653"/>
          </w:tcPr>
          <w:p>
            <w:pPr>
              <w:pStyle w:val="TableText"/>
              <w:keepNext/>
              <w:widowControl/>
            </w:pPr>
            <w:r>
              <w:rPr>
                <w:b/>
                <w:color w:val="FFFFFF"/>
                <w:sz w:val="20"/>
              </w:rPr>
              <w:t>Requirement</w:t>
            </w:r>
          </w:p>
        </w:tc>
      </w:tr>
      <w:tr>
        <w:trPr>
          <w:cantSplit/>
        </w:trPr>
        <w:tc>
          <w:tcPr>
            <w:tcW w:type="dxa" w:w="720"/>
            <w:vAlign w:val="center"/>
          </w:tcPr>
          <w:p>
            <w:pPr>
              <w:pStyle w:val="TableText"/>
              <w:keepNext w:val="0"/>
              <w:widowControl/>
            </w:pPr>
            <w:r>
              <w:rPr>
                <w:b/>
                <w:sz w:val="20"/>
              </w:rPr>
              <w:t>V01</w:t>
            </w:r>
          </w:p>
        </w:tc>
        <w:tc>
          <w:tcPr>
            <w:tcW w:type="dxa" w:w="9432"/>
            <w:vAlign w:val="center"/>
          </w:tcPr>
          <w:p>
            <w:pPr>
              <w:pStyle w:val="TableText"/>
              <w:keepNext w:val="0"/>
              <w:widowControl/>
            </w:pPr>
            <w:r>
              <w:rPr>
                <w:sz w:val="20"/>
              </w:rPr>
              <w:t>Model registration alone publishes no API, form, view, or writable field.</w:t>
            </w:r>
          </w:p>
        </w:tc>
      </w:tr>
      <w:tr>
        <w:trPr>
          <w:cantSplit/>
        </w:trPr>
        <w:tc>
          <w:tcPr>
            <w:tcW w:type="dxa" w:w="720"/>
            <w:vAlign w:val="center"/>
            <w:shd w:fill="F5F6F7"/>
          </w:tcPr>
          <w:p>
            <w:pPr>
              <w:pStyle w:val="TableText"/>
              <w:keepNext w:val="0"/>
              <w:widowControl/>
            </w:pPr>
            <w:r>
              <w:rPr>
                <w:b/>
                <w:sz w:val="20"/>
              </w:rPr>
              <w:t>V02</w:t>
            </w:r>
          </w:p>
        </w:tc>
        <w:tc>
          <w:tcPr>
            <w:tcW w:type="dxa" w:w="9432"/>
            <w:vAlign w:val="center"/>
            <w:shd w:fill="F5F6F7"/>
          </w:tcPr>
          <w:p>
            <w:pPr>
              <w:pStyle w:val="TableText"/>
              <w:keepNext w:val="0"/>
              <w:widowControl/>
            </w:pPr>
            <w:r>
              <w:rPr>
                <w:sz w:val="20"/>
              </w:rPr>
              <w:t>ContractDoc remains the authority for wire inputs and outputs. View metadata references or exports those contracts.</w:t>
            </w:r>
          </w:p>
        </w:tc>
      </w:tr>
      <w:tr>
        <w:trPr>
          <w:cantSplit/>
        </w:trPr>
        <w:tc>
          <w:tcPr>
            <w:tcW w:type="dxa" w:w="720"/>
            <w:vAlign w:val="center"/>
          </w:tcPr>
          <w:p>
            <w:pPr>
              <w:pStyle w:val="TableText"/>
              <w:keepNext w:val="0"/>
              <w:widowControl/>
            </w:pPr>
            <w:r>
              <w:rPr>
                <w:b/>
                <w:sz w:val="20"/>
              </w:rPr>
              <w:t>V03</w:t>
            </w:r>
          </w:p>
        </w:tc>
        <w:tc>
          <w:tcPr>
            <w:tcW w:type="dxa" w:w="9432"/>
            <w:vAlign w:val="center"/>
          </w:tcPr>
          <w:p>
            <w:pPr>
              <w:pStyle w:val="TableText"/>
              <w:keepNext w:val="0"/>
              <w:widowControl/>
            </w:pPr>
            <w:r>
              <w:rPr>
                <w:sz w:val="20"/>
              </w:rPr>
              <w:t>All writes use the existing executor and its authorization, transaction, output-validation, and commit classification path.</w:t>
            </w:r>
          </w:p>
        </w:tc>
      </w:tr>
      <w:tr>
        <w:trPr>
          <w:cantSplit/>
        </w:trPr>
        <w:tc>
          <w:tcPr>
            <w:tcW w:type="dxa" w:w="720"/>
            <w:vAlign w:val="center"/>
            <w:shd w:fill="F5F6F7"/>
          </w:tcPr>
          <w:p>
            <w:pPr>
              <w:pStyle w:val="TableText"/>
              <w:keepNext w:val="0"/>
              <w:widowControl/>
            </w:pPr>
            <w:r>
              <w:rPr>
                <w:b/>
                <w:sz w:val="20"/>
              </w:rPr>
              <w:t>V04</w:t>
            </w:r>
          </w:p>
        </w:tc>
        <w:tc>
          <w:tcPr>
            <w:tcW w:type="dxa" w:w="9432"/>
            <w:vAlign w:val="center"/>
            <w:shd w:fill="F5F6F7"/>
          </w:tcPr>
          <w:p>
            <w:pPr>
              <w:pStyle w:val="TableText"/>
              <w:keepNext w:val="0"/>
              <w:widowControl/>
            </w:pPr>
            <w:r>
              <w:rPr>
                <w:sz w:val="20"/>
              </w:rPr>
              <w:t>Actor and tenant are resolved from trusted context. Client route values and hidden controls cannot supply authority.</w:t>
            </w:r>
          </w:p>
        </w:tc>
      </w:tr>
      <w:tr>
        <w:trPr>
          <w:cantSplit/>
        </w:trPr>
        <w:tc>
          <w:tcPr>
            <w:tcW w:type="dxa" w:w="720"/>
            <w:vAlign w:val="center"/>
          </w:tcPr>
          <w:p>
            <w:pPr>
              <w:pStyle w:val="TableText"/>
              <w:keepNext w:val="0"/>
              <w:widowControl/>
            </w:pPr>
            <w:r>
              <w:rPr>
                <w:b/>
                <w:sz w:val="20"/>
              </w:rPr>
              <w:t>V05</w:t>
            </w:r>
          </w:p>
        </w:tc>
        <w:tc>
          <w:tcPr>
            <w:tcW w:type="dxa" w:w="9432"/>
            <w:vAlign w:val="center"/>
          </w:tcPr>
          <w:p>
            <w:pPr>
              <w:pStyle w:val="TableText"/>
              <w:keepNext w:val="0"/>
              <w:widowControl/>
            </w:pPr>
            <w:r>
              <w:rPr>
                <w:sz w:val="20"/>
              </w:rPr>
              <w:t>Tenant and disclosure scope apply before paging, counting, search, relation lookup, or data projection.</w:t>
            </w:r>
          </w:p>
        </w:tc>
      </w:tr>
      <w:tr>
        <w:trPr>
          <w:cantSplit/>
        </w:trPr>
        <w:tc>
          <w:tcPr>
            <w:tcW w:type="dxa" w:w="720"/>
            <w:vAlign w:val="center"/>
            <w:shd w:fill="F5F6F7"/>
          </w:tcPr>
          <w:p>
            <w:pPr>
              <w:pStyle w:val="TableText"/>
              <w:keepNext w:val="0"/>
              <w:widowControl/>
            </w:pPr>
            <w:r>
              <w:rPr>
                <w:b/>
                <w:sz w:val="20"/>
              </w:rPr>
              <w:t>V06</w:t>
            </w:r>
          </w:p>
        </w:tc>
        <w:tc>
          <w:tcPr>
            <w:tcW w:type="dxa" w:w="9432"/>
            <w:vAlign w:val="center"/>
            <w:shd w:fill="F5F6F7"/>
          </w:tcPr>
          <w:p>
            <w:pPr>
              <w:pStyle w:val="TableText"/>
              <w:keepNext w:val="0"/>
              <w:widowControl/>
            </w:pPr>
            <w:r>
              <w:rPr>
                <w:sz w:val="20"/>
              </w:rPr>
              <w:t>Read output fields and writable input fields are separate. Hiding a control never substitutes for server enforcement.</w:t>
            </w:r>
          </w:p>
        </w:tc>
      </w:tr>
      <w:tr>
        <w:trPr>
          <w:cantSplit/>
        </w:trPr>
        <w:tc>
          <w:tcPr>
            <w:tcW w:type="dxa" w:w="720"/>
            <w:vAlign w:val="center"/>
          </w:tcPr>
          <w:p>
            <w:pPr>
              <w:pStyle w:val="TableText"/>
              <w:keepNext w:val="0"/>
              <w:widowControl/>
            </w:pPr>
            <w:r>
              <w:rPr>
                <w:b/>
                <w:sz w:val="20"/>
              </w:rPr>
              <w:t>V07</w:t>
            </w:r>
          </w:p>
        </w:tc>
        <w:tc>
          <w:tcPr>
            <w:tcW w:type="dxa" w:w="9432"/>
            <w:vAlign w:val="center"/>
          </w:tcPr>
          <w:p>
            <w:pPr>
              <w:pStyle w:val="TableText"/>
              <w:keepNext w:val="0"/>
              <w:widowControl/>
            </w:pPr>
            <w:r>
              <w:rPr>
                <w:sz w:val="20"/>
              </w:rPr>
              <w:t>View availability is advisory. Submission rechecks current authority, record state, and concurrency.</w:t>
            </w:r>
          </w:p>
        </w:tc>
      </w:tr>
      <w:tr>
        <w:trPr>
          <w:cantSplit/>
        </w:trPr>
        <w:tc>
          <w:tcPr>
            <w:tcW w:type="dxa" w:w="720"/>
            <w:vAlign w:val="center"/>
            <w:shd w:fill="F5F6F7"/>
          </w:tcPr>
          <w:p>
            <w:pPr>
              <w:pStyle w:val="TableText"/>
              <w:keepNext w:val="0"/>
              <w:widowControl/>
            </w:pPr>
            <w:r>
              <w:rPr>
                <w:b/>
                <w:sz w:val="20"/>
              </w:rPr>
              <w:t>V08</w:t>
            </w:r>
          </w:p>
        </w:tc>
        <w:tc>
          <w:tcPr>
            <w:tcW w:type="dxa" w:w="9432"/>
            <w:vAlign w:val="center"/>
            <w:shd w:fill="F5F6F7"/>
          </w:tcPr>
          <w:p>
            <w:pPr>
              <w:pStyle w:val="TableText"/>
              <w:keepNext w:val="0"/>
              <w:widowControl/>
            </w:pPr>
            <w:r>
              <w:rPr>
                <w:sz w:val="20"/>
              </w:rPr>
              <w:t>Views and presentation changes do not produce database migrations unless their own persisted configuration schema changes.</w:t>
            </w:r>
          </w:p>
        </w:tc>
      </w:tr>
      <w:tr>
        <w:trPr>
          <w:cantSplit/>
        </w:trPr>
        <w:tc>
          <w:tcPr>
            <w:tcW w:type="dxa" w:w="720"/>
            <w:vAlign w:val="center"/>
          </w:tcPr>
          <w:p>
            <w:pPr>
              <w:pStyle w:val="TableText"/>
              <w:keepNext w:val="0"/>
              <w:widowControl/>
            </w:pPr>
            <w:r>
              <w:rPr>
                <w:b/>
                <w:sz w:val="20"/>
              </w:rPr>
              <w:t>V09</w:t>
            </w:r>
          </w:p>
        </w:tc>
        <w:tc>
          <w:tcPr>
            <w:tcW w:type="dxa" w:w="9432"/>
            <w:vAlign w:val="center"/>
          </w:tcPr>
          <w:p>
            <w:pPr>
              <w:pStyle w:val="TableText"/>
              <w:keepNext w:val="0"/>
              <w:widowControl/>
            </w:pPr>
            <w:r>
              <w:rPr>
                <w:sz w:val="20"/>
              </w:rPr>
              <w:t>Registration, validation, and static export remain deterministic and usable offline. No registration path leaks owned data.</w:t>
            </w:r>
          </w:p>
        </w:tc>
      </w:tr>
      <w:tr>
        <w:trPr>
          <w:cantSplit/>
        </w:trPr>
        <w:tc>
          <w:tcPr>
            <w:tcW w:type="dxa" w:w="720"/>
            <w:vAlign w:val="center"/>
            <w:shd w:fill="F5F6F7"/>
          </w:tcPr>
          <w:p>
            <w:pPr>
              <w:pStyle w:val="TableText"/>
              <w:keepNext w:val="0"/>
              <w:widowControl/>
            </w:pPr>
            <w:r>
              <w:rPr>
                <w:b/>
                <w:sz w:val="20"/>
              </w:rPr>
              <w:t>V10</w:t>
            </w:r>
          </w:p>
        </w:tc>
        <w:tc>
          <w:tcPr>
            <w:tcW w:type="dxa" w:w="9432"/>
            <w:vAlign w:val="center"/>
            <w:shd w:fill="F5F6F7"/>
          </w:tcPr>
          <w:p>
            <w:pPr>
              <w:pStyle w:val="TableText"/>
              <w:keepNext w:val="0"/>
              <w:widowControl/>
            </w:pPr>
            <w:r>
              <w:rPr>
                <w:sz w:val="20"/>
              </w:rPr>
              <w:t>Unknown required renderer features disable the affected interaction. Unsupported input or binding semantics are never dropped silently.</w:t>
            </w:r>
          </w:p>
        </w:tc>
      </w:tr>
      <w:tr>
        <w:trPr>
          <w:cantSplit/>
        </w:trPr>
        <w:tc>
          <w:tcPr>
            <w:tcW w:type="dxa" w:w="720"/>
            <w:vAlign w:val="center"/>
          </w:tcPr>
          <w:p>
            <w:pPr>
              <w:pStyle w:val="TableText"/>
              <w:keepNext w:val="0"/>
              <w:widowControl/>
            </w:pPr>
            <w:r>
              <w:rPr>
                <w:b/>
                <w:sz w:val="20"/>
              </w:rPr>
              <w:t>V11</w:t>
            </w:r>
          </w:p>
        </w:tc>
        <w:tc>
          <w:tcPr>
            <w:tcW w:type="dxa" w:w="9432"/>
            <w:vAlign w:val="center"/>
          </w:tcPr>
          <w:p>
            <w:pPr>
              <w:pStyle w:val="TableText"/>
              <w:keepNext w:val="0"/>
              <w:widowControl/>
            </w:pPr>
            <w:r>
              <w:rPr>
                <w:sz w:val="20"/>
              </w:rPr>
              <w:t>A network timeout, cancellation, or malformed reply does not prove a dispatched write failed.</w:t>
            </w:r>
          </w:p>
        </w:tc>
      </w:tr>
      <w:tr>
        <w:trPr>
          <w:cantSplit/>
        </w:trPr>
        <w:tc>
          <w:tcPr>
            <w:tcW w:type="dxa" w:w="720"/>
            <w:vAlign w:val="center"/>
            <w:shd w:fill="F5F6F7"/>
          </w:tcPr>
          <w:p>
            <w:pPr>
              <w:pStyle w:val="TableText"/>
              <w:keepNext w:val="0"/>
              <w:widowControl/>
            </w:pPr>
            <w:r>
              <w:rPr>
                <w:b/>
                <w:sz w:val="20"/>
              </w:rPr>
              <w:t>V12</w:t>
            </w:r>
          </w:p>
        </w:tc>
        <w:tc>
          <w:tcPr>
            <w:tcW w:type="dxa" w:w="9432"/>
            <w:vAlign w:val="center"/>
            <w:shd w:fill="F5F6F7"/>
          </w:tcPr>
          <w:p>
            <w:pPr>
              <w:pStyle w:val="TableText"/>
              <w:keepNext w:val="0"/>
              <w:widowControl/>
            </w:pPr>
            <w:r>
              <w:rPr>
                <w:sz w:val="20"/>
              </w:rPr>
              <w:t>Multi-record atomicity belongs to an explicit aggregate operation using one executor-owned transaction.</w:t>
            </w:r>
          </w:p>
        </w:tc>
      </w:tr>
      <w:tr>
        <w:trPr>
          <w:cantSplit/>
        </w:trPr>
        <w:tc>
          <w:tcPr>
            <w:tcW w:type="dxa" w:w="720"/>
            <w:vAlign w:val="center"/>
          </w:tcPr>
          <w:p>
            <w:pPr>
              <w:pStyle w:val="TableText"/>
              <w:keepNext w:val="0"/>
              <w:widowControl/>
            </w:pPr>
            <w:r>
              <w:rPr>
                <w:b/>
                <w:sz w:val="20"/>
              </w:rPr>
              <w:t>V13</w:t>
            </w:r>
          </w:p>
        </w:tc>
        <w:tc>
          <w:tcPr>
            <w:tcW w:type="dxa" w:w="9432"/>
            <w:vAlign w:val="center"/>
          </w:tcPr>
          <w:p>
            <w:pPr>
              <w:pStyle w:val="TableText"/>
              <w:keepNext w:val="0"/>
              <w:widowControl/>
            </w:pPr>
            <w:r>
              <w:rPr>
                <w:sz w:val="20"/>
              </w:rPr>
              <w:t>Business semantics remain in capability crates. The interface layer supplies reusable mechanics and presentation.</w:t>
            </w:r>
          </w:p>
        </w:tc>
      </w:tr>
      <w:tr>
        <w:trPr>
          <w:cantSplit/>
        </w:trPr>
        <w:tc>
          <w:tcPr>
            <w:tcW w:type="dxa" w:w="720"/>
            <w:vAlign w:val="center"/>
            <w:shd w:fill="F5F6F7"/>
          </w:tcPr>
          <w:p>
            <w:pPr>
              <w:pStyle w:val="TableText"/>
              <w:keepNext w:val="0"/>
              <w:widowControl/>
            </w:pPr>
            <w:r>
              <w:rPr>
                <w:b/>
                <w:sz w:val="20"/>
              </w:rPr>
              <w:t>V14</w:t>
            </w:r>
          </w:p>
        </w:tc>
        <w:tc>
          <w:tcPr>
            <w:tcW w:type="dxa" w:w="9432"/>
            <w:vAlign w:val="center"/>
            <w:shd w:fill="F5F6F7"/>
          </w:tcPr>
          <w:p>
            <w:pPr>
              <w:pStyle w:val="TableText"/>
              <w:keepNext w:val="0"/>
              <w:widowControl/>
            </w:pPr>
            <w:r>
              <w:rPr>
                <w:sz w:val="20"/>
              </w:rPr>
              <w:t>A frontend component must be included in a verified build before a descriptor can require it.</w:t>
            </w:r>
          </w:p>
        </w:tc>
      </w:tr>
    </w:tbl>
    <w:p>
      <w:pPr>
        <w:spacing w:after="40" w:before="0" w:line="40" w:lineRule="exact"/>
      </w:pPr>
      <w:r>
        <w:rPr>
          <w:sz w:val="4"/>
        </w:rPr>
      </w:r>
    </w:p>
    <w:p>
      <w:r>
        <w:t xml:space="preserve">These extend the existing framework invariants and preserve the resource, migration, and invocation boundaries. </w:t>
      </w:r>
      <w:hyperlink w:anchor="R12" w:history="1">
        <w:r>
          <w:rPr>
            <w:rFonts w:ascii="Arial" w:hAnsi="Arial"/>
            <w:color w:val="24587A"/>
          </w:rPr>
          <w:t xml:space="preserve">[R12]</w:t>
        </w:r>
      </w:hyperlink>
      <w:r>
        <w:t xml:space="preserve"> </w:t>
      </w:r>
      <w:hyperlink w:anchor="R13" w:history="1">
        <w:r>
          <w:rPr>
            <w:rFonts w:ascii="Arial" w:hAnsi="Arial"/>
            <w:color w:val="24587A"/>
          </w:rPr>
          <w:t xml:space="preserve">[R13]</w:t>
        </w:r>
      </w:hyperlink>
      <w:r>
        <w:t xml:space="preserve"> </w:t>
      </w:r>
      <w:hyperlink w:anchor="R14" w:history="1">
        <w:r>
          <w:rPr>
            <w:rFonts w:ascii="Arial" w:hAnsi="Arial"/>
            <w:color w:val="24587A"/>
          </w:rPr>
          <w:t xml:space="preserve">[R14]</w:t>
        </w:r>
      </w:hyperlink>
    </w:p>
    <w:p>
      <w:pPr>
        <w:pStyle w:val="Heading2"/>
      </w:pPr>
      <w:r>
        <w:t>Limits that affect this design</w:t>
      </w:r>
    </w:p>
    <w:p>
      <w:r>
        <w:t xml:space="preserve">Declared effects are useful for inspection and invalidation hints, but writes and egress declarations are not a sandbox. Read-only transaction enforcement has a configurable production behavior; it is not universally enabled for every release build. Do not represent an operation's declaration as proof that arbitrary Rust code cannot write or contact an external service. </w:t>
      </w:r>
      <w:hyperlink w:anchor="R15" w:history="1">
        <w:r>
          <w:rPr>
            <w:rFonts w:ascii="Arial" w:hAnsi="Arial"/>
            <w:color w:val="24587A"/>
          </w:rPr>
          <w:t xml:space="preserve">[R15]</w:t>
        </w:r>
      </w:hyperlink>
    </w:p>
    <w:p>
      <w:r>
        <w:t xml:space="preserve">Durable jobs are delivered at least once. Opted-in operation receipts can deduplicate committed effects within their retention window, which is currently 24 hours. Custom intent data writes do not automatically supply every business concurrency check. Generated CRUD is not an automatic business audit facility. Each added convenience must preserve these actual guarantees. </w:t>
      </w:r>
      <w:hyperlink w:anchor="R7" w:history="1">
        <w:r>
          <w:rPr>
            <w:rFonts w:ascii="Arial" w:hAnsi="Arial"/>
            <w:color w:val="24587A"/>
          </w:rPr>
          <w:t xml:space="preserve">[R7]</w:t>
        </w:r>
      </w:hyperlink>
      <w:r>
        <w:t xml:space="preserve"> </w:t>
      </w:r>
      <w:hyperlink w:anchor="R16" w:history="1">
        <w:r>
          <w:rPr>
            <w:rFonts w:ascii="Arial" w:hAnsi="Arial"/>
            <w:color w:val="24587A"/>
          </w:rPr>
          <w:t xml:space="preserve">[R16]</w:t>
        </w:r>
      </w:hyperlink>
      <w:r>
        <w:t xml:space="preserve"> </w:t>
      </w:r>
      <w:hyperlink w:anchor="R17" w:history="1">
        <w:r>
          <w:rPr>
            <w:rFonts w:ascii="Arial" w:hAnsi="Arial"/>
            <w:color w:val="24587A"/>
          </w:rPr>
          <w:t xml:space="preserve">[R17]</w:t>
        </w:r>
      </w:hyperlink>
      <w:r>
        <w:t xml:space="preserve"> </w:t>
      </w:r>
      <w:hyperlink w:anchor="R18" w:history="1">
        <w:r>
          <w:rPr>
            <w:rFonts w:ascii="Arial" w:hAnsi="Arial"/>
            <w:color w:val="24587A"/>
          </w:rPr>
          <w:t xml:space="preserve">[R18]</w:t>
        </w:r>
      </w:hyperlink>
    </w:p>
    <w:p>
      <w:pPr>
        <w:pStyle w:val="Heading1"/>
      </w:pPr>
      <w:bookmarkStart w:id="13" w:name="section_3"/>
      <w:r>
        <w:t>3 Architecture and ownership</w:t>
      </w:r>
      <w:bookmarkEnd w:id="13"/>
    </w:p>
    <w:p>
      <w:pPr>
        <w:pStyle w:val="Heading2"/>
      </w:pPr>
      <w:r>
        <w:t>Component responsibilities</w:t>
      </w:r>
    </w:p>
    <w:p>
      <w:r>
        <w:t>Use the existing registry as the assembly authority. Add portable view documents to trestle-protocol and runtime view registration/publication to trestle-core. Expose supported APIs through the trestle facade. Keep React and browser dependencies in frontend packages.</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664"/>
        <w:gridCol w:w="7488"/>
      </w:tblGrid>
      <w:tr>
        <w:trPr>
          <w:cantSplit/>
          <w:tblHeader/>
        </w:trPr>
        <w:tc>
          <w:tcPr>
            <w:tcW w:type="dxa" w:w="2664"/>
            <w:vAlign w:val="center"/>
            <w:shd w:fill="354653"/>
          </w:tcPr>
          <w:p>
            <w:pPr>
              <w:pStyle w:val="TableText"/>
              <w:keepNext/>
              <w:widowControl/>
            </w:pPr>
            <w:r>
              <w:rPr>
                <w:b/>
                <w:color w:val="FFFFFF"/>
                <w:sz w:val="20"/>
              </w:rPr>
              <w:t>Component</w:t>
            </w:r>
          </w:p>
        </w:tc>
        <w:tc>
          <w:tcPr>
            <w:tcW w:type="dxa" w:w="7488"/>
            <w:vAlign w:val="center"/>
            <w:shd w:fill="354653"/>
          </w:tcPr>
          <w:p>
            <w:pPr>
              <w:pStyle w:val="TableText"/>
              <w:keepNext/>
              <w:widowControl/>
            </w:pPr>
            <w:r>
              <w:rPr>
                <w:b/>
                <w:color w:val="FFFFFF"/>
                <w:sz w:val="20"/>
              </w:rPr>
              <w:t>Responsibility</w:t>
            </w:r>
          </w:p>
        </w:tc>
      </w:tr>
      <w:tr>
        <w:trPr>
          <w:cantSplit/>
        </w:trPr>
        <w:tc>
          <w:tcPr>
            <w:tcW w:type="dxa" w:w="2664"/>
            <w:vAlign w:val="center"/>
          </w:tcPr>
          <w:p>
            <w:pPr>
              <w:pStyle w:val="TableText"/>
              <w:keepNext w:val="0"/>
              <w:widowControl/>
            </w:pPr>
            <w:r>
              <w:rPr>
                <w:sz w:val="20"/>
              </w:rPr>
              <w:t>trestle-protocol</w:t>
            </w:r>
          </w:p>
        </w:tc>
        <w:tc>
          <w:tcPr>
            <w:tcW w:type="dxa" w:w="7488"/>
            <w:vAlign w:val="center"/>
          </w:tcPr>
          <w:p>
            <w:pPr>
              <w:pStyle w:val="TableText"/>
              <w:keepNext w:val="0"/>
              <w:widowControl/>
            </w:pPr>
            <w:r>
              <w:rPr>
                <w:sz w:val="20"/>
              </w:rPr>
              <w:t>Portable view and action descriptions, revision rules, schema-derived exports</w:t>
            </w:r>
          </w:p>
        </w:tc>
      </w:tr>
      <w:tr>
        <w:trPr>
          <w:cantSplit/>
        </w:trPr>
        <w:tc>
          <w:tcPr>
            <w:tcW w:type="dxa" w:w="2664"/>
            <w:vAlign w:val="center"/>
            <w:shd w:fill="F5F6F7"/>
          </w:tcPr>
          <w:p>
            <w:pPr>
              <w:pStyle w:val="TableText"/>
              <w:keepNext w:val="0"/>
              <w:widowControl/>
            </w:pPr>
            <w:r>
              <w:rPr>
                <w:sz w:val="20"/>
              </w:rPr>
              <w:t>trestle-core</w:t>
            </w:r>
          </w:p>
        </w:tc>
        <w:tc>
          <w:tcPr>
            <w:tcW w:type="dxa" w:w="7488"/>
            <w:vAlign w:val="center"/>
            <w:shd w:fill="F5F6F7"/>
          </w:tcPr>
          <w:p>
            <w:pPr>
              <w:pStyle w:val="TableText"/>
              <w:keepNext w:val="0"/>
              <w:widowControl/>
            </w:pPr>
            <w:r>
              <w:rPr>
                <w:sz w:val="20"/>
              </w:rPr>
              <w:t>Registration, reference checking, publication policy, binding resolution, metadata routes</w:t>
            </w:r>
          </w:p>
        </w:tc>
      </w:tr>
      <w:tr>
        <w:trPr>
          <w:cantSplit/>
        </w:trPr>
        <w:tc>
          <w:tcPr>
            <w:tcW w:type="dxa" w:w="2664"/>
            <w:vAlign w:val="center"/>
          </w:tcPr>
          <w:p>
            <w:pPr>
              <w:pStyle w:val="TableText"/>
              <w:keepNext w:val="0"/>
              <w:widowControl/>
            </w:pPr>
            <w:r>
              <w:rPr>
                <w:sz w:val="20"/>
              </w:rPr>
              <w:t>trestle facade</w:t>
            </w:r>
          </w:p>
        </w:tc>
        <w:tc>
          <w:tcPr>
            <w:tcW w:type="dxa" w:w="7488"/>
            <w:vAlign w:val="center"/>
          </w:tcPr>
          <w:p>
            <w:pPr>
              <w:pStyle w:val="TableText"/>
              <w:keepNext w:val="0"/>
              <w:widowControl/>
            </w:pPr>
            <w:r>
              <w:rPr>
                <w:sz w:val="20"/>
              </w:rPr>
              <w:t>Intent schema parity, public builders, scaffold and command integration</w:t>
            </w:r>
          </w:p>
        </w:tc>
      </w:tr>
      <w:tr>
        <w:trPr>
          <w:cantSplit/>
        </w:trPr>
        <w:tc>
          <w:tcPr>
            <w:tcW w:type="dxa" w:w="2664"/>
            <w:vAlign w:val="center"/>
            <w:shd w:fill="F5F6F7"/>
          </w:tcPr>
          <w:p>
            <w:pPr>
              <w:pStyle w:val="TableText"/>
              <w:keepNext w:val="0"/>
              <w:widowControl/>
            </w:pPr>
            <w:r>
              <w:rPr>
                <w:sz w:val="20"/>
              </w:rPr>
              <w:t>@trestle/client</w:t>
            </w:r>
          </w:p>
        </w:tc>
        <w:tc>
          <w:tcPr>
            <w:tcW w:type="dxa" w:w="7488"/>
            <w:vAlign w:val="center"/>
            <w:shd w:fill="F5F6F7"/>
          </w:tcPr>
          <w:p>
            <w:pPr>
              <w:pStyle w:val="TableText"/>
              <w:keepNext w:val="0"/>
              <w:widowControl/>
            </w:pPr>
            <w:r>
              <w:rPr>
                <w:sz w:val="20"/>
              </w:rPr>
              <w:t>Proposed pure TypeScript transport types, decoders, query keys, invocation state</w:t>
            </w:r>
          </w:p>
        </w:tc>
      </w:tr>
      <w:tr>
        <w:trPr>
          <w:cantSplit/>
        </w:trPr>
        <w:tc>
          <w:tcPr>
            <w:tcW w:type="dxa" w:w="2664"/>
            <w:vAlign w:val="center"/>
          </w:tcPr>
          <w:p>
            <w:pPr>
              <w:pStyle w:val="TableText"/>
              <w:keepNext w:val="0"/>
              <w:widowControl/>
            </w:pPr>
            <w:r>
              <w:rPr>
                <w:sz w:val="20"/>
              </w:rPr>
              <w:t>@trestle/interaction-react</w:t>
            </w:r>
          </w:p>
        </w:tc>
        <w:tc>
          <w:tcPr>
            <w:tcW w:type="dxa" w:w="7488"/>
            <w:vAlign w:val="center"/>
          </w:tcPr>
          <w:p>
            <w:pPr>
              <w:pStyle w:val="TableText"/>
              <w:keepNext w:val="0"/>
              <w:widowControl/>
            </w:pPr>
            <w:r>
              <w:rPr>
                <w:sz w:val="20"/>
              </w:rPr>
              <w:t>Existing form renderer, widgets, React adapters, public compatibility exports</w:t>
            </w:r>
          </w:p>
        </w:tc>
      </w:tr>
      <w:tr>
        <w:trPr>
          <w:cantSplit/>
        </w:trPr>
        <w:tc>
          <w:tcPr>
            <w:tcW w:type="dxa" w:w="2664"/>
            <w:vAlign w:val="center"/>
            <w:shd w:fill="F5F6F7"/>
          </w:tcPr>
          <w:p>
            <w:pPr>
              <w:pStyle w:val="TableText"/>
              <w:keepNext w:val="0"/>
              <w:widowControl/>
            </w:pPr>
            <w:r>
              <w:rPr>
                <w:sz w:val="20"/>
              </w:rPr>
              <w:t>@trestle/admin-react</w:t>
            </w:r>
          </w:p>
        </w:tc>
        <w:tc>
          <w:tcPr>
            <w:tcW w:type="dxa" w:w="7488"/>
            <w:vAlign w:val="center"/>
            <w:shd w:fill="F5F6F7"/>
          </w:tcPr>
          <w:p>
            <w:pPr>
              <w:pStyle w:val="TableText"/>
              <w:keepNext w:val="0"/>
              <w:widowControl/>
            </w:pPr>
            <w:r>
              <w:rPr>
                <w:sz w:val="20"/>
              </w:rPr>
              <w:t>Proposed reusable admin shell and resource components</w:t>
            </w:r>
          </w:p>
        </w:tc>
      </w:tr>
      <w:tr>
        <w:trPr>
          <w:cantSplit/>
        </w:trPr>
        <w:tc>
          <w:tcPr>
            <w:tcW w:type="dxa" w:w="2664"/>
            <w:vAlign w:val="center"/>
          </w:tcPr>
          <w:p>
            <w:pPr>
              <w:pStyle w:val="TableText"/>
              <w:keepNext w:val="0"/>
              <w:widowControl/>
            </w:pPr>
            <w:r>
              <w:rPr>
                <w:sz w:val="20"/>
              </w:rPr>
              <w:t>frontend/admin</w:t>
            </w:r>
          </w:p>
        </w:tc>
        <w:tc>
          <w:tcPr>
            <w:tcW w:type="dxa" w:w="7488"/>
            <w:vAlign w:val="center"/>
          </w:tcPr>
          <w:p>
            <w:pPr>
              <w:pStyle w:val="TableText"/>
              <w:keepNext w:val="0"/>
              <w:widowControl/>
            </w:pPr>
            <w:r>
              <w:rPr>
                <w:sz w:val="20"/>
              </w:rPr>
              <w:t>Deployable reference host consuming the packages</w:t>
            </w:r>
          </w:p>
        </w:tc>
      </w:tr>
      <w:tr>
        <w:trPr>
          <w:cantSplit/>
        </w:trPr>
        <w:tc>
          <w:tcPr>
            <w:tcW w:type="dxa" w:w="2664"/>
            <w:vAlign w:val="center"/>
            <w:shd w:fill="F5F6F7"/>
          </w:tcPr>
          <w:p>
            <w:pPr>
              <w:pStyle w:val="TableText"/>
              <w:keepNext w:val="0"/>
              <w:widowControl/>
            </w:pPr>
            <w:r>
              <w:rPr>
                <w:sz w:val="20"/>
              </w:rPr>
              <w:t>Capability applications</w:t>
            </w:r>
          </w:p>
        </w:tc>
        <w:tc>
          <w:tcPr>
            <w:tcW w:type="dxa" w:w="7488"/>
            <w:vAlign w:val="center"/>
            <w:shd w:fill="F5F6F7"/>
          </w:tcPr>
          <w:p>
            <w:pPr>
              <w:pStyle w:val="TableText"/>
              <w:keepNext w:val="0"/>
              <w:widowControl/>
            </w:pPr>
            <w:r>
              <w:rPr>
                <w:sz w:val="20"/>
              </w:rPr>
              <w:t>Domain models, policies, queries, commands, jobs, default views</w:t>
            </w:r>
          </w:p>
        </w:tc>
      </w:tr>
      <w:tr>
        <w:trPr>
          <w:cantSplit/>
        </w:trPr>
        <w:tc>
          <w:tcPr>
            <w:tcW w:type="dxa" w:w="2664"/>
            <w:vAlign w:val="center"/>
          </w:tcPr>
          <w:p>
            <w:pPr>
              <w:pStyle w:val="TableText"/>
              <w:keepNext w:val="0"/>
              <w:widowControl/>
            </w:pPr>
            <w:r>
              <w:rPr>
                <w:sz w:val="20"/>
              </w:rPr>
              <w:t>Application assembly</w:t>
            </w:r>
          </w:p>
        </w:tc>
        <w:tc>
          <w:tcPr>
            <w:tcW w:type="dxa" w:w="7488"/>
            <w:vAlign w:val="center"/>
          </w:tcPr>
          <w:p>
            <w:pPr>
              <w:pStyle w:val="TableText"/>
              <w:keepNext w:val="0"/>
              <w:widowControl/>
            </w:pPr>
            <w:r>
              <w:rPr>
                <w:sz w:val="20"/>
              </w:rPr>
              <w:t>Installs capability apps and frontend extensions and applies approved view overrides</w:t>
            </w:r>
          </w:p>
        </w:tc>
      </w:tr>
    </w:tbl>
    <w:p>
      <w:pPr>
        <w:spacing w:after="40" w:before="0" w:line="40" w:lineRule="exact"/>
      </w:pPr>
      <w:r>
        <w:rPr>
          <w:sz w:val="4"/>
        </w:rPr>
      </w:r>
    </w:p>
    <w:p>
      <w:r>
        <w:t>Do not create a new backend crate solely to relocate existing admin code in the first change. Start with cohesive modules in the existing crates. Extract an optional crate only when a real dependency boundary justifies it.</w:t>
      </w:r>
    </w:p>
    <w:p>
      <w:r>
        <w:t>The same view definition can be rendered inside the admin host or a business workspace. Publication profiles determine which views and representations are available. A custom React screen can consume the client/controller layer without using the standard layout.</w:t>
      </w:r>
    </w:p>
    <w:p>
      <w:pPr>
        <w:pStyle w:val="Heading2"/>
      </w:pPr>
      <w:r>
        <w:t>Data and execution flow</w:t>
      </w:r>
    </w:p>
    <w:p>
      <w:pPr>
        <w:keepNext/>
        <w:spacing w:after="0"/>
      </w:pPr>
      <w:r>
        <w:drawing>
          <wp:inline xmlns:a="http://schemas.openxmlformats.org/drawingml/2006/main" xmlns:pic="http://schemas.openxmlformats.org/drawingml/2006/picture">
            <wp:extent cx="6446520" cy="4314305"/>
            <wp:docPr id="1" name="Picture 1" descr="Checked registration publishes view documents and operations. Frontend controllers use the same operation executor for reads and writes, and the executor accesses scoped data and durable work."/>
            <wp:cNvGraphicFramePr>
              <a:graphicFrameLocks noChangeAspect="1"/>
            </wp:cNvGraphicFramePr>
            <a:graphic>
              <a:graphicData uri="http://schemas.openxmlformats.org/drawingml/2006/picture">
                <pic:pic>
                  <pic:nvPicPr>
                    <pic:cNvPr id="0" name="trestle_architecture.png"/>
                    <pic:cNvPicPr/>
                  </pic:nvPicPr>
                  <pic:blipFill>
                    <a:blip r:embed="rId12"/>
                    <a:stretch>
                      <a:fillRect/>
                    </a:stretch>
                  </pic:blipFill>
                  <pic:spPr>
                    <a:xfrm>
                      <a:off x="0" y="0"/>
                      <a:ext cx="6446520" cy="4314305"/>
                    </a:xfrm>
                    <a:prstGeom prst="rect"/>
                  </pic:spPr>
                </pic:pic>
              </a:graphicData>
            </a:graphic>
          </wp:inline>
        </w:drawing>
      </w:r>
    </w:p>
    <w:p>
      <w:pPr>
        <w:pStyle w:val="Caption"/>
      </w:pPr>
      <w:r>
        <w:t>Figure 1  Registration and request execution share the existing Trestle core.</w:t>
      </w:r>
    </w:p>
    <w:p>
      <w:r>
        <w:t>A view describes its read sources and interactions. The browser obtains data through the registered read operations and invokes writes through the registered commands. A view descriptor does not contain a database connection, an executable policy, raw SQL, or an alternative write handler.</w:t>
      </w:r>
    </w:p>
    <w:p>
      <w:r>
        <w:t>A composite screen may issue several bounded reads. Those reads do not imply one database snapshot. If a screen requires a consistent multi-record snapshot, its package must supply an explicit composite read operation with the required database isolation and output contract.</w:t>
      </w:r>
    </w:p>
    <w:p>
      <w:pPr>
        <w:pStyle w:val="Heading2"/>
      </w:pPr>
      <w:r>
        <w:t>Frontend controller boundary</w:t>
      </w:r>
    </w:p>
    <w:p>
      <w:r>
        <w:t>Controllers own interaction state and reuse framework behavior. Renderers own layout, styling, focus, and accessible controls. Operation implementations own business decisions.</w:t>
      </w:r>
    </w:p>
    <w:p>
      <w:r>
        <w:t>The backend must never rely on a browser controller having fetched an availability flag. Direct API callers remain valid. The controller must never implement a business transition by patching a status field when a registered command supplies that transition.</w:t>
      </w:r>
    </w:p>
    <w:p>
      <w:pPr>
        <w:pStyle w:val="Heading1"/>
      </w:pPr>
      <w:bookmarkStart w:id="14" w:name="section_4"/>
      <w:r>
        <w:t>4 Registration and application assembly</w:t>
      </w:r>
      <w:bookmarkEnd w:id="14"/>
    </w:p>
    <w:p>
      <w:pPr>
        <w:pStyle w:val="Heading2"/>
      </w:pPr>
      <w:r>
        <w:t>Portable concepts</w:t>
      </w:r>
    </w:p>
    <w:p>
      <w:r>
        <w:t>The proposed registry additions are ViewDefinition, QueryBinding, ActionBinding, RelationSource, ComponentSlot, and PresentationOverride.</w:t>
      </w:r>
    </w:p>
    <w:p>
      <w:r>
        <w:t>A ViewDefinition has a stable namespaced identity, an audience, a kind, a read source, a set of sections or columns, named interactions, navigation metadata, and required renderer features. A QueryBinding identifies an existing Mode::Read operation and maps view parameters to that operation's input contract. An ActionBinding identifies an operation interaction and explicitly maps any record context into its invocation.</w:t>
      </w:r>
    </w:p>
    <w:p>
      <w:r>
        <w:t>RelationSource describes an authorized search operation and an authorized selected-record lookup. ComponentSlot identifies a component included in the frontend build and declares its supported input contract. A PresentationOverride is a validated change to named presentation objects.</w:t>
      </w:r>
    </w:p>
    <w:p>
      <w:r>
        <w:t>Runtime registration also carries the publication policy. The portable document contains only the resulting public description. Policy IDs, implementations, source paths, and private fields do not become public metadata.</w:t>
      </w:r>
    </w:p>
    <w:p>
      <w:pPr>
        <w:pStyle w:val="Heading2"/>
      </w:pPr>
      <w:r>
        <w:t>Preserve the existing admin API</w:t>
      </w:r>
    </w:p>
    <w:p>
      <w:r>
        <w:t>Existing AdminView builders and admin intent sections continue to work. Internally, a legacy admin profile can lower to a default collection view and record view. It must retain its existing operations and policy.</w:t>
      </w:r>
    </w:p>
    <w:p>
      <w:r>
        <w:t>Some existing row actions have no form interaction. For those actions, the adapter produces a checked invocation description from the registered operation, HTTP binding, record-input mapping, and precondition metadata. The shared controller accepts this description as an alternative to a form descriptor. It preserves the original route's revision behavior and sends no invented interaction-revision header. Actions with editable inputs require an explicit form presentation; an inputless legacy action is valid only when its complete input can be supplied from its checked context mapping.</w:t>
      </w:r>
    </w:p>
    <w:p>
      <w:r>
        <w:t>Legacy metadata routes and unchanged interaction descriptors must retain their current representation and revisions. Do not add fields to every old form descriptor as a side effect of introducing the new view protocol. The new admin host prefers the new view manifest and can use a strict decoder for the legacy manifest during transition.</w:t>
      </w:r>
    </w:p>
    <w:p>
      <w:r>
        <w:t>The default admin view is derived only after explicit admin registration. Default columns come from the resource's published read representation. Create/edit fields come from the corresponding operation contracts and existing form presentations. A resource with no update operation remains read-only.</w:t>
      </w:r>
    </w:p>
    <w:p>
      <w:pPr>
        <w:pStyle w:val="Heading2"/>
      </w:pPr>
      <w:r>
        <w:t>Minimum admin authoring path</w:t>
      </w:r>
    </w:p>
    <w:p>
      <w:r>
        <w:t xml:space="preserve">The ordinary admin path does not require a handwritten ViewDefinition. The following uses existing Rust builders. ListAccounts, GetAccount, CreateAccount, UpdateAccount, and AccountAdminAccess are application-supplied types. Their operation IDs, input/output contracts, and Admin audience must match the references shown. Models and migrations are registered separately. </w:t>
      </w:r>
      <w:hyperlink w:anchor="R1" w:history="1">
        <w:r>
          <w:rPr>
            <w:rFonts w:ascii="Arial" w:hAnsi="Arial"/>
            <w:color w:val="24587A"/>
          </w:rPr>
          <w:t xml:space="preserve">[R1]</w:t>
        </w:r>
      </w:hyperlink>
      <w:r>
        <w:t xml:space="preserve"> </w:t>
      </w:r>
      <w:hyperlink w:anchor="R25" w:history="1">
        <w:r>
          <w:rPr>
            <w:rFonts w:ascii="Arial" w:hAnsi="Arial"/>
            <w:color w:val="24587A"/>
          </w:rPr>
          <w:t xml:space="preserve">[R25]</w:t>
        </w:r>
      </w:hyperlink>
    </w:p>
    <w:p>
      <w:pPr>
        <w:pStyle w:val="Code"/>
        <w:keepNext/>
        <w:widowControl/>
        <w:spacing w:before="100"/>
        <w:shd w:fill="F5F6F7"/>
      </w:pPr>
      <w:r>
        <w:rPr>
          <w:rFonts w:ascii="Courier New" w:hAnsi="Courier New" w:eastAsia="Courier New"/>
          <w:color w:val="202020"/>
          <w:sz w:val="18"/>
        </w:rPr>
        <w:t>use trestle::core::registry::AdminView;</w:t>
      </w:r>
    </w:p>
    <w:p>
      <w:pPr>
        <w:pStyle w:val="Code"/>
        <w:keepNext/>
        <w:widowControl/>
        <w:shd w:fill="F5F6F7"/>
      </w:pPr>
      <w:r>
        <w:rPr>
          <w:rFonts w:ascii="Courier New" w:hAnsi="Courier New" w:eastAsia="Courier New"/>
          <w:color w:val="202020"/>
          <w:sz w:val="18"/>
        </w:rPr>
        <w:t>use trestle::protocol::{Audience, FormPresentation, Widget};</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app.resource("crm.account", "/api/v1/accounts")</w:t>
      </w:r>
    </w:p>
    <w:p>
      <w:pPr>
        <w:pStyle w:val="Code"/>
        <w:keepNext/>
        <w:widowControl/>
        <w:shd w:fill="F5F6F7"/>
      </w:pPr>
      <w:r>
        <w:rPr>
          <w:rFonts w:ascii="Courier New" w:hAnsi="Courier New" w:eastAsia="Courier New"/>
          <w:color w:val="202020"/>
          <w:sz w:val="18"/>
        </w:rPr>
        <w:t xml:space="preserve">    .list(ListAccounts)</w:t>
      </w:r>
    </w:p>
    <w:p>
      <w:pPr>
        <w:pStyle w:val="Code"/>
        <w:keepNext/>
        <w:widowControl/>
        <w:shd w:fill="F5F6F7"/>
      </w:pPr>
      <w:r>
        <w:rPr>
          <w:rFonts w:ascii="Courier New" w:hAnsi="Courier New" w:eastAsia="Courier New"/>
          <w:color w:val="202020"/>
          <w:sz w:val="18"/>
        </w:rPr>
        <w:t xml:space="preserve">    .retrieve(GetAccount)</w:t>
      </w:r>
    </w:p>
    <w:p>
      <w:pPr>
        <w:pStyle w:val="Code"/>
        <w:keepNext/>
        <w:widowControl/>
        <w:shd w:fill="F5F6F7"/>
      </w:pPr>
      <w:r>
        <w:rPr>
          <w:rFonts w:ascii="Courier New" w:hAnsi="Courier New" w:eastAsia="Courier New"/>
          <w:color w:val="202020"/>
          <w:sz w:val="18"/>
        </w:rPr>
        <w:t xml:space="preserve">    .create(CreateAccount)</w:t>
      </w:r>
    </w:p>
    <w:p>
      <w:pPr>
        <w:pStyle w:val="Code"/>
        <w:keepNext/>
        <w:widowControl/>
        <w:shd w:fill="F5F6F7"/>
      </w:pPr>
      <w:r>
        <w:rPr>
          <w:rFonts w:ascii="Courier New" w:hAnsi="Courier New" w:eastAsia="Courier New"/>
          <w:color w:val="202020"/>
          <w:sz w:val="18"/>
        </w:rPr>
        <w:t xml:space="preserve">    .update(UpdateAccount)</w:t>
      </w:r>
    </w:p>
    <w:p>
      <w:pPr>
        <w:pStyle w:val="Code"/>
        <w:keepNext/>
        <w:widowControl/>
        <w:shd w:fill="F5F6F7"/>
      </w:pPr>
      <w:r>
        <w:rPr>
          <w:rFonts w:ascii="Courier New" w:hAnsi="Courier New" w:eastAsia="Courier New"/>
          <w:color w:val="202020"/>
          <w:sz w:val="18"/>
        </w:rPr>
        <w:t xml:space="preserve">    .admin(</w:t>
      </w:r>
    </w:p>
    <w:p>
      <w:pPr>
        <w:pStyle w:val="Code"/>
        <w:keepNext/>
        <w:widowControl/>
        <w:shd w:fill="F5F6F7"/>
      </w:pPr>
      <w:r>
        <w:rPr>
          <w:rFonts w:ascii="Courier New" w:hAnsi="Courier New" w:eastAsia="Courier New"/>
          <w:color w:val="202020"/>
          <w:sz w:val="18"/>
        </w:rPr>
        <w:t xml:space="preserve">        AdminView::new("Accounts", "name")</w:t>
      </w:r>
    </w:p>
    <w:p>
      <w:pPr>
        <w:pStyle w:val="Code"/>
        <w:keepNext/>
        <w:widowControl/>
        <w:shd w:fill="F5F6F7"/>
      </w:pPr>
      <w:r>
        <w:rPr>
          <w:rFonts w:ascii="Courier New" w:hAnsi="Courier New" w:eastAsia="Courier New"/>
          <w:color w:val="202020"/>
          <w:sz w:val="18"/>
        </w:rPr>
        <w:t xml:space="preserve">            .columns(&amp;["name"])</w:t>
      </w:r>
    </w:p>
    <w:p>
      <w:pPr>
        <w:pStyle w:val="Code"/>
        <w:keepNext/>
        <w:widowControl/>
        <w:shd w:fill="F5F6F7"/>
      </w:pPr>
      <w:r>
        <w:rPr>
          <w:rFonts w:ascii="Courier New" w:hAnsi="Courier New" w:eastAsia="Courier New"/>
          <w:color w:val="202020"/>
          <w:sz w:val="18"/>
        </w:rPr>
        <w:t xml:space="preserve">            .create_form("crm.account.admin_create.form")</w:t>
      </w:r>
    </w:p>
    <w:p>
      <w:pPr>
        <w:pStyle w:val="Code"/>
        <w:keepNext/>
        <w:widowControl/>
        <w:shd w:fill="F5F6F7"/>
      </w:pPr>
      <w:r>
        <w:rPr>
          <w:rFonts w:ascii="Courier New" w:hAnsi="Courier New" w:eastAsia="Courier New"/>
          <w:color w:val="202020"/>
          <w:sz w:val="18"/>
        </w:rPr>
        <w:t xml:space="preserve">            .edit_form("crm.account.admin_edit.form"),</w:t>
      </w:r>
    </w:p>
    <w:p>
      <w:pPr>
        <w:pStyle w:val="Code"/>
        <w:keepNext/>
        <w:widowControl/>
        <w:shd w:fill="F5F6F7"/>
      </w:pPr>
      <w:r>
        <w:rPr>
          <w:rFonts w:ascii="Courier New" w:hAnsi="Courier New" w:eastAsia="Courier New"/>
          <w:color w:val="202020"/>
          <w:sz w:val="18"/>
        </w:rPr>
        <w:t xml:space="preserve">        AccountAdminAccess,</w:t>
      </w:r>
    </w:p>
    <w:p>
      <w:pPr>
        <w:pStyle w:val="Code"/>
        <w:keepNext w:val="0"/>
        <w:widowControl/>
        <w:spacing w:after="160"/>
        <w:shd w:fill="F5F6F7"/>
      </w:pPr>
      <w:r>
        <w:rPr>
          <w:rFonts w:ascii="Courier New" w:hAnsi="Courier New" w:eastAsia="Courier New"/>
          <w:color w:val="202020"/>
          <w:sz w:val="18"/>
        </w:rPr>
        <w:t xml:space="preserve">    );</w:t>
      </w:r>
    </w:p>
    <w:p>
      <w:r>
        <w:t xml:space="preserve">Rust form references point to separately registered presentations. They do not generate forms by themselves. Create accepts name; update accepts the path identity, expected_version, and a patch to name. Retrieve and update use the versioned representation expected by the resource adapter. The presentations choose widgets and labels while the operation contracts define writable data and validation. </w:t>
      </w:r>
      <w:hyperlink w:anchor="R1" w:history="1">
        <w:r>
          <w:rPr>
            <w:rFonts w:ascii="Arial" w:hAnsi="Arial"/>
            <w:color w:val="24587A"/>
          </w:rPr>
          <w:t xml:space="preserve">[R1]</w:t>
        </w:r>
      </w:hyperlink>
      <w:r>
        <w:t xml:space="preserve"> </w:t>
      </w:r>
      <w:hyperlink w:anchor="R25" w:history="1">
        <w:r>
          <w:rPr>
            <w:rFonts w:ascii="Arial" w:hAnsi="Arial"/>
            <w:color w:val="24587A"/>
          </w:rPr>
          <w:t xml:space="preserve">[R25]</w:t>
        </w:r>
      </w:hyperlink>
    </w:p>
    <w:p>
      <w:pPr>
        <w:pStyle w:val="Code"/>
        <w:keepNext/>
        <w:widowControl/>
        <w:spacing w:before="100"/>
        <w:shd w:fill="F5F6F7"/>
      </w:pPr>
      <w:r>
        <w:rPr>
          <w:rFonts w:ascii="Courier New" w:hAnsi="Courier New" w:eastAsia="Courier New"/>
          <w:color w:val="202020"/>
          <w:sz w:val="18"/>
        </w:rPr>
        <w:t>app.form(</w:t>
      </w:r>
    </w:p>
    <w:p>
      <w:pPr>
        <w:pStyle w:val="Code"/>
        <w:keepNext/>
        <w:widowControl/>
        <w:shd w:fill="F5F6F7"/>
      </w:pPr>
      <w:r>
        <w:rPr>
          <w:rFonts w:ascii="Courier New" w:hAnsi="Courier New" w:eastAsia="Courier New"/>
          <w:color w:val="202020"/>
          <w:sz w:val="18"/>
        </w:rPr>
        <w:t xml:space="preserve">    FormPresentation::for_operation(</w:t>
      </w:r>
    </w:p>
    <w:p>
      <w:pPr>
        <w:pStyle w:val="Code"/>
        <w:keepNext/>
        <w:widowControl/>
        <w:shd w:fill="F5F6F7"/>
      </w:pPr>
      <w:r>
        <w:rPr>
          <w:rFonts w:ascii="Courier New" w:hAnsi="Courier New" w:eastAsia="Courier New"/>
          <w:color w:val="202020"/>
          <w:sz w:val="18"/>
        </w:rPr>
        <w:t xml:space="preserve">        "crm.account.admin_create.form", "crm.account.create"</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.audience(Audience::Admin)</w:t>
      </w:r>
    </w:p>
    <w:p>
      <w:pPr>
        <w:pStyle w:val="Code"/>
        <w:keepNext/>
        <w:widowControl/>
        <w:shd w:fill="F5F6F7"/>
      </w:pPr>
      <w:r>
        <w:rPr>
          <w:rFonts w:ascii="Courier New" w:hAnsi="Courier New" w:eastAsia="Courier New"/>
          <w:color w:val="202020"/>
          <w:sz w:val="18"/>
        </w:rPr>
        <w:t xml:space="preserve">    .title("New account")</w:t>
      </w:r>
    </w:p>
    <w:p>
      <w:pPr>
        <w:pStyle w:val="Code"/>
        <w:keepNext/>
        <w:widowControl/>
        <w:shd w:fill="F5F6F7"/>
      </w:pPr>
      <w:r>
        <w:rPr>
          <w:rFonts w:ascii="Courier New" w:hAnsi="Courier New" w:eastAsia="Courier New"/>
          <w:color w:val="202020"/>
          <w:sz w:val="18"/>
        </w:rPr>
        <w:t xml:space="preserve">    .field("/name", Widget::Text, "Name")</w:t>
      </w:r>
    </w:p>
    <w:p>
      <w:pPr>
        <w:pStyle w:val="Code"/>
        <w:keepNext/>
        <w:widowControl/>
        <w:shd w:fill="F5F6F7"/>
      </w:pPr>
      <w:r>
        <w:rPr>
          <w:rFonts w:ascii="Courier New" w:hAnsi="Courier New" w:eastAsia="Courier New"/>
          <w:color w:val="202020"/>
          <w:sz w:val="18"/>
        </w:rPr>
        <w:t xml:space="preserve">    .submit("Create"),</w:t>
      </w:r>
    </w:p>
    <w:p>
      <w:pPr>
        <w:pStyle w:val="Code"/>
        <w:keepNext/>
        <w:widowControl/>
        <w:shd w:fill="F5F6F7"/>
      </w:pPr>
      <w:r>
        <w:rPr>
          <w:rFonts w:ascii="Courier New" w:hAnsi="Courier New" w:eastAsia="Courier New"/>
          <w:color w:val="202020"/>
          <w:sz w:val="18"/>
        </w:rPr>
        <w:t>);</w:t>
      </w:r>
    </w:p>
    <w:p>
      <w:pPr>
        <w:pStyle w:val="Code"/>
        <w:keepNext/>
        <w:widowControl/>
        <w:shd w:fill="F5F6F7"/>
      </w:pPr>
      <w:r>
        <w:rPr>
          <w:rFonts w:ascii="Courier New" w:hAnsi="Courier New" w:eastAsia="Courier New"/>
          <w:color w:val="202020"/>
          <w:sz w:val="18"/>
        </w:rPr>
        <w:t>app.form(</w:t>
      </w:r>
    </w:p>
    <w:p>
      <w:pPr>
        <w:pStyle w:val="Code"/>
        <w:keepNext/>
        <w:widowControl/>
        <w:shd w:fill="F5F6F7"/>
      </w:pPr>
      <w:r>
        <w:rPr>
          <w:rFonts w:ascii="Courier New" w:hAnsi="Courier New" w:eastAsia="Courier New"/>
          <w:color w:val="202020"/>
          <w:sz w:val="18"/>
        </w:rPr>
        <w:t xml:space="preserve">    FormPresentation::for_operation(</w:t>
      </w:r>
    </w:p>
    <w:p>
      <w:pPr>
        <w:pStyle w:val="Code"/>
        <w:keepNext/>
        <w:widowControl/>
        <w:shd w:fill="F5F6F7"/>
      </w:pPr>
      <w:r>
        <w:rPr>
          <w:rFonts w:ascii="Courier New" w:hAnsi="Courier New" w:eastAsia="Courier New"/>
          <w:color w:val="202020"/>
          <w:sz w:val="18"/>
        </w:rPr>
        <w:t xml:space="preserve">        "crm.account.admin_edit.form", "crm.account.update"</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.audience(Audience::Admin)</w:t>
      </w:r>
    </w:p>
    <w:p>
      <w:pPr>
        <w:pStyle w:val="Code"/>
        <w:keepNext/>
        <w:widowControl/>
        <w:shd w:fill="F5F6F7"/>
      </w:pPr>
      <w:r>
        <w:rPr>
          <w:rFonts w:ascii="Courier New" w:hAnsi="Courier New" w:eastAsia="Courier New"/>
          <w:color w:val="202020"/>
          <w:sz w:val="18"/>
        </w:rPr>
        <w:t xml:space="preserve">    .title("Edit account")</w:t>
      </w:r>
    </w:p>
    <w:p>
      <w:pPr>
        <w:pStyle w:val="Code"/>
        <w:keepNext/>
        <w:widowControl/>
        <w:shd w:fill="F5F6F7"/>
      </w:pPr>
      <w:r>
        <w:rPr>
          <w:rFonts w:ascii="Courier New" w:hAnsi="Courier New" w:eastAsia="Courier New"/>
          <w:color w:val="202020"/>
          <w:sz w:val="18"/>
        </w:rPr>
        <w:t xml:space="preserve">    .field("/name", Widget::Text, "Name")</w:t>
      </w:r>
    </w:p>
    <w:p>
      <w:pPr>
        <w:pStyle w:val="Code"/>
        <w:keepNext/>
        <w:widowControl/>
        <w:shd w:fill="F5F6F7"/>
      </w:pPr>
      <w:r>
        <w:rPr>
          <w:rFonts w:ascii="Courier New" w:hAnsi="Courier New" w:eastAsia="Courier New"/>
          <w:color w:val="202020"/>
          <w:sz w:val="18"/>
        </w:rPr>
        <w:t xml:space="preserve">    .submit("Save"),</w:t>
      </w:r>
    </w:p>
    <w:p>
      <w:pPr>
        <w:pStyle w:val="Code"/>
        <w:keepNext w:val="0"/>
        <w:widowControl/>
        <w:spacing w:after="160"/>
        <w:shd w:fill="F5F6F7"/>
      </w:pPr>
      <w:r>
        <w:rPr>
          <w:rFonts w:ascii="Courier New" w:hAnsi="Courier New" w:eastAsia="Courier New"/>
          <w:color w:val="202020"/>
          <w:sz w:val="18"/>
        </w:rPr>
        <w:t>);</w:t>
      </w:r>
    </w:p>
    <w:p>
      <w:r>
        <w:t xml:space="preserve">The proposed host turns this registration into Accounts navigation, a collection, a record page, and create/edit forms. The resource builder already supplies GET collection, GET record, POST create, and PATCH update routes. The routed screens are the extension in this handoff; the current host renders stacked resource sections. </w:t>
      </w:r>
      <w:hyperlink w:anchor="R1" w:history="1">
        <w:r>
          <w:rPr>
            <w:rFonts w:ascii="Arial" w:hAnsi="Arial"/>
            <w:color w:val="24587A"/>
          </w:rPr>
          <w:t xml:space="preserve">[R1]</w:t>
        </w:r>
      </w:hyperlink>
      <w:r>
        <w:t xml:space="preserve"> </w:t>
      </w:r>
      <w:hyperlink w:anchor="R8" w:history="1">
        <w:r>
          <w:rPr>
            <w:rFonts w:ascii="Arial" w:hAnsi="Arial"/>
            <w:color w:val="24587A"/>
          </w:rPr>
          <w:t xml:space="preserve">[R8]</w:t>
        </w:r>
      </w:hyperlink>
    </w:p>
    <w:p>
      <w:r>
        <w:t xml:space="preserve">For an existing intent project, this model/endpoint/admin excerpt uses current keys. The project's roles grant crm.read, crm.write, and crm.admin as appropriate. </w:t>
      </w:r>
      <w:hyperlink w:anchor="R2" w:history="1">
        <w:r>
          <w:rPr>
            <w:rFonts w:ascii="Arial" w:hAnsi="Arial"/>
            <w:color w:val="24587A"/>
          </w:rPr>
          <w:t xml:space="preserve">[R2]</w:t>
        </w:r>
      </w:hyperlink>
      <w:r>
        <w:t xml:space="preserve"> </w:t>
      </w:r>
      <w:hyperlink w:anchor="R24" w:history="1">
        <w:r>
          <w:rPr>
            <w:rFonts w:ascii="Arial" w:hAnsi="Arial"/>
            <w:color w:val="24587A"/>
          </w:rPr>
          <w:t xml:space="preserve">[R24]</w:t>
        </w:r>
      </w:hyperlink>
    </w:p>
    <w:p>
      <w:pPr>
        <w:pStyle w:val="Code"/>
        <w:keepNext/>
        <w:widowControl/>
        <w:spacing w:before="100"/>
        <w:shd w:fill="F5F6F7"/>
      </w:pPr>
      <w:r>
        <w:rPr>
          <w:rFonts w:ascii="Courier New" w:hAnsi="Courier New" w:eastAsia="Courier New"/>
          <w:color w:val="202020"/>
          <w:sz w:val="18"/>
        </w:rPr>
        <w:t>[[models]]</w:t>
      </w:r>
    </w:p>
    <w:p>
      <w:pPr>
        <w:pStyle w:val="Code"/>
        <w:keepNext/>
        <w:widowControl/>
        <w:shd w:fill="F5F6F7"/>
      </w:pPr>
      <w:r>
        <w:rPr>
          <w:rFonts w:ascii="Courier New" w:hAnsi="Courier New" w:eastAsia="Courier New"/>
          <w:color w:val="202020"/>
          <w:sz w:val="18"/>
        </w:rPr>
        <w:t>id = "crm.account"</w:t>
      </w:r>
    </w:p>
    <w:p>
      <w:pPr>
        <w:pStyle w:val="Code"/>
        <w:keepNext/>
        <w:widowControl/>
        <w:shd w:fill="F5F6F7"/>
      </w:pPr>
      <w:r>
        <w:rPr>
          <w:rFonts w:ascii="Courier New" w:hAnsi="Courier New" w:eastAsia="Courier New"/>
          <w:color w:val="202020"/>
          <w:sz w:val="18"/>
        </w:rPr>
        <w:t>label = "name"</w:t>
      </w:r>
    </w:p>
    <w:p>
      <w:pPr>
        <w:pStyle w:val="Code"/>
        <w:keepNext/>
        <w:widowControl/>
        <w:shd w:fill="F5F6F7"/>
      </w:pPr>
      <w:r>
        <w:rPr>
          <w:rFonts w:ascii="Courier New" w:hAnsi="Courier New" w:eastAsia="Courier New"/>
          <w:color w:val="202020"/>
          <w:sz w:val="18"/>
        </w:rPr>
        <w:t>fields = [{ id = "name", type = "text", max = 100 }]</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[[endpoints]]</w:t>
      </w:r>
    </w:p>
    <w:p>
      <w:pPr>
        <w:pStyle w:val="Code"/>
        <w:keepNext/>
        <w:widowControl/>
        <w:shd w:fill="F5F6F7"/>
      </w:pPr>
      <w:r>
        <w:rPr>
          <w:rFonts w:ascii="Courier New" w:hAnsi="Courier New" w:eastAsia="Courier New"/>
          <w:color w:val="202020"/>
          <w:sz w:val="18"/>
        </w:rPr>
        <w:t>model = "crm.account"</w:t>
      </w:r>
    </w:p>
    <w:p>
      <w:pPr>
        <w:pStyle w:val="Code"/>
        <w:keepNext/>
        <w:widowControl/>
        <w:shd w:fill="F5F6F7"/>
      </w:pPr>
      <w:r>
        <w:rPr>
          <w:rFonts w:ascii="Courier New" w:hAnsi="Courier New" w:eastAsia="Courier New"/>
          <w:color w:val="202020"/>
          <w:sz w:val="18"/>
        </w:rPr>
        <w:t>crud = ["list", "get", "create", "update"]</w:t>
      </w:r>
    </w:p>
    <w:p>
      <w:pPr>
        <w:pStyle w:val="Code"/>
        <w:keepNext/>
        <w:widowControl/>
        <w:shd w:fill="F5F6F7"/>
      </w:pPr>
      <w:r>
        <w:rPr>
          <w:rFonts w:ascii="Courier New" w:hAnsi="Courier New" w:eastAsia="Courier New"/>
          <w:color w:val="202020"/>
          <w:sz w:val="18"/>
        </w:rPr>
        <w:t>read = "crm.read"</w:t>
      </w:r>
    </w:p>
    <w:p>
      <w:pPr>
        <w:pStyle w:val="Code"/>
        <w:keepNext/>
        <w:widowControl/>
        <w:shd w:fill="F5F6F7"/>
      </w:pPr>
      <w:r>
        <w:rPr>
          <w:rFonts w:ascii="Courier New" w:hAnsi="Courier New" w:eastAsia="Courier New"/>
          <w:color w:val="202020"/>
          <w:sz w:val="18"/>
        </w:rPr>
        <w:t>write = "crm.write"</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[[admin]]</w:t>
      </w:r>
    </w:p>
    <w:p>
      <w:pPr>
        <w:pStyle w:val="Code"/>
        <w:keepNext/>
        <w:widowControl/>
        <w:shd w:fill="F5F6F7"/>
      </w:pPr>
      <w:r>
        <w:rPr>
          <w:rFonts w:ascii="Courier New" w:hAnsi="Courier New" w:eastAsia="Courier New"/>
          <w:color w:val="202020"/>
          <w:sz w:val="18"/>
        </w:rPr>
        <w:t>model = "crm.account"</w:t>
      </w:r>
    </w:p>
    <w:p>
      <w:pPr>
        <w:pStyle w:val="Code"/>
        <w:keepNext/>
        <w:widowControl/>
        <w:shd w:fill="F5F6F7"/>
      </w:pPr>
      <w:r>
        <w:rPr>
          <w:rFonts w:ascii="Courier New" w:hAnsi="Courier New" w:eastAsia="Courier New"/>
          <w:color w:val="202020"/>
          <w:sz w:val="18"/>
        </w:rPr>
        <w:t>permission = "crm.admin"</w:t>
      </w:r>
    </w:p>
    <w:p>
      <w:pPr>
        <w:pStyle w:val="Code"/>
        <w:keepNext/>
        <w:widowControl/>
        <w:shd w:fill="F5F6F7"/>
      </w:pPr>
      <w:r>
        <w:rPr>
          <w:rFonts w:ascii="Courier New" w:hAnsi="Courier New" w:eastAsia="Courier New"/>
          <w:color w:val="202020"/>
          <w:sz w:val="18"/>
        </w:rPr>
        <w:t>title = "Accounts"</w:t>
      </w:r>
    </w:p>
    <w:p>
      <w:pPr>
        <w:pStyle w:val="Code"/>
        <w:keepNext w:val="0"/>
        <w:widowControl/>
        <w:spacing w:after="160"/>
        <w:shd w:fill="F5F6F7"/>
      </w:pPr>
      <w:r>
        <w:rPr>
          <w:rFonts w:ascii="Courier New" w:hAnsi="Courier New" w:eastAsia="Courier New"/>
          <w:color w:val="202020"/>
          <w:sz w:val="18"/>
        </w:rPr>
        <w:t>columns = ["name"]</w:t>
      </w:r>
    </w:p>
    <w:p>
      <w:r>
        <w:t xml:space="preserve">If the model and CRUD endpoint already exist, only the admin block is additional. The intent runtime generates the matching admin create/edit presentations. Endpoint forms = true separately opts into product forms and is not required for these admin forms. Unsupported generated widgets fail validation. The admin permission protects publication; underlying read/write permissions still protect operations. </w:t>
      </w:r>
      <w:hyperlink w:anchor="R2" w:history="1">
        <w:r>
          <w:rPr>
            <w:rFonts w:ascii="Arial" w:hAnsi="Arial"/>
            <w:color w:val="24587A"/>
          </w:rPr>
          <w:t xml:space="preserve">[R2]</w:t>
        </w:r>
      </w:hyperlink>
      <w:r>
        <w:t xml:space="preserve"> </w:t>
      </w:r>
      <w:hyperlink w:anchor="R24" w:history="1">
        <w:r>
          <w:rPr>
            <w:rFonts w:ascii="Arial" w:hAnsi="Arial"/>
            <w:color w:val="24587A"/>
          </w:rPr>
          <w:t xml:space="preserve">[R24]</w:t>
        </w:r>
      </w:hyperlink>
    </w:p>
    <w:p>
      <w:r>
        <w:t>P1 must exercise this minimum path without a manually authored view document or resource-specific React. Rich projections, unusual layouts, and domain actions can opt into the explicit APIs below. A model without explicit endpoint/resource and admin publication still exposes nothing.</w:t>
      </w:r>
    </w:p>
    <w:p>
      <w:pPr>
        <w:pStyle w:val="Heading2"/>
      </w:pPr>
      <w:r>
        <w:t>Proposed Rust authoring API</w:t>
      </w:r>
    </w:p>
    <w:p>
      <w:r>
        <w:t>This specimen illustrates the intended composition. Operation types and contracts belong to the capability application.</w:t>
      </w:r>
    </w:p>
    <w:p>
      <w:pPr>
        <w:pStyle w:val="Code"/>
        <w:keepNext/>
        <w:widowControl/>
        <w:spacing w:before="100"/>
        <w:shd w:fill="F5F6F7"/>
      </w:pPr>
      <w:r>
        <w:rPr>
          <w:rFonts w:ascii="Courier New" w:hAnsi="Courier New" w:eastAsia="Courier New"/>
          <w:color w:val="202020"/>
          <w:sz w:val="18"/>
        </w:rPr>
        <w:t>app.view(</w:t>
      </w:r>
    </w:p>
    <w:p>
      <w:pPr>
        <w:pStyle w:val="Code"/>
        <w:keepNext/>
        <w:widowControl/>
        <w:shd w:fill="F5F6F7"/>
      </w:pPr>
      <w:r>
        <w:rPr>
          <w:rFonts w:ascii="Courier New" w:hAnsi="Courier New" w:eastAsia="Courier New"/>
          <w:color w:val="202020"/>
          <w:sz w:val="18"/>
        </w:rPr>
        <w:t xml:space="preserve">    ViewDefinition::collection("support.case.queue")</w:t>
      </w:r>
    </w:p>
    <w:p>
      <w:pPr>
        <w:pStyle w:val="Code"/>
        <w:keepNext/>
        <w:widowControl/>
        <w:shd w:fill="F5F6F7"/>
      </w:pPr>
      <w:r>
        <w:rPr>
          <w:rFonts w:ascii="Courier New" w:hAnsi="Courier New" w:eastAsia="Courier New"/>
          <w:color w:val="202020"/>
          <w:sz w:val="18"/>
        </w:rPr>
        <w:t xml:space="preserve">        .resource("support.case")</w:t>
      </w:r>
    </w:p>
    <w:p>
      <w:pPr>
        <w:pStyle w:val="Code"/>
        <w:keepNext/>
        <w:widowControl/>
        <w:shd w:fill="F5F6F7"/>
      </w:pPr>
      <w:r>
        <w:rPr>
          <w:rFonts w:ascii="Courier New" w:hAnsi="Courier New" w:eastAsia="Courier New"/>
          <w:color w:val="202020"/>
          <w:sz w:val="18"/>
        </w:rPr>
        <w:t xml:space="preserve">        .query(QueryBinding::operation("support.case.list"))</w:t>
      </w:r>
    </w:p>
    <w:p>
      <w:pPr>
        <w:pStyle w:val="Code"/>
        <w:keepNext/>
        <w:widowControl/>
        <w:shd w:fill="F5F6F7"/>
      </w:pPr>
      <w:r>
        <w:rPr>
          <w:rFonts w:ascii="Courier New" w:hAnsi="Courier New" w:eastAsia="Courier New"/>
          <w:color w:val="202020"/>
          <w:sz w:val="18"/>
        </w:rPr>
        <w:t xml:space="preserve">        .title("Cases")</w:t>
      </w:r>
    </w:p>
    <w:p>
      <w:pPr>
        <w:pStyle w:val="Code"/>
        <w:keepNext/>
        <w:widowControl/>
        <w:shd w:fill="F5F6F7"/>
      </w:pPr>
      <w:r>
        <w:rPr>
          <w:rFonts w:ascii="Courier New" w:hAnsi="Courier New" w:eastAsia="Courier New"/>
          <w:color w:val="202020"/>
          <w:sz w:val="18"/>
        </w:rPr>
        <w:t xml:space="preserve">        .columns(&amp;["subject", "state", "assignee_label"])</w:t>
      </w:r>
    </w:p>
    <w:p>
      <w:pPr>
        <w:pStyle w:val="Code"/>
        <w:keepNext/>
        <w:widowControl/>
        <w:shd w:fill="F5F6F7"/>
      </w:pPr>
      <w:r>
        <w:rPr>
          <w:rFonts w:ascii="Courier New" w:hAnsi="Courier New" w:eastAsia="Courier New"/>
          <w:color w:val="202020"/>
          <w:sz w:val="18"/>
        </w:rPr>
        <w:t xml:space="preserve">        .filters(&amp;["state", "assignee_id"])</w:t>
      </w:r>
    </w:p>
    <w:p>
      <w:pPr>
        <w:pStyle w:val="Code"/>
        <w:keepNext/>
        <w:widowControl/>
        <w:shd w:fill="F5F6F7"/>
      </w:pPr>
      <w:r>
        <w:rPr>
          <w:rFonts w:ascii="Courier New" w:hAnsi="Courier New" w:eastAsia="Courier New"/>
          <w:color w:val="202020"/>
          <w:sz w:val="18"/>
        </w:rPr>
        <w:t xml:space="preserve">        .search("q")</w:t>
      </w:r>
    </w:p>
    <w:p>
      <w:pPr>
        <w:pStyle w:val="Code"/>
        <w:keepNext/>
        <w:widowControl/>
        <w:shd w:fill="F5F6F7"/>
      </w:pPr>
      <w:r>
        <w:rPr>
          <w:rFonts w:ascii="Courier New" w:hAnsi="Courier New" w:eastAsia="Courier New"/>
          <w:color w:val="202020"/>
          <w:sz w:val="18"/>
        </w:rPr>
        <w:t xml:space="preserve">        .record_view("support.case.detail")</w:t>
      </w:r>
    </w:p>
    <w:p>
      <w:pPr>
        <w:pStyle w:val="Code"/>
        <w:keepNext/>
        <w:widowControl/>
        <w:shd w:fill="F5F6F7"/>
      </w:pPr>
      <w:r>
        <w:rPr>
          <w:rFonts w:ascii="Courier New" w:hAnsi="Courier New" w:eastAsia="Courier New"/>
          <w:color w:val="202020"/>
          <w:sz w:val="18"/>
        </w:rPr>
        <w:t xml:space="preserve">        .action(ActionBinding::interaction(</w:t>
      </w:r>
    </w:p>
    <w:p>
      <w:pPr>
        <w:pStyle w:val="Code"/>
        <w:keepNext/>
        <w:widowControl/>
        <w:shd w:fill="F5F6F7"/>
      </w:pPr>
      <w:r>
        <w:rPr>
          <w:rFonts w:ascii="Courier New" w:hAnsi="Courier New" w:eastAsia="Courier New"/>
          <w:color w:val="202020"/>
          <w:sz w:val="18"/>
        </w:rPr>
        <w:t xml:space="preserve">            "assign", "support.case.assign.form"</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.publish(SupportWorkspacePolicy),</w:t>
      </w:r>
    </w:p>
    <w:p>
      <w:pPr>
        <w:pStyle w:val="Code"/>
        <w:keepNext w:val="0"/>
        <w:widowControl/>
        <w:spacing w:after="160"/>
        <w:shd w:fill="F5F6F7"/>
      </w:pPr>
      <w:r>
        <w:rPr>
          <w:rFonts w:ascii="Courier New" w:hAnsi="Courier New" w:eastAsia="Courier New"/>
          <w:color w:val="202020"/>
          <w:sz w:val="18"/>
        </w:rPr>
        <w:t>);</w:t>
      </w:r>
    </w:p>
    <w:p>
      <w:r>
        <w:t>The public API may supply typed operation references that lower to these stable IDs. String-based intent construction and typed builders must run the same assembly checks. The framework must not retain two validators that can accept different application definitions.</w:t>
      </w:r>
    </w:p>
    <w:p>
      <w:r>
        <w:t>For a record page, sections bind to named reads or the main record projection. A related section uses an explicit parameter mapping, such as case_id from the parent record's id. The mapping is a convenience for constructing input; the receiving operation independently scopes and authorizes the target.</w:t>
      </w:r>
    </w:p>
    <w:p>
      <w:pPr>
        <w:pStyle w:val="Heading2"/>
      </w:pPr>
      <w:r>
        <w:t>Proposed intent additions</w:t>
      </w:r>
    </w:p>
    <w:p>
      <w:r>
        <w:t xml:space="preserve">Add a views array to IntentDoc and matching private parser structures. Each new key must appear in the every-key fixture and pass the existing render/parse equivalence tests. Preserve the existing admin array as a convenient declaration. </w:t>
      </w:r>
      <w:hyperlink w:anchor="R6" w:history="1">
        <w:r>
          <w:rPr>
            <w:rFonts w:ascii="Arial" w:hAnsi="Arial"/>
            <w:color w:val="24587A"/>
          </w:rPr>
          <w:t xml:space="preserve">[R6]</w:t>
        </w:r>
      </w:hyperlink>
    </w:p>
    <w:p>
      <w:pPr>
        <w:pStyle w:val="Code"/>
        <w:keepNext/>
        <w:widowControl/>
        <w:spacing w:before="100"/>
        <w:shd w:fill="F5F6F7"/>
      </w:pPr>
      <w:r>
        <w:rPr>
          <w:rFonts w:ascii="Courier New" w:hAnsi="Courier New" w:eastAsia="Courier New"/>
          <w:color w:val="202020"/>
          <w:sz w:val="18"/>
        </w:rPr>
        <w:t>[[views]]</w:t>
      </w:r>
    </w:p>
    <w:p>
      <w:pPr>
        <w:pStyle w:val="Code"/>
        <w:keepNext/>
        <w:widowControl/>
        <w:shd w:fill="F5F6F7"/>
      </w:pPr>
      <w:r>
        <w:rPr>
          <w:rFonts w:ascii="Courier New" w:hAnsi="Courier New" w:eastAsia="Courier New"/>
          <w:color w:val="202020"/>
          <w:sz w:val="18"/>
        </w:rPr>
        <w:t>id = "support.case.queue"</w:t>
      </w:r>
    </w:p>
    <w:p>
      <w:pPr>
        <w:pStyle w:val="Code"/>
        <w:keepNext/>
        <w:widowControl/>
        <w:shd w:fill="F5F6F7"/>
      </w:pPr>
      <w:r>
        <w:rPr>
          <w:rFonts w:ascii="Courier New" w:hAnsi="Courier New" w:eastAsia="Courier New"/>
          <w:color w:val="202020"/>
          <w:sz w:val="18"/>
        </w:rPr>
        <w:t>kind = "collection"</w:t>
      </w:r>
    </w:p>
    <w:p>
      <w:pPr>
        <w:pStyle w:val="Code"/>
        <w:keepNext/>
        <w:widowControl/>
        <w:shd w:fill="F5F6F7"/>
      </w:pPr>
      <w:r>
        <w:rPr>
          <w:rFonts w:ascii="Courier New" w:hAnsi="Courier New" w:eastAsia="Courier New"/>
          <w:color w:val="202020"/>
          <w:sz w:val="18"/>
        </w:rPr>
        <w:t>audience = "product"</w:t>
      </w:r>
    </w:p>
    <w:p>
      <w:pPr>
        <w:pStyle w:val="Code"/>
        <w:keepNext/>
        <w:widowControl/>
        <w:shd w:fill="F5F6F7"/>
      </w:pPr>
      <w:r>
        <w:rPr>
          <w:rFonts w:ascii="Courier New" w:hAnsi="Courier New" w:eastAsia="Courier New"/>
          <w:color w:val="202020"/>
          <w:sz w:val="18"/>
        </w:rPr>
        <w:t>permission = "support.work"</w:t>
      </w:r>
    </w:p>
    <w:p>
      <w:pPr>
        <w:pStyle w:val="Code"/>
        <w:keepNext/>
        <w:widowControl/>
        <w:shd w:fill="F5F6F7"/>
      </w:pPr>
      <w:r>
        <w:rPr>
          <w:rFonts w:ascii="Courier New" w:hAnsi="Courier New" w:eastAsia="Courier New"/>
          <w:color w:val="202020"/>
          <w:sz w:val="18"/>
        </w:rPr>
        <w:t>resource = "support.case"</w:t>
      </w:r>
    </w:p>
    <w:p>
      <w:pPr>
        <w:pStyle w:val="Code"/>
        <w:keepNext/>
        <w:widowControl/>
        <w:shd w:fill="F5F6F7"/>
      </w:pPr>
      <w:r>
        <w:rPr>
          <w:rFonts w:ascii="Courier New" w:hAnsi="Courier New" w:eastAsia="Courier New"/>
          <w:color w:val="202020"/>
          <w:sz w:val="18"/>
        </w:rPr>
        <w:t>query = "support.case.list"</w:t>
      </w:r>
    </w:p>
    <w:p>
      <w:pPr>
        <w:pStyle w:val="Code"/>
        <w:keepNext/>
        <w:widowControl/>
        <w:shd w:fill="F5F6F7"/>
      </w:pPr>
      <w:r>
        <w:rPr>
          <w:rFonts w:ascii="Courier New" w:hAnsi="Courier New" w:eastAsia="Courier New"/>
          <w:color w:val="202020"/>
          <w:sz w:val="18"/>
        </w:rPr>
        <w:t>title = "Cases"</w:t>
      </w:r>
    </w:p>
    <w:p>
      <w:pPr>
        <w:pStyle w:val="Code"/>
        <w:keepNext/>
        <w:widowControl/>
        <w:shd w:fill="F5F6F7"/>
      </w:pPr>
      <w:r>
        <w:rPr>
          <w:rFonts w:ascii="Courier New" w:hAnsi="Courier New" w:eastAsia="Courier New"/>
          <w:color w:val="202020"/>
          <w:sz w:val="18"/>
        </w:rPr>
        <w:t>columns = ["subject", "state", "assignee_label"]</w:t>
      </w:r>
    </w:p>
    <w:p>
      <w:pPr>
        <w:pStyle w:val="Code"/>
        <w:keepNext/>
        <w:widowControl/>
        <w:shd w:fill="F5F6F7"/>
      </w:pPr>
      <w:r>
        <w:rPr>
          <w:rFonts w:ascii="Courier New" w:hAnsi="Courier New" w:eastAsia="Courier New"/>
          <w:color w:val="202020"/>
          <w:sz w:val="18"/>
        </w:rPr>
        <w:t>filters = ["state", "assignee_id"]</w:t>
      </w:r>
    </w:p>
    <w:p>
      <w:pPr>
        <w:pStyle w:val="Code"/>
        <w:keepNext/>
        <w:widowControl/>
        <w:shd w:fill="F5F6F7"/>
      </w:pPr>
      <w:r>
        <w:rPr>
          <w:rFonts w:ascii="Courier New" w:hAnsi="Courier New" w:eastAsia="Courier New"/>
          <w:color w:val="202020"/>
          <w:sz w:val="18"/>
        </w:rPr>
        <w:t>search = "q"</w:t>
      </w:r>
    </w:p>
    <w:p>
      <w:pPr>
        <w:pStyle w:val="Code"/>
        <w:keepNext/>
        <w:widowControl/>
        <w:shd w:fill="F5F6F7"/>
      </w:pPr>
      <w:r>
        <w:rPr>
          <w:rFonts w:ascii="Courier New" w:hAnsi="Courier New" w:eastAsia="Courier New"/>
          <w:color w:val="202020"/>
          <w:sz w:val="18"/>
        </w:rPr>
        <w:t>record_view = "support.case.detail"</w:t>
      </w:r>
    </w:p>
    <w:p>
      <w:pPr>
        <w:pStyle w:val="Code"/>
        <w:keepNext w:val="0"/>
        <w:widowControl/>
        <w:spacing w:after="160"/>
        <w:shd w:fill="F5F6F7"/>
      </w:pPr>
      <w:r>
        <w:rPr>
          <w:rFonts w:ascii="Courier New" w:hAnsi="Courier New" w:eastAsia="Courier New"/>
          <w:color w:val="202020"/>
          <w:sz w:val="18"/>
        </w:rPr>
        <w:t>actions = ["support.case.assign.form"]</w:t>
      </w:r>
    </w:p>
    <w:p>
      <w:r>
        <w:t>In this example the richer list operation may be supplied by a Rust intent app. The new view declaration must not invent a query capability that the operation does not expose.</w:t>
      </w:r>
    </w:p>
    <w:p>
      <w:r>
        <w:t>Keep multi-package resolution above the intent document. Initially, an application composes one validated intent and installed Rust apps. A Cargo dependency does not dynamically load arbitrary new Rust into a running process.</w:t>
      </w:r>
    </w:p>
    <w:p>
      <w:pPr>
        <w:pStyle w:val="Heading2"/>
      </w:pPr>
      <w:r>
        <w:t>Assembly checks</w:t>
      </w:r>
    </w:p>
    <w:p>
      <w:r>
        <w:t>Assembly must reject missing or duplicate view identities, conflicting routes, unknown audiences, missing publication policies, unknown operations, incompatible parameter mappings, non-read query sources, invalid column or identity pointers, unsupported sort/filter inputs, missing required form interactions, and required components absent from the renderer build contract.</w:t>
      </w:r>
    </w:p>
    <w:p>
      <w:r>
        <w:t>Every displayed pointer must resolve against its bound output contract. Every writable field must resolve against the bound input contract after accounting for path and concurrency parameters. A display-only field cannot become writable through an override. A required input that the presentation cannot supply is an assembly error.</w:t>
      </w:r>
    </w:p>
    <w:p>
      <w:r>
        <w:t>Relations require a valid value representation, a label representation, a read-only search source, and a read-only selected-value source. Actions require a declared HTTP binding, accepted input, success contract or no-content result, and a valid precondition target when applicable.</w:t>
      </w:r>
    </w:p>
    <w:p>
      <w:r>
        <w:t>Keep dependency graphs finite and deterministic. Reject view inclusion cycles and ambiguous overrides. Registration validation performs no database queries or network requests.</w:t>
      </w:r>
    </w:p>
    <w:p>
      <w:pPr>
        <w:pStyle w:val="Heading1"/>
      </w:pPr>
      <w:bookmarkStart w:id="15" w:name="section_5"/>
      <w:r>
        <w:t>5 View protocol and publication</w:t>
      </w:r>
      <w:bookmarkEnd w:id="15"/>
    </w:p>
    <w:p>
      <w:pPr>
        <w:pStyle w:val="Heading2"/>
      </w:pPr>
      <w:r>
        <w:t>Version strategy</w:t>
      </w:r>
    </w:p>
    <w:p>
      <w:r>
        <w:t>Introduce a separate portable envelope named trestle.views with protocolVersion 1.0. Keep trestle.interactions at 1.0 for existing operation forms. Only descriptors opting into the new binding semantics emit interaction protocolVersion 1.1. Select the version per descriptor rather than changing a global constant and revising every existing form. View documents reference existing interaction IDs and revisioned descriptors.</w:t>
      </w:r>
    </w:p>
    <w:p>
      <w:r>
        <w:t>New operation semantics such as an explicit precondition target or version-pinned invocation must be advertised as required interaction features. New relationship lookup and layout semantics also require their own features. A renderer that lacks a required binding feature must refuse submission. Optional decorative hints may be ignored. Unknown major protocol versions are rejected.</w:t>
      </w:r>
    </w:p>
    <w:p>
      <w:r>
        <w:t>Do not use a view revision as the operation's execution precondition. View identity, view revision, interaction revision, operation version, record representation ETag, and schema fence are distinct values.</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016"/>
        <w:gridCol w:w="4032"/>
        <w:gridCol w:w="4104"/>
      </w:tblGrid>
      <w:tr>
        <w:trPr>
          <w:cantSplit/>
          <w:tblHeader/>
        </w:trPr>
        <w:tc>
          <w:tcPr>
            <w:tcW w:type="dxa" w:w="2016"/>
            <w:vAlign w:val="center"/>
            <w:shd w:fill="354653"/>
          </w:tcPr>
          <w:p>
            <w:pPr>
              <w:pStyle w:val="TableText"/>
              <w:keepNext/>
              <w:widowControl/>
            </w:pPr>
            <w:r>
              <w:rPr>
                <w:b/>
                <w:color w:val="FFFFFF"/>
                <w:sz w:val="20"/>
              </w:rPr>
              <w:t>Value</w:t>
            </w:r>
          </w:p>
        </w:tc>
        <w:tc>
          <w:tcPr>
            <w:tcW w:type="dxa" w:w="4032"/>
            <w:vAlign w:val="center"/>
            <w:shd w:fill="354653"/>
          </w:tcPr>
          <w:p>
            <w:pPr>
              <w:pStyle w:val="TableText"/>
              <w:keepNext/>
              <w:widowControl/>
            </w:pPr>
            <w:r>
              <w:rPr>
                <w:b/>
                <w:color w:val="FFFFFF"/>
                <w:sz w:val="20"/>
              </w:rPr>
              <w:t>Changes when</w:t>
            </w:r>
          </w:p>
        </w:tc>
        <w:tc>
          <w:tcPr>
            <w:tcW w:type="dxa" w:w="4104"/>
            <w:vAlign w:val="center"/>
            <w:shd w:fill="354653"/>
          </w:tcPr>
          <w:p>
            <w:pPr>
              <w:pStyle w:val="TableText"/>
              <w:keepNext/>
              <w:widowControl/>
            </w:pPr>
            <w:r>
              <w:rPr>
                <w:b/>
                <w:color w:val="FFFFFF"/>
                <w:sz w:val="20"/>
              </w:rPr>
              <w:t>Checked by</w:t>
            </w:r>
          </w:p>
        </w:tc>
      </w:tr>
      <w:tr>
        <w:trPr>
          <w:cantSplit/>
        </w:trPr>
        <w:tc>
          <w:tcPr>
            <w:tcW w:type="dxa" w:w="2016"/>
            <w:vAlign w:val="center"/>
          </w:tcPr>
          <w:p>
            <w:pPr>
              <w:pStyle w:val="TableText"/>
              <w:keepNext w:val="0"/>
              <w:widowControl/>
            </w:pPr>
            <w:r>
              <w:rPr>
                <w:sz w:val="20"/>
              </w:rPr>
              <w:t>View protocol version</w:t>
            </w:r>
          </w:p>
        </w:tc>
        <w:tc>
          <w:tcPr>
            <w:tcW w:type="dxa" w:w="4032"/>
            <w:vAlign w:val="center"/>
          </w:tcPr>
          <w:p>
            <w:pPr>
              <w:pStyle w:val="TableText"/>
              <w:keepNext w:val="0"/>
              <w:widowControl/>
            </w:pPr>
            <w:r>
              <w:rPr>
                <w:sz w:val="20"/>
              </w:rPr>
              <w:t>Reader semantics change</w:t>
            </w:r>
          </w:p>
        </w:tc>
        <w:tc>
          <w:tcPr>
            <w:tcW w:type="dxa" w:w="4104"/>
            <w:vAlign w:val="center"/>
          </w:tcPr>
          <w:p>
            <w:pPr>
              <w:pStyle w:val="TableText"/>
              <w:keepNext w:val="0"/>
              <w:widowControl/>
            </w:pPr>
            <w:r>
              <w:rPr>
                <w:sz w:val="20"/>
              </w:rPr>
              <w:t>View decoder</w:t>
            </w:r>
          </w:p>
        </w:tc>
      </w:tr>
      <w:tr>
        <w:trPr>
          <w:cantSplit/>
        </w:trPr>
        <w:tc>
          <w:tcPr>
            <w:tcW w:type="dxa" w:w="2016"/>
            <w:vAlign w:val="center"/>
            <w:shd w:fill="F5F6F7"/>
          </w:tcPr>
          <w:p>
            <w:pPr>
              <w:pStyle w:val="TableText"/>
              <w:keepNext w:val="0"/>
              <w:widowControl/>
            </w:pPr>
            <w:r>
              <w:rPr>
                <w:sz w:val="20"/>
              </w:rPr>
              <w:t>View revision</w:t>
            </w:r>
          </w:p>
        </w:tc>
        <w:tc>
          <w:tcPr>
            <w:tcW w:type="dxa" w:w="4032"/>
            <w:vAlign w:val="center"/>
            <w:shd w:fill="F5F6F7"/>
          </w:tcPr>
          <w:p>
            <w:pPr>
              <w:pStyle w:val="TableText"/>
              <w:keepNext w:val="0"/>
              <w:widowControl/>
            </w:pPr>
            <w:r>
              <w:rPr>
                <w:sz w:val="20"/>
              </w:rPr>
              <w:t>Portable presentation or bindings change</w:t>
            </w:r>
          </w:p>
        </w:tc>
        <w:tc>
          <w:tcPr>
            <w:tcW w:type="dxa" w:w="4104"/>
            <w:vAlign w:val="center"/>
            <w:shd w:fill="F5F6F7"/>
          </w:tcPr>
          <w:p>
            <w:pPr>
              <w:pStyle w:val="TableText"/>
              <w:keepNext w:val="0"/>
              <w:widowControl/>
            </w:pPr>
            <w:r>
              <w:rPr>
                <w:sz w:val="20"/>
              </w:rPr>
              <w:t>View/controller refresh logic</w:t>
            </w:r>
          </w:p>
        </w:tc>
      </w:tr>
      <w:tr>
        <w:trPr>
          <w:cantSplit/>
        </w:trPr>
        <w:tc>
          <w:tcPr>
            <w:tcW w:type="dxa" w:w="2016"/>
            <w:vAlign w:val="center"/>
          </w:tcPr>
          <w:p>
            <w:pPr>
              <w:pStyle w:val="TableText"/>
              <w:keepNext w:val="0"/>
              <w:widowControl/>
            </w:pPr>
            <w:r>
              <w:rPr>
                <w:sz w:val="20"/>
              </w:rPr>
              <w:t>Interaction revision</w:t>
            </w:r>
          </w:p>
        </w:tc>
        <w:tc>
          <w:tcPr>
            <w:tcW w:type="dxa" w:w="4032"/>
            <w:vAlign w:val="center"/>
          </w:tcPr>
          <w:p>
            <w:pPr>
              <w:pStyle w:val="TableText"/>
              <w:keepNext w:val="0"/>
              <w:widowControl/>
            </w:pPr>
            <w:r>
              <w:rPr>
                <w:sz w:val="20"/>
              </w:rPr>
              <w:t>An operation form descriptor changes</w:t>
            </w:r>
          </w:p>
        </w:tc>
        <w:tc>
          <w:tcPr>
            <w:tcW w:type="dxa" w:w="4104"/>
            <w:vAlign w:val="center"/>
          </w:tcPr>
          <w:p>
            <w:pPr>
              <w:pStyle w:val="TableText"/>
              <w:keepNext w:val="0"/>
              <w:widowControl/>
            </w:pPr>
            <w:r>
              <w:rPr>
                <w:sz w:val="20"/>
              </w:rPr>
              <w:t>Existing managed route revision check</w:t>
            </w:r>
          </w:p>
        </w:tc>
      </w:tr>
      <w:tr>
        <w:trPr>
          <w:cantSplit/>
        </w:trPr>
        <w:tc>
          <w:tcPr>
            <w:tcW w:type="dxa" w:w="2016"/>
            <w:vAlign w:val="center"/>
            <w:shd w:fill="F5F6F7"/>
          </w:tcPr>
          <w:p>
            <w:pPr>
              <w:pStyle w:val="TableText"/>
              <w:keepNext w:val="0"/>
              <w:widowControl/>
            </w:pPr>
            <w:r>
              <w:rPr>
                <w:sz w:val="20"/>
              </w:rPr>
              <w:t>Operation version</w:t>
            </w:r>
          </w:p>
        </w:tc>
        <w:tc>
          <w:tcPr>
            <w:tcW w:type="dxa" w:w="4032"/>
            <w:vAlign w:val="center"/>
            <w:shd w:fill="F5F6F7"/>
          </w:tcPr>
          <w:p>
            <w:pPr>
              <w:pStyle w:val="TableText"/>
              <w:keepNext w:val="0"/>
              <w:widowControl/>
            </w:pPr>
            <w:r>
              <w:rPr>
                <w:sz w:val="20"/>
              </w:rPr>
              <w:t>Executable contract or semantics change</w:t>
            </w:r>
          </w:p>
        </w:tc>
        <w:tc>
          <w:tcPr>
            <w:tcW w:type="dxa" w:w="4104"/>
            <w:vAlign w:val="center"/>
            <w:shd w:fill="F5F6F7"/>
          </w:tcPr>
          <w:p>
            <w:pPr>
              <w:pStyle w:val="TableText"/>
              <w:keepNext w:val="0"/>
              <w:widowControl/>
            </w:pPr>
            <w:r>
              <w:rPr>
                <w:sz w:val="20"/>
              </w:rPr>
              <w:t>New optional expected-version binding</w:t>
            </w:r>
          </w:p>
        </w:tc>
      </w:tr>
      <w:tr>
        <w:trPr>
          <w:cantSplit/>
        </w:trPr>
        <w:tc>
          <w:tcPr>
            <w:tcW w:type="dxa" w:w="2016"/>
            <w:vAlign w:val="center"/>
          </w:tcPr>
          <w:p>
            <w:pPr>
              <w:pStyle w:val="TableText"/>
              <w:keepNext w:val="0"/>
              <w:widowControl/>
            </w:pPr>
            <w:r>
              <w:rPr>
                <w:sz w:val="20"/>
              </w:rPr>
              <w:t>Representation ETag</w:t>
            </w:r>
          </w:p>
        </w:tc>
        <w:tc>
          <w:tcPr>
            <w:tcW w:type="dxa" w:w="4032"/>
            <w:vAlign w:val="center"/>
          </w:tcPr>
          <w:p>
            <w:pPr>
              <w:pStyle w:val="TableText"/>
              <w:keepNext w:val="0"/>
              <w:widowControl/>
            </w:pPr>
            <w:r>
              <w:rPr>
                <w:sz w:val="20"/>
              </w:rPr>
              <w:t>The relevant record representation changes</w:t>
            </w:r>
          </w:p>
        </w:tc>
        <w:tc>
          <w:tcPr>
            <w:tcW w:type="dxa" w:w="4104"/>
            <w:vAlign w:val="center"/>
          </w:tcPr>
          <w:p>
            <w:pPr>
              <w:pStyle w:val="TableText"/>
              <w:keepNext w:val="0"/>
              <w:widowControl/>
            </w:pPr>
            <w:r>
              <w:rPr>
                <w:sz w:val="20"/>
              </w:rPr>
              <w:t>Existing or extended precondition adapter</w:t>
            </w:r>
          </w:p>
        </w:tc>
      </w:tr>
      <w:tr>
        <w:trPr>
          <w:cantSplit/>
        </w:trPr>
        <w:tc>
          <w:tcPr>
            <w:tcW w:type="dxa" w:w="2016"/>
            <w:vAlign w:val="center"/>
            <w:shd w:fill="F5F6F7"/>
          </w:tcPr>
          <w:p>
            <w:pPr>
              <w:pStyle w:val="TableText"/>
              <w:keepNext w:val="0"/>
              <w:widowControl/>
            </w:pPr>
            <w:r>
              <w:rPr>
                <w:sz w:val="20"/>
              </w:rPr>
              <w:t>Schema fence</w:t>
            </w:r>
          </w:p>
        </w:tc>
        <w:tc>
          <w:tcPr>
            <w:tcW w:type="dxa" w:w="4032"/>
            <w:vAlign w:val="center"/>
            <w:shd w:fill="F5F6F7"/>
          </w:tcPr>
          <w:p>
            <w:pPr>
              <w:pStyle w:val="TableText"/>
              <w:keepNext w:val="0"/>
              <w:widowControl/>
            </w:pPr>
            <w:r>
              <w:rPr>
                <w:sz w:val="20"/>
              </w:rPr>
              <w:t>A migration invalidates older writers</w:t>
            </w:r>
          </w:p>
        </w:tc>
        <w:tc>
          <w:tcPr>
            <w:tcW w:type="dxa" w:w="4104"/>
            <w:vAlign w:val="center"/>
            <w:shd w:fill="F5F6F7"/>
          </w:tcPr>
          <w:p>
            <w:pPr>
              <w:pStyle w:val="TableText"/>
              <w:keepNext w:val="0"/>
              <w:widowControl/>
            </w:pPr>
            <w:r>
              <w:rPr>
                <w:sz w:val="20"/>
              </w:rPr>
              <w:t>Existing executor and migration machinery</w:t>
            </w:r>
          </w:p>
        </w:tc>
      </w:tr>
    </w:tbl>
    <w:p>
      <w:pPr>
        <w:spacing w:after="40" w:before="0" w:line="40" w:lineRule="exact"/>
      </w:pPr>
      <w:r>
        <w:rPr>
          <w:sz w:val="4"/>
        </w:rPr>
      </w:r>
    </w:p>
    <w:p>
      <w:pPr>
        <w:pStyle w:val="Heading2"/>
      </w:pPr>
      <w:r>
        <w:t>Endpoints</w:t>
      </w:r>
    </w:p>
    <w:p>
      <w:r>
        <w:t>All new metadata is authenticated where its publication profile requires authentication, policy-filtered, and private with no-store caching. Existing endpoints remain available.</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5587"/>
        <w:gridCol w:w="4565"/>
      </w:tblGrid>
      <w:tr>
        <w:trPr>
          <w:cantSplit/>
          <w:tblHeader/>
        </w:trPr>
        <w:tc>
          <w:tcPr>
            <w:tcW w:type="dxa" w:w="5587"/>
            <w:vAlign w:val="center"/>
            <w:shd w:fill="354653"/>
          </w:tcPr>
          <w:p>
            <w:pPr>
              <w:pStyle w:val="TableText"/>
              <w:keepNext/>
              <w:widowControl/>
            </w:pPr>
            <w:r>
              <w:rPr>
                <w:b/>
                <w:color w:val="FFFFFF"/>
                <w:sz w:val="20"/>
              </w:rPr>
              <w:t>Proposed endpoint</w:t>
            </w:r>
          </w:p>
        </w:tc>
        <w:tc>
          <w:tcPr>
            <w:tcW w:type="dxa" w:w="4565"/>
            <w:vAlign w:val="center"/>
            <w:shd w:fill="354653"/>
          </w:tcPr>
          <w:p>
            <w:pPr>
              <w:pStyle w:val="TableText"/>
              <w:keepNext/>
              <w:widowControl/>
            </w:pPr>
            <w:r>
              <w:rPr>
                <w:b/>
                <w:color w:val="FFFFFF"/>
                <w:sz w:val="20"/>
              </w:rPr>
              <w:t>Purpose</w:t>
            </w:r>
          </w:p>
        </w:tc>
      </w:tr>
      <w:tr>
        <w:trPr>
          <w:cantSplit/>
        </w:trPr>
        <w:tc>
          <w:tcPr>
            <w:tcW w:type="dxa" w:w="5587"/>
            <w:vAlign w:val="center"/>
          </w:tcPr>
          <w:p>
            <w:pPr>
              <w:pStyle w:val="TableText"/>
              <w:keepNext/>
              <w:widowControl/>
            </w:pPr>
            <w:r>
              <w:rPr>
                <w:sz w:val="18"/>
              </w:rPr>
              <w:t>GET /​_meta/​v1/​ui/​manifest</w:t>
            </w:r>
          </w:p>
        </w:tc>
        <w:tc>
          <w:tcPr>
            <w:tcW w:type="dxa" w:w="4565"/>
            <w:vAlign w:val="center"/>
          </w:tcPr>
          <w:p>
            <w:pPr>
              <w:pStyle w:val="TableText"/>
              <w:keepNext/>
              <w:widowControl/>
            </w:pPr>
            <w:r>
              <w:rPr>
                <w:sz w:val="20"/>
              </w:rPr>
              <w:t>Available profiles, navigation entries, view IDs and revisions</w:t>
            </w:r>
          </w:p>
        </w:tc>
      </w:tr>
      <w:tr>
        <w:trPr>
          <w:cantSplit/>
        </w:trPr>
        <w:tc>
          <w:tcPr>
            <w:tcW w:type="dxa" w:w="5587"/>
            <w:vAlign w:val="center"/>
            <w:shd w:fill="F5F6F7"/>
          </w:tcPr>
          <w:p>
            <w:pPr>
              <w:pStyle w:val="TableText"/>
              <w:keepNext/>
              <w:widowControl/>
            </w:pPr>
            <w:r>
              <w:rPr>
                <w:sz w:val="18"/>
              </w:rPr>
              <w:t>GET /​_meta/​v1/​ui/​views/​{view_id}</w:t>
            </w:r>
          </w:p>
        </w:tc>
        <w:tc>
          <w:tcPr>
            <w:tcW w:type="dxa" w:w="4565"/>
            <w:vAlign w:val="center"/>
            <w:shd w:fill="F5F6F7"/>
          </w:tcPr>
          <w:p>
            <w:pPr>
              <w:pStyle w:val="TableText"/>
              <w:keepNext/>
              <w:widowControl/>
            </w:pPr>
            <w:r>
              <w:rPr>
                <w:sz w:val="20"/>
              </w:rPr>
              <w:t>One authorized view descriptor</w:t>
            </w:r>
          </w:p>
        </w:tc>
      </w:tr>
      <w:tr>
        <w:trPr>
          <w:cantSplit/>
        </w:trPr>
        <w:tc>
          <w:tcPr>
            <w:tcW w:type="dxa" w:w="5587"/>
            <w:vAlign w:val="center"/>
          </w:tcPr>
          <w:p>
            <w:pPr>
              <w:pStyle w:val="TableText"/>
              <w:keepNext w:val="0"/>
              <w:widowControl/>
            </w:pPr>
            <w:r>
              <w:rPr>
                <w:sz w:val="18"/>
              </w:rPr>
              <w:t>GET /​_meta/​v1/​ui/​views/​{view_id}/​records/​{id}/​availability</w:t>
            </w:r>
          </w:p>
        </w:tc>
        <w:tc>
          <w:tcPr>
            <w:tcW w:type="dxa" w:w="4565"/>
            <w:vAlign w:val="center"/>
          </w:tcPr>
          <w:p>
            <w:pPr>
              <w:pStyle w:val="TableText"/>
              <w:keepNext w:val="0"/>
              <w:widowControl/>
            </w:pPr>
            <w:r>
              <w:rPr>
                <w:sz w:val="20"/>
              </w:rPr>
              <w:t>Read-only contextual action hints for one record</w:t>
            </w:r>
          </w:p>
        </w:tc>
      </w:tr>
    </w:tbl>
    <w:p>
      <w:pPr>
        <w:spacing w:after="40" w:before="0" w:line="40" w:lineRule="exact"/>
      </w:pPr>
      <w:r>
        <w:rPr>
          <w:sz w:val="4"/>
        </w:rPr>
      </w:r>
    </w:p>
    <w:p>
      <w:r>
        <w:t>The ui path versions the HTTP publication surface; protocolVersion independently versions the document. A manifest entry contains only information the caller may discover. Direct access to a known view ID applies the same publication policy.</w:t>
      </w:r>
    </w:p>
    <w:p>
      <w:r>
        <w:t>The availability route requires a view with a declared record source and an explicit read-only availability operation. It invokes that read operation through the normal executor. Its inputs identify the view's resource record; it may not accept an arbitrary target operation or raw policy expression.</w:t>
      </w:r>
    </w:p>
    <w:p>
      <w:r>
        <w:t>The result identifies the resource, record key, observed record version or representation ETag, and a bounded set of action IDs with availability and safe reason codes. The operation computes this result from the authorized server record. The controller discards hints for a different record or observed version and refreshes them against the displayed record. A summary projection without a comparable version cannot establish that a hint is current.</w:t>
      </w:r>
    </w:p>
    <w:p>
      <w:r>
        <w:t>Initial delivery requests availability on the record page or when an action menu opens. Do not perform a request for every row merely because a table was rendered. A later batch capability must remain bounded and apply concealment consistently.</w:t>
      </w:r>
    </w:p>
    <w:p>
      <w:pPr>
        <w:pStyle w:val="Heading2"/>
      </w:pPr>
      <w:r>
        <w:t>Descriptor specimen</w:t>
      </w:r>
    </w:p>
    <w:p>
      <w:r>
        <w:t>The following is a proposed collection descriptor. Contracts and operation bindings are resolved from the registry, and input/output JSON Schemas are exported from ContractDoc. The nested query and relation schemas are omitted here for readability but are required in the complete conformance fixture.</w:t>
      </w:r>
    </w:p>
    <w:p>
      <w:pPr>
        <w:pStyle w:val="Code"/>
        <w:keepNext/>
        <w:widowControl/>
        <w:spacing w:before="100"/>
        <w:shd w:fill="F5F6F7"/>
      </w:pPr>
      <w:r>
        <w:rPr>
          <w:rFonts w:ascii="Courier New" w:hAnsi="Courier New" w:eastAsia="Courier New"/>
          <w:color w:val="202020"/>
          <w:sz w:val="18"/>
        </w:rPr>
        <w:t>{</w:t>
      </w:r>
    </w:p>
    <w:p>
      <w:pPr>
        <w:pStyle w:val="Code"/>
        <w:keepNext/>
        <w:widowControl/>
        <w:shd w:fill="F5F6F7"/>
      </w:pPr>
      <w:r>
        <w:rPr>
          <w:rFonts w:ascii="Courier New" w:hAnsi="Courier New" w:eastAsia="Courier New"/>
          <w:color w:val="202020"/>
          <w:sz w:val="18"/>
        </w:rPr>
        <w:t xml:space="preserve">  "protocol": "trestle.views", "protocolVersion": "1.0",</w:t>
      </w:r>
    </w:p>
    <w:p>
      <w:pPr>
        <w:pStyle w:val="Code"/>
        <w:keepNext/>
        <w:widowControl/>
        <w:shd w:fill="F5F6F7"/>
      </w:pPr>
      <w:r>
        <w:rPr>
          <w:rFonts w:ascii="Courier New" w:hAnsi="Courier New" w:eastAsia="Courier New"/>
          <w:color w:val="202020"/>
          <w:sz w:val="18"/>
        </w:rPr>
        <w:t xml:space="preserve">  "viewId": "support.case.queue", "revision": "v-example",</w:t>
      </w:r>
    </w:p>
    <w:p>
      <w:pPr>
        <w:pStyle w:val="Code"/>
        <w:keepNext/>
        <w:widowControl/>
        <w:shd w:fill="F5F6F7"/>
      </w:pPr>
      <w:r>
        <w:rPr>
          <w:rFonts w:ascii="Courier New" w:hAnsi="Courier New" w:eastAsia="Courier New"/>
          <w:color w:val="202020"/>
          <w:sz w:val="18"/>
        </w:rPr>
        <w:t xml:space="preserve">  "audience": "product", "kind": "collection",</w:t>
      </w:r>
    </w:p>
    <w:p>
      <w:pPr>
        <w:pStyle w:val="Code"/>
        <w:keepNext/>
        <w:widowControl/>
        <w:shd w:fill="F5F6F7"/>
      </w:pPr>
      <w:r>
        <w:rPr>
          <w:rFonts w:ascii="Courier New" w:hAnsi="Courier New" w:eastAsia="Courier New"/>
          <w:color w:val="202020"/>
          <w:sz w:val="18"/>
        </w:rPr>
        <w:t xml:space="preserve">  "requiredFeatures": ["views.collection@1"],</w:t>
      </w:r>
    </w:p>
    <w:p>
      <w:pPr>
        <w:pStyle w:val="Code"/>
        <w:keepNext/>
        <w:widowControl/>
        <w:shd w:fill="F5F6F7"/>
      </w:pPr>
      <w:r>
        <w:rPr>
          <w:rFonts w:ascii="Courier New" w:hAnsi="Courier New" w:eastAsia="Courier New"/>
          <w:color w:val="202020"/>
          <w:sz w:val="18"/>
        </w:rPr>
        <w:t xml:space="preserve">  "title": "Cases", "resource": "support.case",</w:t>
      </w:r>
    </w:p>
    <w:p>
      <w:pPr>
        <w:pStyle w:val="Code"/>
        <w:keepNext/>
        <w:widowControl/>
        <w:shd w:fill="F5F6F7"/>
      </w:pPr>
      <w:r>
        <w:rPr>
          <w:rFonts w:ascii="Courier New" w:hAnsi="Courier New" w:eastAsia="Courier New"/>
          <w:color w:val="202020"/>
          <w:sz w:val="18"/>
        </w:rPr>
        <w:t xml:space="preserve">  "source": {</w:t>
      </w:r>
    </w:p>
    <w:p>
      <w:pPr>
        <w:pStyle w:val="Code"/>
        <w:keepNext/>
        <w:widowControl/>
        <w:shd w:fill="F5F6F7"/>
      </w:pPr>
      <w:r>
        <w:rPr>
          <w:rFonts w:ascii="Courier New" w:hAnsi="Courier New" w:eastAsia="Courier New"/>
          <w:color w:val="202020"/>
          <w:sz w:val="18"/>
        </w:rPr>
        <w:t xml:space="preserve">    "operationId": "support.case.list", "operationVersion": "1",</w:t>
      </w:r>
    </w:p>
    <w:p>
      <w:pPr>
        <w:pStyle w:val="Code"/>
        <w:keepNext/>
        <w:widowControl/>
        <w:shd w:fill="F5F6F7"/>
      </w:pPr>
      <w:r>
        <w:rPr>
          <w:rFonts w:ascii="Courier New" w:hAnsi="Courier New" w:eastAsia="Courier New"/>
          <w:color w:val="202020"/>
          <w:sz w:val="18"/>
        </w:rPr>
        <w:t xml:space="preserve">    "bindingRevision": "b-example",</w:t>
      </w:r>
    </w:p>
    <w:p>
      <w:pPr>
        <w:pStyle w:val="Code"/>
        <w:keepNext/>
        <w:widowControl/>
        <w:shd w:fill="F5F6F7"/>
      </w:pPr>
      <w:r>
        <w:rPr>
          <w:rFonts w:ascii="Courier New" w:hAnsi="Courier New" w:eastAsia="Courier New"/>
          <w:color w:val="202020"/>
          <w:sz w:val="18"/>
        </w:rPr>
        <w:t xml:space="preserve">    "inputContract": {"id": "support.case.list.input", "version": "1"},</w:t>
      </w:r>
    </w:p>
    <w:p>
      <w:pPr>
        <w:pStyle w:val="Code"/>
        <w:keepNext/>
        <w:widowControl/>
        <w:shd w:fill="F5F6F7"/>
      </w:pPr>
      <w:r>
        <w:rPr>
          <w:rFonts w:ascii="Courier New" w:hAnsi="Courier New" w:eastAsia="Courier New"/>
          <w:color w:val="202020"/>
          <w:sz w:val="18"/>
        </w:rPr>
        <w:t xml:space="preserve">    "outputContract": {"id": "support.case.page", "version": "1"},</w:t>
      </w:r>
    </w:p>
    <w:p>
      <w:pPr>
        <w:pStyle w:val="Code"/>
        <w:keepNext/>
        <w:widowControl/>
        <w:shd w:fill="F5F6F7"/>
      </w:pPr>
      <w:r>
        <w:rPr>
          <w:rFonts w:ascii="Courier New" w:hAnsi="Courier New" w:eastAsia="Courier New"/>
          <w:color w:val="202020"/>
          <w:sz w:val="18"/>
        </w:rPr>
        <w:t xml:space="preserve">    "binding": {"method": "GET", "path": "/api/v1/cases"},</w:t>
      </w:r>
    </w:p>
    <w:p>
      <w:pPr>
        <w:pStyle w:val="Code"/>
        <w:keepNext/>
        <w:widowControl/>
        <w:shd w:fill="F5F6F7"/>
      </w:pPr>
      <w:r>
        <w:rPr>
          <w:rFonts w:ascii="Courier New" w:hAnsi="Courier New" w:eastAsia="Courier New"/>
          <w:color w:val="202020"/>
          <w:sz w:val="18"/>
        </w:rPr>
        <w:t xml:space="preserve">    "itemsPointer": "/items",</w:t>
      </w:r>
    </w:p>
    <w:p>
      <w:pPr>
        <w:pStyle w:val="Code"/>
        <w:keepNext/>
        <w:widowControl/>
        <w:shd w:fill="F5F6F7"/>
      </w:pPr>
      <w:r>
        <w:rPr>
          <w:rFonts w:ascii="Courier New" w:hAnsi="Courier New" w:eastAsia="Courier New"/>
          <w:color w:val="202020"/>
          <w:sz w:val="18"/>
        </w:rPr>
        <w:t xml:space="preserve">    "itemIdentityPointer": "/case_id",</w:t>
      </w:r>
    </w:p>
    <w:p>
      <w:pPr>
        <w:pStyle w:val="Code"/>
        <w:keepNext/>
        <w:widowControl/>
        <w:shd w:fill="F5F6F7"/>
      </w:pPr>
      <w:r>
        <w:rPr>
          <w:rFonts w:ascii="Courier New" w:hAnsi="Courier New" w:eastAsia="Courier New"/>
          <w:color w:val="202020"/>
          <w:sz w:val="18"/>
        </w:rPr>
        <w:t xml:space="preserve">    "nextCursorPointer": "/next_cursor",</w:t>
      </w:r>
    </w:p>
    <w:p>
      <w:pPr>
        <w:pStyle w:val="Code"/>
        <w:keepNext/>
        <w:widowControl/>
        <w:shd w:fill="F5F6F7"/>
      </w:pPr>
      <w:r>
        <w:rPr>
          <w:rFonts w:ascii="Courier New" w:hAnsi="Courier New" w:eastAsia="Courier New"/>
          <w:color w:val="202020"/>
          <w:sz w:val="18"/>
        </w:rPr>
        <w:t xml:space="preserve">    "itemContract": {"id": "support.case.summary", "version": "1"}</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"columns": [</w:t>
      </w:r>
    </w:p>
    <w:p>
      <w:pPr>
        <w:pStyle w:val="Code"/>
        <w:keepNext/>
        <w:widowControl/>
        <w:shd w:fill="F5F6F7"/>
      </w:pPr>
      <w:r>
        <w:rPr>
          <w:rFonts w:ascii="Courier New" w:hAnsi="Courier New" w:eastAsia="Courier New"/>
          <w:color w:val="202020"/>
          <w:sz w:val="18"/>
        </w:rPr>
        <w:t xml:space="preserve">    {"id": "subject", "pointer": "/subject",</w:t>
      </w:r>
    </w:p>
    <w:p>
      <w:pPr>
        <w:pStyle w:val="Code"/>
        <w:keepNext/>
        <w:widowControl/>
        <w:shd w:fill="F5F6F7"/>
      </w:pPr>
      <w:r>
        <w:rPr>
          <w:rFonts w:ascii="Courier New" w:hAnsi="Courier New" w:eastAsia="Courier New"/>
          <w:color w:val="202020"/>
          <w:sz w:val="18"/>
        </w:rPr>
        <w:t xml:space="preserve">     "label": "Subject", "renderer": "text"},</w:t>
      </w:r>
    </w:p>
    <w:p>
      <w:pPr>
        <w:pStyle w:val="Code"/>
        <w:keepNext/>
        <w:widowControl/>
        <w:shd w:fill="F5F6F7"/>
      </w:pPr>
      <w:r>
        <w:rPr>
          <w:rFonts w:ascii="Courier New" w:hAnsi="Courier New" w:eastAsia="Courier New"/>
          <w:color w:val="202020"/>
          <w:sz w:val="18"/>
        </w:rPr>
        <w:t xml:space="preserve">    {"id": "state", "pointer": "/state",</w:t>
      </w:r>
    </w:p>
    <w:p>
      <w:pPr>
        <w:pStyle w:val="Code"/>
        <w:keepNext/>
        <w:widowControl/>
        <w:shd w:fill="F5F6F7"/>
      </w:pPr>
      <w:r>
        <w:rPr>
          <w:rFonts w:ascii="Courier New" w:hAnsi="Courier New" w:eastAsia="Courier New"/>
          <w:color w:val="202020"/>
          <w:sz w:val="18"/>
        </w:rPr>
        <w:t xml:space="preserve">     "label": "State", "renderer": "enum"}</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"recordLink": {</w:t>
      </w:r>
    </w:p>
    <w:p>
      <w:pPr>
        <w:pStyle w:val="Code"/>
        <w:keepNext/>
        <w:widowControl/>
        <w:shd w:fill="F5F6F7"/>
      </w:pPr>
      <w:r>
        <w:rPr>
          <w:rFonts w:ascii="Courier New" w:hAnsi="Courier New" w:eastAsia="Courier New"/>
          <w:color w:val="202020"/>
          <w:sz w:val="18"/>
        </w:rPr>
        <w:t xml:space="preserve">    "viewId": "support.case.detail",</w:t>
      </w:r>
    </w:p>
    <w:p>
      <w:pPr>
        <w:pStyle w:val="Code"/>
        <w:keepNext/>
        <w:widowControl/>
        <w:shd w:fill="F5F6F7"/>
      </w:pPr>
      <w:r>
        <w:rPr>
          <w:rFonts w:ascii="Courier New" w:hAnsi="Courier New" w:eastAsia="Courier New"/>
          <w:color w:val="202020"/>
          <w:sz w:val="18"/>
        </w:rPr>
        <w:t xml:space="preserve">    "input": {"id": {"fromItem": "/case_id"}}</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xml:space="preserve">  "actions": [{</w:t>
      </w:r>
    </w:p>
    <w:p>
      <w:pPr>
        <w:pStyle w:val="Code"/>
        <w:keepNext/>
        <w:widowControl/>
        <w:shd w:fill="F5F6F7"/>
      </w:pPr>
      <w:r>
        <w:rPr>
          <w:rFonts w:ascii="Courier New" w:hAnsi="Courier New" w:eastAsia="Courier New"/>
          <w:color w:val="202020"/>
          <w:sz w:val="18"/>
        </w:rPr>
        <w:t xml:space="preserve">    "id": "assign", "label": "Assign",</w:t>
      </w:r>
    </w:p>
    <w:p>
      <w:pPr>
        <w:pStyle w:val="Code"/>
        <w:keepNext/>
        <w:widowControl/>
        <w:shd w:fill="F5F6F7"/>
      </w:pPr>
      <w:r>
        <w:rPr>
          <w:rFonts w:ascii="Courier New" w:hAnsi="Courier New" w:eastAsia="Courier New"/>
          <w:color w:val="202020"/>
          <w:sz w:val="18"/>
        </w:rPr>
        <w:t xml:space="preserve">    "interactionId": "support.case.assign.form",</w:t>
      </w:r>
    </w:p>
    <w:p>
      <w:pPr>
        <w:pStyle w:val="Code"/>
        <w:keepNext/>
        <w:widowControl/>
        <w:shd w:fill="F5F6F7"/>
      </w:pPr>
      <w:r>
        <w:rPr>
          <w:rFonts w:ascii="Courier New" w:hAnsi="Courier New" w:eastAsia="Courier New"/>
          <w:color w:val="202020"/>
          <w:sz w:val="18"/>
        </w:rPr>
        <w:t xml:space="preserve">    "interactionRevision": "r-example",</w:t>
      </w:r>
    </w:p>
    <w:p>
      <w:pPr>
        <w:pStyle w:val="Code"/>
        <w:keepNext/>
        <w:widowControl/>
        <w:shd w:fill="F5F6F7"/>
      </w:pPr>
      <w:r>
        <w:rPr>
          <w:rFonts w:ascii="Courier New" w:hAnsi="Courier New" w:eastAsia="Courier New"/>
          <w:color w:val="202020"/>
          <w:sz w:val="18"/>
        </w:rPr>
        <w:t xml:space="preserve">    "context": {"recordIdPointer": "/case_id"}</w:t>
      </w:r>
    </w:p>
    <w:p>
      <w:pPr>
        <w:pStyle w:val="Code"/>
        <w:keepNext/>
        <w:widowControl/>
        <w:shd w:fill="F5F6F7"/>
      </w:pPr>
      <w:r>
        <w:rPr>
          <w:rFonts w:ascii="Courier New" w:hAnsi="Courier New" w:eastAsia="Courier New"/>
          <w:color w:val="202020"/>
          <w:sz w:val="18"/>
        </w:rPr>
        <w:t xml:space="preserve">  }]</w:t>
      </w:r>
    </w:p>
    <w:p>
      <w:pPr>
        <w:pStyle w:val="Code"/>
        <w:keepNext w:val="0"/>
        <w:widowControl/>
        <w:spacing w:after="160"/>
        <w:shd w:fill="F5F6F7"/>
      </w:pPr>
      <w:r>
        <w:rPr>
          <w:rFonts w:ascii="Courier New" w:hAnsi="Courier New" w:eastAsia="Courier New"/>
          <w:color w:val="202020"/>
          <w:sz w:val="18"/>
        </w:rPr>
        <w:t>}</w:t>
      </w:r>
    </w:p>
    <w:p>
      <w:r>
        <w:t>The manifest supplies the authorized descriptor URL. The client encodes path segments and verifies allowed origins and API prefixes. A descriptor cannot provide arbitrary JavaScript, raw HTML, a component import URL, or an external schema reference.</w:t>
      </w:r>
    </w:p>
    <w:p>
      <w:pPr>
        <w:pStyle w:val="Heading2"/>
      </w:pPr>
      <w:r>
        <w:t>Decoding and revisions</w:t>
      </w:r>
    </w:p>
    <w:p>
      <w:r>
        <w:t>Define a strict Rust portable representation and an independently checked TypeScript decoder. Use shared fixtures to prove agreement. Runtime decoding is still required even when a TypeScript type is generated.</w:t>
      </w:r>
    </w:p>
    <w:p>
      <w:r>
        <w:t>Canonicalize the resolved portable definition before computing its digest. Include referenced query operation versions, contract identities and versions, binding revisions, and action interaction revisions. Exclude transient caller availability, request IDs, and record values. Validate each authorized variant against an explicit published projection. Do not embed secret internal registry data and rely on the client to discard it.</w:t>
      </w:r>
    </w:p>
    <w:p>
      <w:r>
        <w:t>The client verifies that independently fetched dependencies match the revisions referenced by the view. A mixed deployment that serves a view from one node and a different form revision from another triggers refresh or a compatibility refusal; the client never combines them silently. The example revision strings above are placeholders, not production hashes.</w:t>
      </w:r>
    </w:p>
    <w:p>
      <w:r>
        <w:t>New view defaults are bounded: at most 256 KiB per descriptor, nesting depth 8, 64 presentation nodes, 32 columns, and 100 rows per page. These are proposed initial limits. Overrides require explicit configuration and a load result; no universal performance claim follows from the chosen numbers.</w:t>
      </w:r>
    </w:p>
    <w:p>
      <w:r>
        <w:t>A missing required feature produces a compatibility state with disabled interactions. An invalid binding or malformed required schema rejects the descriptor. An optional missing visualization can use its declared fallback, but a missing required editor cannot be replaced with a lossy generic input.</w:t>
      </w:r>
    </w:p>
    <w:p>
      <w:pPr>
        <w:pStyle w:val="Heading2"/>
      </w:pPr>
      <w:r>
        <w:t>Field disclosure and caching</w:t>
      </w:r>
    </w:p>
    <w:p>
      <w:r>
        <w:t>Choose authorized read projections on the server. Omitting a column from a view is not field-level redaction if the query still returns that field. For v1, publish distinct read operations/contracts when audiences have materially different output fields. Add dynamic projection policy only with output validation and dedicated disclosure tests.</w:t>
      </w:r>
    </w:p>
    <w:p>
      <w:r>
        <w:t>Private metadata and data remain out of shared caches. Browser cache identities include the API origin, authenticated session epoch, tenant, publication profile, view/source identity, contract or descriptor revision where relevant, and canonical query parameters. Credentials themselves are never cache keys.</w:t>
      </w:r>
    </w:p>
    <w:p>
      <w:r>
        <w:t>On sign-out or tenant switch, cancel outstanding requests, clear protected data and drafts, and advance a generation token. Session or permission refresh and authoritative access refusal invalidate the relevant authorization generation, protected descriptors, representations, and relation labels. A late response from the prior generation must be discarded even if cancellation did not prevent its arrival. Without server permission-change events, refresh and refusal establish this boundary; the design does not promise immediate removal of already displayed data after a remote revocation.</w:t>
      </w:r>
    </w:p>
    <w:p>
      <w:pPr>
        <w:pStyle w:val="Heading1"/>
      </w:pPr>
      <w:bookmarkStart w:id="16" w:name="section_6"/>
      <w:r>
        <w:t>6 Queries records and relationships</w:t>
      </w:r>
      <w:bookmarkEnd w:id="16"/>
    </w:p>
    <w:p>
      <w:pPr>
        <w:pStyle w:val="Heading2"/>
      </w:pPr>
      <w:r>
        <w:t>Collection query contract</w:t>
      </w:r>
    </w:p>
    <w:p>
      <w:r>
        <w:t>Collection controls are descriptions of existing read inputs. Each filter declares the input pointer, value schema, and supported operator. Search binds to a specific parameter such as q. Sorting binds to an allowlisted field and direction. The client cannot select arbitrary database columns, joins, or relation traversal.</w:t>
      </w:r>
    </w:p>
    <w:p>
      <w:r>
        <w:t xml:space="preserve">Use the current items and next_cursor page shape with signed keyset cursors. Every ordering has a unique record-identity tie-breaker and an explicit null-ordering policy. The operation binds cursor shape to normalized filters, search, sort, page size, source operation/query/projection revision, and server-resolved tenant/principal scope. The existing signing helper does not add these values automatically. Reauthorize every page and reject a cursor from another scope or query shape. </w:t>
      </w:r>
      <w:hyperlink w:anchor="R12" w:history="1">
        <w:r>
          <w:rPr>
            <w:rFonts w:ascii="Arial" w:hAnsi="Arial"/>
            <w:color w:val="24587A"/>
          </w:rPr>
          <w:t xml:space="preserve">[R12]</w:t>
        </w:r>
      </w:hyperlink>
      <w:r>
        <w:t xml:space="preserve"> </w:t>
      </w:r>
      <w:hyperlink w:anchor="R22" w:history="1">
        <w:r>
          <w:rPr>
            <w:rFonts w:ascii="Arial" w:hAnsi="Arial"/>
            <w:color w:val="24587A"/>
          </w:rPr>
          <w:t xml:space="preserve">[R22]</w:t>
        </w:r>
      </w:hyperlink>
    </w:p>
    <w:p>
      <w:r>
        <w:t>Changing a filter, search term, or sort resets the cursor chain. Page navigation initially supports next/previous through stored cursor history, not arbitrary jumps to an unknown page number. A total count is optional and obtained only through an authorized bounded query.</w:t>
      </w:r>
    </w:p>
    <w:p>
      <w:r>
        <w:t xml:space="preserve">Current cursors are signed, not encrypted. Position values are readable after decoding. Only authorized values may appear in them; a hidden sort value requires server-held or encrypted cursor state, or a different permitted sort. A signature prevents modification, not disclosure. </w:t>
      </w:r>
      <w:hyperlink w:anchor="R22" w:history="1">
        <w:r>
          <w:rPr>
            <w:rFonts w:ascii="Arial" w:hAnsi="Arial"/>
            <w:color w:val="24587A"/>
          </w:rPr>
          <w:t xml:space="preserve">[R22]</w:t>
        </w:r>
      </w:hyperlink>
    </w:p>
    <w:p>
      <w:r>
        <w:t>Every collection declares an itemIdentityPointer resolving to a stable scalar identity in each row. Record links supply a checked mapping from the row to the record view's input contract. Row keys, selection, and navigation use this mapping even when no actions exist. Legacy resources may lower their conventional id field to this explicit representation; arbitrary projections need not use that field name.</w:t>
      </w:r>
    </w:p>
    <w:p>
      <w:r>
        <w:t>The generic query layer can add safe reusable predicates and projection helpers. Complex joins and aggregates remain explicit Rust read operations until a repeated application need justifies another declarative primitive. Do not build another ORM or accept client SQL to make a dashboard convenient.</w:t>
      </w:r>
    </w:p>
    <w:p>
      <w:pPr>
        <w:pStyle w:val="Heading2"/>
      </w:pPr>
      <w:r>
        <w:t>Record views and projections</w:t>
      </w:r>
    </w:p>
    <w:p>
      <w:r>
        <w:t>A record view declares its primary read operation, identity pointer, record label, optional precondition representation, sections, and interactions. Column and section renderers use the declared output types, including string-encoded decimals, money objects, dates, instants, durations, references, and tagged unions.</w:t>
      </w:r>
    </w:p>
    <w:p>
      <w:r>
        <w:t>Computed fields are produced by a read operation. Field rendering must never trigger implicit database I/O. Related sections use separately registered sources with explicit input mappings. A view that needs several reads declares those dependencies so loading and failure states are predictable.</w:t>
      </w:r>
    </w:p>
    <w:p>
      <w:r>
        <w:t>Cache each source independently by its contract and parameters. Do not overwrite a full record cache entry with a narrower collection projection. An operation result updates a cache entry only when it is known to match that entry's representation; otherwise invalidate and retrieve.</w:t>
      </w:r>
    </w:p>
    <w:p>
      <w:pPr>
        <w:pStyle w:val="Heading2"/>
      </w:pPr>
      <w:r>
        <w:t>Relationship source contract</w:t>
      </w:r>
    </w:p>
    <w:p>
      <w:r>
        <w:t>The extended RelationSource contains searchOperation, resolveOperation, valuePointer, labelPointer, and page pointers. Both operations carry versioned input/output contracts and checked bindings. Search supports a bounded term and signed cursor. Resolve retrieves the selected record's display representation even when it is absent from the first search page.</w:t>
      </w:r>
    </w:p>
    <w:p>
      <w:r>
        <w:t>Keep the existing operation-and-label relation serialization unchanged. Descriptors using search/resolve semantics require a distinct feature, forms.relation-lookup@1. A renderer supporting only legacy forms.relation@1 must refuse the new editor rather than render an incomplete picker.</w:t>
      </w:r>
    </w:p>
    <w:p>
      <w:r>
        <w:t>The picker debounces text input, cancels superseded searches, discards late responses, supports keyboard selection, and retains a valid selection across search changes. It distinguishes loading, no matches, and unavailable selection states without exposing hidden target details.</w:t>
      </w:r>
    </w:p>
    <w:p>
      <w:r>
        <w:t>Both sources run authorized read operations. The write operation independently checks target existence in the caller's permitted scope. A forged foreign tenant ID has the same result as an unavailable target. Displaying an option never grants permission to reference it.</w:t>
      </w:r>
    </w:p>
    <w:p>
      <w:r>
        <w:t>Optional creation from a picker binds to an explicit create operation. On success, use its authorized returned identity and refresh the label. The parent record has not been saved merely because a related object was created.</w:t>
      </w:r>
    </w:p>
    <w:p>
      <w:pPr>
        <w:pStyle w:val="Heading2"/>
      </w:pPr>
      <w:r>
        <w:t>Related edits and bulk selection</w:t>
      </w:r>
    </w:p>
    <w:p>
      <w:r>
        <w:t>In v1, related records save independently through their own forms, with clear per-record controls. A single Save button for a parent and children requires a dedicated aggregate operation that owns one transaction, validates all inputs, checks relevant versions, and supplies scoped writes on that connection.</w:t>
      </w:r>
    </w:p>
    <w:p>
      <w:r>
        <w:t>Do not compose an atomic-looking save from several independent HTTP calls or nested executor calls that each commit their own transaction. The aggregate operation's application services must share its transaction and enforce each required domain policy.</w:t>
      </w:r>
    </w:p>
    <w:p>
      <w:r>
        <w:t>Generic bulk actions are deferred from the first release. Their later contract must specify either a bounded explicit selection with all-or-nothing database semantics or per-item execution with a result for each item. All matching records requires a separately designed selection snapshot or execution-time predicate. The UI must state which population and atomicity rule apply.</w:t>
      </w:r>
    </w:p>
    <w:p>
      <w:pPr>
        <w:pStyle w:val="Heading1"/>
      </w:pPr>
      <w:bookmarkStart w:id="17" w:name="section_7"/>
      <w:r>
        <w:t>7 Operations concurrency and recovery</w:t>
      </w:r>
      <w:bookmarkEnd w:id="17"/>
    </w:p>
    <w:p>
      <w:pPr>
        <w:pStyle w:val="Heading2"/>
      </w:pPr>
      <w:r>
        <w:t>One invocation controller</w:t>
      </w:r>
    </w:p>
    <w:p>
      <w:r>
        <w:t>Replace the admin's special row-action send path with the same operation controller used by forms. It loads the registered interaction or the checked legacy invocation description from section 4, supplies record context, renders inputs when needed, validates, dispatches according to the actual binding, and interprets declared results. It must respect method, success status, no-content responses, Location, field errors, revision semantics, and preconditions.</w:t>
      </w:r>
    </w:p>
    <w:p>
      <w:r>
        <w:t>Action presentation can specify a confirmation with a target label and safe consequence text. An operation requiring reason, assignee, amount, or another input opens its form. A command without visible input can still use the same controller. A pending attempt disables duplicate submissions for that interaction instance.</w:t>
      </w:r>
    </w:p>
    <w:p>
      <w:r>
        <w:t>Publication policy determines whether an action can be discovered. Contextual availability can make it visible but disabled with a safe reason. Execution remains authoritative. A current hint must never become a capability token or a substitute for a transaction-time recheck.</w:t>
      </w:r>
    </w:p>
    <w:p>
      <w:pPr>
        <w:pStyle w:val="Heading2"/>
      </w:pPr>
      <w:r>
        <w:t>Precondition targets</w:t>
      </w:r>
    </w:p>
    <w:p>
      <w:r>
        <w:t xml:space="preserve">The current resource path relates If-Match to an operation output representation. That works for existing update operations that return the resource representation. A generalized command may modify a record but return a command receipt, so its concurrency target must be explicit. </w:t>
      </w:r>
      <w:hyperlink w:anchor="R1" w:history="1">
        <w:r>
          <w:rPr>
            <w:rFonts w:ascii="Arial" w:hAnsi="Arial"/>
            <w:color w:val="24587A"/>
          </w:rPr>
          <w:t xml:space="preserve">[R1]</w:t>
        </w:r>
      </w:hyperlink>
      <w:r>
        <w:t xml:space="preserve"> </w:t>
      </w:r>
      <w:hyperlink w:anchor="R12" w:history="1">
        <w:r>
          <w:rPr>
            <w:rFonts w:ascii="Arial" w:hAnsi="Arial"/>
            <w:color w:val="24587A"/>
          </w:rPr>
          <w:t xml:space="preserve">[R12]</w:t>
        </w:r>
      </w:hyperlink>
    </w:p>
    <w:p>
      <w:r>
        <w:t>Add an optional PreconditionTarget to the HTTP binding. It identifies the registered retrieve operation or resource representation, maps its record identity, and names the expected-version input field. Keep legacy inference unchanged when this field is absent. Resolve and check the target during assembly.</w:t>
      </w:r>
    </w:p>
    <w:p>
      <w:r>
        <w:t>The new descriptor advertises a required feature such as http.precondition-target@1. Its binding points to the representation used for the precondition. The controller obtains that target's actual ETag from an authorized read, preserves it with the draft, and submits it as If-Match. It must not manufacture an ETag from a command receipt or reuse an unrelated list representation.</w:t>
      </w:r>
    </w:p>
    <w:p>
      <w:r>
        <w:t>The server decodes the precondition against the declared target and supplies the expected version through the existing input adapter. The operation checks the relevant version and state inside its transaction before writing. Composite commands declare all additional concurrency requirements in their input contract; one parent ETag cannot protect arbitrary children.</w:t>
      </w:r>
    </w:p>
    <w:p>
      <w:pPr>
        <w:pStyle w:val="Heading2"/>
      </w:pPr>
      <w:r>
        <w:t>Immutable submission attempt</w:t>
      </w:r>
    </w:p>
    <w:p>
      <w:r>
        <w:t>Preparation freezes a local attempt ID, originating controller identity, actor/session epoch, tenant, operation ID and version, optional interaction revision, binding, canonical validated payload, target ETag, and optional idempotency key. Dispatch atomically consumes the prepared handle and adds the actual dispatch time. Editing the form creates a new logical submission after the current attempt is resolved. It must not mutate an in-flight attempt.</w:t>
      </w:r>
    </w:p>
    <w:p>
      <w:r>
        <w:t>Concurrent or repeated execute calls on one prepared handle must return its existing state or fail locally without another network dispatch, including when server idempotency is unavailable. A deliberate new submission requires a fresh preparation after resolution. A separate reconciliation path may observe an unresolved attempt; it cannot reuse execute to send it again.</w:t>
      </w:r>
    </w:p>
    <w:p>
      <w:r>
        <w:t>Store active attempts in memory in v1. Do not persist arbitrary payloads, credentials, or sensitive form drafts to localStorage. Closing a tab can lose local recovery context; an application that requires recovery across sessions must supply durable server-side attempt or job records.</w:t>
      </w:r>
    </w:p>
    <w:p>
      <w:r>
        <w:t>The application runtime owns the attempt registry; a dialog or form component only subscribes to it. Its scope includes the security context, operation, and canonical target bindings, with a stable create-flow identity for operations without an existing record. Dismissing a dialog or navigating away does not discard a dispatched attempt. Remounting the same interaction reattaches to it instead of creating another submission opportunity.</w:t>
      </w:r>
    </w:p>
    <w:p>
      <w:r>
        <w:t>An unresolved attempt appears in a session-level activity list with its safe action label, target label, time, and request ID. The user can close it and continue unrelated work. Without a reconciliation binding, the interface offers authorized record/history inspection and explains that the outcome remains uncertain; it offers no generic retry. Sign-out clears protected attempt content. Losing a tab or session can lose this in-memory record, which is why durable cross-session recovery is a separate application requirement.</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088"/>
        <w:gridCol w:w="4349"/>
        <w:gridCol w:w="3715"/>
      </w:tblGrid>
      <w:tr>
        <w:trPr>
          <w:cantSplit/>
          <w:tblHeader/>
        </w:trPr>
        <w:tc>
          <w:tcPr>
            <w:tcW w:type="dxa" w:w="2088"/>
            <w:vAlign w:val="center"/>
            <w:shd w:fill="354653"/>
          </w:tcPr>
          <w:p>
            <w:pPr>
              <w:pStyle w:val="TableText"/>
              <w:keepNext/>
              <w:widowControl/>
            </w:pPr>
            <w:r>
              <w:rPr>
                <w:b/>
                <w:color w:val="FFFFFF"/>
                <w:sz w:val="20"/>
              </w:rPr>
              <w:t>State</w:t>
            </w:r>
          </w:p>
        </w:tc>
        <w:tc>
          <w:tcPr>
            <w:tcW w:type="dxa" w:w="4349"/>
            <w:vAlign w:val="center"/>
            <w:shd w:fill="354653"/>
          </w:tcPr>
          <w:p>
            <w:pPr>
              <w:pStyle w:val="TableText"/>
              <w:keepNext/>
              <w:widowControl/>
            </w:pPr>
            <w:r>
              <w:rPr>
                <w:b/>
                <w:color w:val="FFFFFF"/>
                <w:sz w:val="20"/>
              </w:rPr>
              <w:t>Meaning</w:t>
            </w:r>
          </w:p>
        </w:tc>
        <w:tc>
          <w:tcPr>
            <w:tcW w:type="dxa" w:w="3715"/>
            <w:vAlign w:val="center"/>
            <w:shd w:fill="354653"/>
          </w:tcPr>
          <w:p>
            <w:pPr>
              <w:pStyle w:val="TableText"/>
              <w:keepNext/>
              <w:widowControl/>
            </w:pPr>
            <w:r>
              <w:rPr>
                <w:b/>
                <w:color w:val="FFFFFF"/>
                <w:sz w:val="20"/>
              </w:rPr>
              <w:t>Allowed next step</w:t>
            </w:r>
          </w:p>
        </w:tc>
      </w:tr>
      <w:tr>
        <w:trPr>
          <w:cantSplit/>
        </w:trPr>
        <w:tc>
          <w:tcPr>
            <w:tcW w:type="dxa" w:w="2088"/>
            <w:vAlign w:val="center"/>
          </w:tcPr>
          <w:p>
            <w:pPr>
              <w:pStyle w:val="TableText"/>
              <w:keepNext w:val="0"/>
              <w:widowControl/>
            </w:pPr>
            <w:r>
              <w:rPr>
                <w:sz w:val="20"/>
              </w:rPr>
              <w:t>ready</w:t>
            </w:r>
          </w:p>
        </w:tc>
        <w:tc>
          <w:tcPr>
            <w:tcW w:type="dxa" w:w="4349"/>
            <w:vAlign w:val="center"/>
          </w:tcPr>
          <w:p>
            <w:pPr>
              <w:pStyle w:val="TableText"/>
              <w:keepNext w:val="0"/>
              <w:widowControl/>
            </w:pPr>
            <w:r>
              <w:rPr>
                <w:sz w:val="20"/>
              </w:rPr>
              <w:t>No dispatched attempt is outstanding</w:t>
            </w:r>
          </w:p>
        </w:tc>
        <w:tc>
          <w:tcPr>
            <w:tcW w:type="dxa" w:w="3715"/>
            <w:vAlign w:val="center"/>
          </w:tcPr>
          <w:p>
            <w:pPr>
              <w:pStyle w:val="TableText"/>
              <w:keepNext w:val="0"/>
              <w:widowControl/>
            </w:pPr>
            <w:r>
              <w:rPr>
                <w:sz w:val="20"/>
              </w:rPr>
              <w:t>Edit or submit</w:t>
            </w:r>
          </w:p>
        </w:tc>
      </w:tr>
      <w:tr>
        <w:trPr>
          <w:cantSplit/>
        </w:trPr>
        <w:tc>
          <w:tcPr>
            <w:tcW w:type="dxa" w:w="2088"/>
            <w:vAlign w:val="center"/>
            <w:shd w:fill="F5F6F7"/>
          </w:tcPr>
          <w:p>
            <w:pPr>
              <w:pStyle w:val="TableText"/>
              <w:keepNext w:val="0"/>
              <w:widowControl/>
            </w:pPr>
            <w:r>
              <w:rPr>
                <w:sz w:val="20"/>
              </w:rPr>
              <w:t>validating</w:t>
            </w:r>
          </w:p>
        </w:tc>
        <w:tc>
          <w:tcPr>
            <w:tcW w:type="dxa" w:w="4349"/>
            <w:vAlign w:val="center"/>
            <w:shd w:fill="F5F6F7"/>
          </w:tcPr>
          <w:p>
            <w:pPr>
              <w:pStyle w:val="TableText"/>
              <w:keepNext w:val="0"/>
              <w:widowControl/>
            </w:pPr>
            <w:r>
              <w:rPr>
                <w:sz w:val="20"/>
              </w:rPr>
              <w:t>Local input checks are running</w:t>
            </w:r>
          </w:p>
        </w:tc>
        <w:tc>
          <w:tcPr>
            <w:tcW w:type="dxa" w:w="3715"/>
            <w:vAlign w:val="center"/>
            <w:shd w:fill="F5F6F7"/>
          </w:tcPr>
          <w:p>
            <w:pPr>
              <w:pStyle w:val="TableText"/>
              <w:keepNext w:val="0"/>
              <w:widowControl/>
            </w:pPr>
            <w:r>
              <w:rPr>
                <w:sz w:val="20"/>
              </w:rPr>
              <w:t>Show errors or dispatch</w:t>
            </w:r>
          </w:p>
        </w:tc>
      </w:tr>
      <w:tr>
        <w:trPr>
          <w:cantSplit/>
        </w:trPr>
        <w:tc>
          <w:tcPr>
            <w:tcW w:type="dxa" w:w="2088"/>
            <w:vAlign w:val="center"/>
          </w:tcPr>
          <w:p>
            <w:pPr>
              <w:pStyle w:val="TableText"/>
              <w:keepNext w:val="0"/>
              <w:widowControl/>
            </w:pPr>
            <w:r>
              <w:rPr>
                <w:sz w:val="20"/>
              </w:rPr>
              <w:t>submitting</w:t>
            </w:r>
          </w:p>
        </w:tc>
        <w:tc>
          <w:tcPr>
            <w:tcW w:type="dxa" w:w="4349"/>
            <w:vAlign w:val="center"/>
          </w:tcPr>
          <w:p>
            <w:pPr>
              <w:pStyle w:val="TableText"/>
              <w:keepNext w:val="0"/>
              <w:widowControl/>
            </w:pPr>
            <w:r>
              <w:rPr>
                <w:sz w:val="20"/>
              </w:rPr>
              <w:t>A request was handed to transport</w:t>
            </w:r>
          </w:p>
        </w:tc>
        <w:tc>
          <w:tcPr>
            <w:tcW w:type="dxa" w:w="3715"/>
            <w:vAlign w:val="center"/>
          </w:tcPr>
          <w:p>
            <w:pPr>
              <w:pStyle w:val="TableText"/>
              <w:keepNext w:val="0"/>
              <w:widowControl/>
            </w:pPr>
            <w:r>
              <w:rPr>
                <w:sz w:val="20"/>
              </w:rPr>
              <w:t>Await response; prevent duplicates</w:t>
            </w:r>
          </w:p>
        </w:tc>
      </w:tr>
      <w:tr>
        <w:trPr>
          <w:cantSplit/>
        </w:trPr>
        <w:tc>
          <w:tcPr>
            <w:tcW w:type="dxa" w:w="2088"/>
            <w:vAlign w:val="center"/>
            <w:shd w:fill="F5F6F7"/>
          </w:tcPr>
          <w:p>
            <w:pPr>
              <w:pStyle w:val="TableText"/>
              <w:keepNext w:val="0"/>
              <w:widowControl/>
            </w:pPr>
            <w:r>
              <w:rPr>
                <w:sz w:val="20"/>
              </w:rPr>
              <w:t>succeeded</w:t>
            </w:r>
          </w:p>
        </w:tc>
        <w:tc>
          <w:tcPr>
            <w:tcW w:type="dxa" w:w="4349"/>
            <w:vAlign w:val="center"/>
            <w:shd w:fill="F5F6F7"/>
          </w:tcPr>
          <w:p>
            <w:pPr>
              <w:pStyle w:val="TableText"/>
              <w:keepNext w:val="0"/>
              <w:widowControl/>
            </w:pPr>
            <w:r>
              <w:rPr>
                <w:sz w:val="20"/>
              </w:rPr>
              <w:t>A valid declared success was received</w:t>
            </w:r>
          </w:p>
        </w:tc>
        <w:tc>
          <w:tcPr>
            <w:tcW w:type="dxa" w:w="3715"/>
            <w:vAlign w:val="center"/>
            <w:shd w:fill="F5F6F7"/>
          </w:tcPr>
          <w:p>
            <w:pPr>
              <w:pStyle w:val="TableText"/>
              <w:keepNext w:val="0"/>
              <w:widowControl/>
            </w:pPr>
            <w:r>
              <w:rPr>
                <w:sz w:val="20"/>
              </w:rPr>
              <w:t>Show result and refresh affected reads</w:t>
            </w:r>
          </w:p>
        </w:tc>
      </w:tr>
      <w:tr>
        <w:trPr>
          <w:cantSplit/>
        </w:trPr>
        <w:tc>
          <w:tcPr>
            <w:tcW w:type="dxa" w:w="2088"/>
            <w:vAlign w:val="center"/>
          </w:tcPr>
          <w:p>
            <w:pPr>
              <w:pStyle w:val="TableText"/>
              <w:keepNext w:val="0"/>
              <w:widowControl/>
            </w:pPr>
            <w:r>
              <w:rPr>
                <w:sz w:val="20"/>
              </w:rPr>
              <w:t>rejected</w:t>
            </w:r>
          </w:p>
        </w:tc>
        <w:tc>
          <w:tcPr>
            <w:tcW w:type="dxa" w:w="4349"/>
            <w:vAlign w:val="center"/>
          </w:tcPr>
          <w:p>
            <w:pPr>
              <w:pStyle w:val="TableText"/>
              <w:keepNext w:val="0"/>
              <w:widowControl/>
            </w:pPr>
            <w:r>
              <w:rPr>
                <w:sz w:val="20"/>
              </w:rPr>
              <w:t>This attempt has a confirmed no-effect rejection</w:t>
            </w:r>
          </w:p>
        </w:tc>
        <w:tc>
          <w:tcPr>
            <w:tcW w:type="dxa" w:w="3715"/>
            <w:vAlign w:val="center"/>
          </w:tcPr>
          <w:p>
            <w:pPr>
              <w:pStyle w:val="TableText"/>
              <w:keepNext w:val="0"/>
              <w:widowControl/>
            </w:pPr>
            <w:r>
              <w:rPr>
                <w:sz w:val="20"/>
              </w:rPr>
              <w:t>Preserve draft and correct or refresh</w:t>
            </w:r>
          </w:p>
        </w:tc>
      </w:tr>
      <w:tr>
        <w:trPr>
          <w:cantSplit/>
        </w:trPr>
        <w:tc>
          <w:tcPr>
            <w:tcW w:type="dxa" w:w="2088"/>
            <w:vAlign w:val="center"/>
            <w:shd w:fill="F5F6F7"/>
          </w:tcPr>
          <w:p>
            <w:pPr>
              <w:pStyle w:val="TableText"/>
              <w:keepNext w:val="0"/>
              <w:widowControl/>
            </w:pPr>
            <w:r>
              <w:rPr>
                <w:sz w:val="20"/>
              </w:rPr>
              <w:t>conflicted</w:t>
            </w:r>
          </w:p>
        </w:tc>
        <w:tc>
          <w:tcPr>
            <w:tcW w:type="dxa" w:w="4349"/>
            <w:vAlign w:val="center"/>
            <w:shd w:fill="F5F6F7"/>
          </w:tcPr>
          <w:p>
            <w:pPr>
              <w:pStyle w:val="TableText"/>
              <w:keepNext w:val="0"/>
              <w:widowControl/>
            </w:pPr>
            <w:r>
              <w:rPr>
                <w:sz w:val="20"/>
              </w:rPr>
              <w:t>This attempt was refused by a version or state precondition</w:t>
            </w:r>
          </w:p>
        </w:tc>
        <w:tc>
          <w:tcPr>
            <w:tcW w:type="dxa" w:w="3715"/>
            <w:vAlign w:val="center"/>
            <w:shd w:fill="F5F6F7"/>
          </w:tcPr>
          <w:p>
            <w:pPr>
              <w:pStyle w:val="TableText"/>
              <w:keepNext w:val="0"/>
              <w:widowControl/>
            </w:pPr>
            <w:r>
              <w:rPr>
                <w:sz w:val="20"/>
              </w:rPr>
              <w:t>Preserve draft and load current data</w:t>
            </w:r>
          </w:p>
        </w:tc>
      </w:tr>
      <w:tr>
        <w:trPr>
          <w:cantSplit/>
        </w:trPr>
        <w:tc>
          <w:tcPr>
            <w:tcW w:type="dxa" w:w="2088"/>
            <w:vAlign w:val="center"/>
          </w:tcPr>
          <w:p>
            <w:pPr>
              <w:pStyle w:val="TableText"/>
              <w:keepNext w:val="0"/>
              <w:widowControl/>
            </w:pPr>
            <w:r>
              <w:rPr>
                <w:sz w:val="20"/>
              </w:rPr>
              <w:t>outcome_​unknown</w:t>
            </w:r>
          </w:p>
        </w:tc>
        <w:tc>
          <w:tcPr>
            <w:tcW w:type="dxa" w:w="4349"/>
            <w:vAlign w:val="center"/>
          </w:tcPr>
          <w:p>
            <w:pPr>
              <w:pStyle w:val="TableText"/>
              <w:keepNext w:val="0"/>
              <w:widowControl/>
            </w:pPr>
            <w:r>
              <w:rPr>
                <w:sz w:val="20"/>
              </w:rPr>
              <w:t>The dispatched attempt's effects cannot be determined</w:t>
            </w:r>
          </w:p>
        </w:tc>
        <w:tc>
          <w:tcPr>
            <w:tcW w:type="dxa" w:w="3715"/>
            <w:vAlign w:val="center"/>
          </w:tcPr>
          <w:p>
            <w:pPr>
              <w:pStyle w:val="TableText"/>
              <w:keepNext w:val="0"/>
              <w:widowControl/>
            </w:pPr>
            <w:r>
              <w:rPr>
                <w:sz w:val="20"/>
              </w:rPr>
              <w:t>Reconcile; never silently submit anew</w:t>
            </w:r>
          </w:p>
        </w:tc>
      </w:tr>
      <w:tr>
        <w:trPr>
          <w:cantSplit/>
        </w:trPr>
        <w:tc>
          <w:tcPr>
            <w:tcW w:type="dxa" w:w="2088"/>
            <w:vAlign w:val="center"/>
            <w:shd w:fill="F5F6F7"/>
          </w:tcPr>
          <w:p>
            <w:pPr>
              <w:pStyle w:val="TableText"/>
              <w:keepNext w:val="0"/>
              <w:widowControl/>
            </w:pPr>
            <w:r>
              <w:rPr>
                <w:sz w:val="20"/>
              </w:rPr>
              <w:t>committed_​unreadable</w:t>
            </w:r>
          </w:p>
        </w:tc>
        <w:tc>
          <w:tcPr>
            <w:tcW w:type="dxa" w:w="4349"/>
            <w:vAlign w:val="center"/>
            <w:shd w:fill="F5F6F7"/>
          </w:tcPr>
          <w:p>
            <w:pPr>
              <w:pStyle w:val="TableText"/>
              <w:keepNext w:val="0"/>
              <w:widowControl/>
            </w:pPr>
            <w:r>
              <w:rPr>
                <w:sz w:val="20"/>
              </w:rPr>
              <w:t>Commit is explicitly confirmed but response rendering failed</w:t>
            </w:r>
          </w:p>
        </w:tc>
        <w:tc>
          <w:tcPr>
            <w:tcW w:type="dxa" w:w="3715"/>
            <w:vAlign w:val="center"/>
            <w:shd w:fill="F5F6F7"/>
          </w:tcPr>
          <w:p>
            <w:pPr>
              <w:pStyle w:val="TableText"/>
              <w:keepNext w:val="0"/>
              <w:widowControl/>
            </w:pPr>
            <w:r>
              <w:rPr>
                <w:sz w:val="20"/>
              </w:rPr>
              <w:t>Refresh authorized data; do not repeat</w:t>
            </w:r>
          </w:p>
        </w:tc>
      </w:tr>
      <w:tr>
        <w:trPr>
          <w:cantSplit/>
        </w:trPr>
        <w:tc>
          <w:tcPr>
            <w:tcW w:type="dxa" w:w="2088"/>
            <w:vAlign w:val="center"/>
          </w:tcPr>
          <w:p>
            <w:pPr>
              <w:pStyle w:val="TableText"/>
              <w:keepNext w:val="0"/>
              <w:widowControl/>
            </w:pPr>
            <w:r>
              <w:rPr>
                <w:sz w:val="20"/>
              </w:rPr>
              <w:t>queued</w:t>
            </w:r>
          </w:p>
        </w:tc>
        <w:tc>
          <w:tcPr>
            <w:tcW w:type="dxa" w:w="4349"/>
            <w:vAlign w:val="center"/>
          </w:tcPr>
          <w:p>
            <w:pPr>
              <w:pStyle w:val="TableText"/>
              <w:keepNext w:val="0"/>
              <w:widowControl/>
            </w:pPr>
            <w:r>
              <w:rPr>
                <w:sz w:val="20"/>
              </w:rPr>
              <w:t>A valid durable work reference was returned</w:t>
            </w:r>
          </w:p>
        </w:tc>
        <w:tc>
          <w:tcPr>
            <w:tcW w:type="dxa" w:w="3715"/>
            <w:vAlign w:val="center"/>
          </w:tcPr>
          <w:p>
            <w:pPr>
              <w:pStyle w:val="TableText"/>
              <w:keepNext w:val="0"/>
              <w:widowControl/>
            </w:pPr>
            <w:r>
              <w:rPr>
                <w:sz w:val="20"/>
              </w:rPr>
              <w:t>Observe status through an authorized query</w:t>
            </w:r>
          </w:p>
        </w:tc>
      </w:tr>
    </w:tbl>
    <w:p>
      <w:pPr>
        <w:spacing w:after="40" w:before="0" w:line="40" w:lineRule="exact"/>
      </w:pPr>
      <w:r>
        <w:rPr>
          <w:sz w:val="4"/>
        </w:rPr>
      </w:r>
    </w:p>
    <w:p>
      <w:r>
        <w:t>A generic 500, transport abort, timeout, truncated body, or untrusted proxy response does not prove rollback. A malformed success body must never turn into a retryable save error. Classify a confirmed no-effect rejection only when the operation's problem contract and attempt context support that conclusion.</w:t>
      </w:r>
    </w:p>
    <w:p>
      <w:pPr>
        <w:pStyle w:val="Heading2"/>
      </w:pPr>
      <w:r>
        <w:t>Idempotency and version pinning</w:t>
      </w:r>
    </w:p>
    <w:p>
      <w:r>
        <w:t xml:space="preserve">Decode the existing idempotency metadata and generate a key only for a binding that accepts one. Preserve that key for the original logical attempt. The current receipt scope includes actor, tenant, operation identity/version, and key. Never change the key, payload, tenant, or operation version while claiming to recover the same attempt. </w:t>
      </w:r>
      <w:hyperlink w:anchor="R16" w:history="1">
        <w:r>
          <w:rPr>
            <w:rFonts w:ascii="Arial" w:hAnsi="Arial"/>
            <w:color w:val="24587A"/>
          </w:rPr>
          <w:t xml:space="preserve">[R16]</w:t>
        </w:r>
      </w:hyperlink>
    </w:p>
    <w:p>
      <w:r>
        <w:t>Add an optional expected operation-version header, Trestle-Operation-Version, for bindings that support version-pinned invocation. The HTTP adapter supplies an expected-version field on Invocation. Enforce that field in the common invocation boundary, after authentication and before receipt selection or operation execution, for HTTP, Registry::invoke, and other callers. A mismatch returns a defined operation_version_stale problem with no effect for that request. Advertise support through a required feature on controllers that depend on it. Legacy callers omitting the expectation retain their current behavior.</w:t>
      </w:r>
    </w:p>
    <w:p>
      <w:r>
        <w:t>V1 exposes no execution-capable keyed recovery and never automatically replays an unknown attempt. It can invoke an operation-specific read-only reconciliation query or show the user the authoritative record/history to inspect. A reconciliation query must distinguish evidence of success, evidence of no effect, and insufficient evidence; the absence of a changed field alone may not prove the attempt failed.</w:t>
      </w:r>
    </w:p>
    <w:p>
      <w:r>
        <w:t>Ordinary keyed re-invocation is execution-capable: if no receipt exists, including after expiry, it may execute the operation. A client time margin cannot prevent a delayed request from arriving after retention. The controller must never present that invocation as a read-only status check or a guaranteed recovery of an old attempt.</w:t>
      </w:r>
    </w:p>
    <w:p>
      <w:r>
        <w:t>A future generic recovery feature requires a separate server-enforced receipt-only mode. It authenticates the caller, pins the original operation version and attempt identity, checks current disclosure, and returns only an existing unexpired receipt. An absent or expired receipt returns receipt_unavailable with no command execution. Its implementation must have no fall-through path to receipt creation or command execution. This capability requires its own protocol feature, ADR, and delayed-arrival tests before it can be enabled.</w:t>
      </w:r>
    </w:p>
    <w:p>
      <w:r>
        <w:t>A 401, 403, or stale-interaction refusal from a recovery request only establishes that the recovery request did not execute. It does not resolve whether the original request committed. Keep the original attempt outcome unknown until authoritative evidence resolves it.</w:t>
      </w:r>
    </w:p>
    <w:p>
      <w:pPr>
        <w:pStyle w:val="Heading2"/>
      </w:pPr>
      <w:r>
        <w:t>Stored response disclosure</w:t>
      </w:r>
    </w:p>
    <w:p>
      <w:r>
        <w:t>The existing receipt mechanism re-authorizes the operation and can return stored response bytes. Dynamic field visibility creates an additional concern: a caller may retain permission to invoke while losing permission to see part of an older response.</w:t>
      </w:r>
    </w:p>
    <w:p>
      <w:r>
        <w:t>For new actions with field-sensitive results, prefer a minimal stable command receipt followed by freshly authorized reads. Such an action must also have an explicit disclosure policy for any retained receipt. If richer stored responses are replayed, add a disclosure check capable of refusing the replay without executing the write again.</w:t>
      </w:r>
    </w:p>
    <w:p>
      <w:r>
        <w:t>Do not put the current role or projection version into a new idempotency identity to solve disclosure. That would turn a retry into a different operation attempt and can duplicate its effects.</w:t>
      </w:r>
    </w:p>
    <w:p>
      <w:pPr>
        <w:pStyle w:val="Heading2"/>
      </w:pPr>
      <w:r>
        <w:t>Refresh and background work</w:t>
      </w:r>
    </w:p>
    <w:p>
      <w:r>
        <w:t>Action definitions declare affected query IDs and, where possible, affected record identities. These are cache hints, not authority. On success, invalidate only relevant entries in the current security context. Unknown effects can conservatively invalidate the active view's reads.</w:t>
      </w:r>
    </w:p>
    <w:p>
      <w:r>
        <w:t xml:space="preserve">A background command returns a typed work reference. Add a registered status read operation with tenant/actor authorization. The low-level job status helper is not an authorization boundary. Status may expose state, safe progress, attempts, and authorized result access; job payloads and provider errors remain private. Cancellation, where supported, is a separate command whose result distinguishes request acceptance from actual cancellation. </w:t>
      </w:r>
      <w:hyperlink w:anchor="R17" w:history="1">
        <w:r>
          <w:rPr>
            <w:rFonts w:ascii="Arial" w:hAnsi="Arial"/>
            <w:color w:val="24587A"/>
          </w:rPr>
          <w:t xml:space="preserve">[R17]</w:t>
        </w:r>
      </w:hyperlink>
    </w:p>
    <w:p>
      <w:pPr>
        <w:pStyle w:val="Heading1"/>
      </w:pPr>
      <w:bookmarkStart w:id="18" w:name="section_8"/>
      <w:r>
        <w:t>8 Frontend controllers and rendering</w:t>
      </w:r>
      <w:bookmarkEnd w:id="18"/>
    </w:p>
    <w:p>
      <w:pPr>
        <w:pStyle w:val="Heading2"/>
      </w:pPr>
      <w:r>
        <w:t>Extraction strategy</w:t>
      </w:r>
    </w:p>
    <w:p>
      <w:r>
        <w:t>First add the shared controller and strict admin decoder inside the existing frontend workspace. Migrate both OperationForm and row actions to that implementation and verify existing behavior. Extract @trestle/client and @trestle/admin-react only after the common code has a real second caller.</w:t>
      </w:r>
    </w:p>
    <w:p>
      <w:r>
        <w:t>Keep @trestle/interaction-react import compatibility through re-exports. Move pure protocol, validation, transport, and controller code without changing its semantics. React auth providers and hooks remain in the React package; the pure client accepts an injected transport/context provider.</w:t>
      </w:r>
    </w:p>
    <w:p>
      <w:r>
        <w:t xml:space="preserve">The initial implementation keeps React, Vite, and the owned portable validator. Existing UI libraries can supply bounded table or accessible-control mechanics after a targeted evaluation. Replacing the renderer or adopting a second validation authority is not part of this release. </w:t>
      </w:r>
      <w:hyperlink w:anchor="R19" w:history="1">
        <w:r>
          <w:rPr>
            <w:rFonts w:ascii="Arial" w:hAnsi="Arial"/>
            <w:color w:val="24587A"/>
          </w:rPr>
          <w:t xml:space="preserve">[R19]</w:t>
        </w:r>
      </w:hyperlink>
    </w:p>
    <w:p>
      <w:pPr>
        <w:pStyle w:val="Heading2"/>
      </w:pPr>
      <w:r>
        <w:t>Proposed public controller surface</w:t>
      </w:r>
    </w:p>
    <w:p>
      <w:r>
        <w:t>Expose subscriptions and immutable snapshots in the pure client. React hooks adapt those controllers using useSyncExternalStore or an equivalent concurrency-safe subscription.</w:t>
      </w:r>
    </w:p>
    <w:p>
      <w:pPr>
        <w:pStyle w:val="Code"/>
        <w:keepNext/>
        <w:widowControl/>
        <w:spacing w:before="100"/>
        <w:shd w:fill="F5F6F7"/>
      </w:pPr>
      <w:r>
        <w:rPr>
          <w:rFonts w:ascii="Courier New" w:hAnsi="Courier New" w:eastAsia="Courier New"/>
          <w:color w:val="202020"/>
          <w:sz w:val="18"/>
        </w:rPr>
        <w:t>type ViewContext = {</w:t>
      </w:r>
    </w:p>
    <w:p>
      <w:pPr>
        <w:pStyle w:val="Code"/>
        <w:keepNext/>
        <w:widowControl/>
        <w:shd w:fill="F5F6F7"/>
      </w:pPr>
      <w:r>
        <w:rPr>
          <w:rFonts w:ascii="Courier New" w:hAnsi="Courier New" w:eastAsia="Courier New"/>
          <w:color w:val="202020"/>
          <w:sz w:val="18"/>
        </w:rPr>
        <w:t xml:space="preserve">  viewId: string;</w:t>
      </w:r>
    </w:p>
    <w:p>
      <w:pPr>
        <w:pStyle w:val="Code"/>
        <w:keepNext/>
        <w:widowControl/>
        <w:shd w:fill="F5F6F7"/>
      </w:pPr>
      <w:r>
        <w:rPr>
          <w:rFonts w:ascii="Courier New" w:hAnsi="Courier New" w:eastAsia="Courier New"/>
          <w:color w:val="202020"/>
          <w:sz w:val="18"/>
        </w:rPr>
        <w:t xml:space="preserve">  recordId?: string;</w:t>
      </w:r>
    </w:p>
    <w:p>
      <w:pPr>
        <w:pStyle w:val="Code"/>
        <w:keepNext/>
        <w:widowControl/>
        <w:shd w:fill="F5F6F7"/>
      </w:pPr>
      <w:r>
        <w:rPr>
          <w:rFonts w:ascii="Courier New" w:hAnsi="Courier New" w:eastAsia="Courier New"/>
          <w:color w:val="202020"/>
          <w:sz w:val="18"/>
        </w:rPr>
        <w:t>};</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interface OperationController {</w:t>
      </w:r>
    </w:p>
    <w:p>
      <w:pPr>
        <w:pStyle w:val="Code"/>
        <w:keepNext/>
        <w:widowControl/>
        <w:shd w:fill="F5F6F7"/>
      </w:pPr>
      <w:r>
        <w:rPr>
          <w:rFonts w:ascii="Courier New" w:hAnsi="Courier New" w:eastAsia="Courier New"/>
          <w:color w:val="202020"/>
          <w:sz w:val="18"/>
        </w:rPr>
        <w:t xml:space="preserve">  getSnapshot(): OperationSnapshot;</w:t>
      </w:r>
    </w:p>
    <w:p>
      <w:pPr>
        <w:pStyle w:val="Code"/>
        <w:keepNext/>
        <w:widowControl/>
        <w:shd w:fill="F5F6F7"/>
      </w:pPr>
      <w:r>
        <w:rPr>
          <w:rFonts w:ascii="Courier New" w:hAnsi="Courier New" w:eastAsia="Courier New"/>
          <w:color w:val="202020"/>
          <w:sz w:val="18"/>
        </w:rPr>
        <w:t xml:space="preserve">  subscribe(listener: () =&gt; void): () =&gt; void;</w:t>
      </w:r>
    </w:p>
    <w:p>
      <w:pPr>
        <w:pStyle w:val="Code"/>
        <w:keepNext/>
        <w:widowControl/>
        <w:shd w:fill="F5F6F7"/>
      </w:pPr>
      <w:r>
        <w:rPr>
          <w:rFonts w:ascii="Courier New" w:hAnsi="Courier New" w:eastAsia="Courier New"/>
          <w:color w:val="202020"/>
          <w:sz w:val="18"/>
        </w:rPr>
        <w:t xml:space="preserve">  prepare(input: unknown): Promise&lt;PreparedAttempt&gt;;</w:t>
      </w:r>
    </w:p>
    <w:p>
      <w:pPr>
        <w:pStyle w:val="Code"/>
        <w:keepNext/>
        <w:widowControl/>
        <w:shd w:fill="F5F6F7"/>
      </w:pPr>
      <w:r>
        <w:rPr>
          <w:rFonts w:ascii="Courier New" w:hAnsi="Courier New" w:eastAsia="Courier New"/>
          <w:color w:val="202020"/>
          <w:sz w:val="18"/>
        </w:rPr>
        <w:t xml:space="preserve">  execute(attempt: PreparedAttempt): Promise&lt;void&gt;;</w:t>
      </w:r>
    </w:p>
    <w:p>
      <w:pPr>
        <w:pStyle w:val="Code"/>
        <w:keepNext/>
        <w:widowControl/>
        <w:shd w:fill="F5F6F7"/>
      </w:pPr>
      <w:r>
        <w:rPr>
          <w:rFonts w:ascii="Courier New" w:hAnsi="Courier New" w:eastAsia="Courier New"/>
          <w:color w:val="202020"/>
          <w:sz w:val="18"/>
        </w:rPr>
        <w:t xml:space="preserve">  refreshDescriptor(): Promise&lt;void&gt;;</w:t>
      </w:r>
    </w:p>
    <w:p>
      <w:pPr>
        <w:pStyle w:val="Code"/>
        <w:keepNext/>
        <w:widowControl/>
        <w:shd w:fill="F5F6F7"/>
      </w:pPr>
      <w:r>
        <w:rPr>
          <w:rFonts w:ascii="Courier New" w:hAnsi="Courier New" w:eastAsia="Courier New"/>
          <w:color w:val="202020"/>
          <w:sz w:val="18"/>
        </w:rPr>
        <w:t xml:space="preserve">  reconcile(): Promise&lt;void&gt;;</w:t>
      </w:r>
    </w:p>
    <w:p>
      <w:pPr>
        <w:pStyle w:val="Code"/>
        <w:keepNext/>
        <w:widowControl/>
        <w:shd w:fill="F5F6F7"/>
      </w:pPr>
      <w:r>
        <w:rPr>
          <w:rFonts w:ascii="Courier New" w:hAnsi="Courier New" w:eastAsia="Courier New"/>
          <w:color w:val="202020"/>
          <w:sz w:val="18"/>
        </w:rPr>
        <w:t xml:space="preserve">  dispose(): void;</w:t>
      </w:r>
    </w:p>
    <w:p>
      <w:pPr>
        <w:pStyle w:val="Code"/>
        <w:keepNext/>
        <w:widowControl/>
        <w:shd w:fill="F5F6F7"/>
      </w:pPr>
      <w:r>
        <w:rPr>
          <w:rFonts w:ascii="Courier New" w:hAnsi="Courier New" w:eastAsia="Courier New"/>
          <w:color w:val="202020"/>
          <w:sz w:val="18"/>
        </w:rPr>
        <w:t>}</w:t>
      </w:r>
    </w:p>
    <w:p>
      <w:pPr>
        <w:pStyle w:val="Code"/>
        <w:keepNext/>
        <w:widowControl/>
        <w:shd w:fill="F5F6F7"/>
      </w:pPr>
      <w:r>
        <w:rPr>
          <w:rFonts w:ascii="Courier New" w:hAnsi="Courier New" w:eastAsia="Courier New"/>
          <w:color w:val="202020"/>
          <w:sz w:val="18"/>
        </w:rPr>
        <w:t xml:space="preserve"> </w:t>
      </w:r>
    </w:p>
    <w:p>
      <w:pPr>
        <w:pStyle w:val="Code"/>
        <w:keepNext/>
        <w:widowControl/>
        <w:shd w:fill="F5F6F7"/>
      </w:pPr>
      <w:r>
        <w:rPr>
          <w:rFonts w:ascii="Courier New" w:hAnsi="Courier New" w:eastAsia="Courier New"/>
          <w:color w:val="202020"/>
          <w:sz w:val="18"/>
        </w:rPr>
        <w:t>// Proposed React adapters</w:t>
      </w:r>
    </w:p>
    <w:p>
      <w:pPr>
        <w:pStyle w:val="Code"/>
        <w:keepNext/>
        <w:widowControl/>
        <w:shd w:fill="F5F6F7"/>
      </w:pPr>
      <w:r>
        <w:rPr>
          <w:rFonts w:ascii="Courier New" w:hAnsi="Courier New" w:eastAsia="Courier New"/>
          <w:color w:val="202020"/>
          <w:sz w:val="18"/>
        </w:rPr>
        <w:t>useView(context: ViewContext);</w:t>
      </w:r>
    </w:p>
    <w:p>
      <w:pPr>
        <w:pStyle w:val="Code"/>
        <w:keepNext/>
        <w:widowControl/>
        <w:shd w:fill="F5F6F7"/>
      </w:pPr>
      <w:r>
        <w:rPr>
          <w:rFonts w:ascii="Courier New" w:hAnsi="Courier New" w:eastAsia="Courier New"/>
          <w:color w:val="202020"/>
          <w:sz w:val="18"/>
        </w:rPr>
        <w:t>useCollection(viewId: string);</w:t>
      </w:r>
    </w:p>
    <w:p>
      <w:pPr>
        <w:pStyle w:val="Code"/>
        <w:keepNext/>
        <w:widowControl/>
        <w:shd w:fill="F5F6F7"/>
      </w:pPr>
      <w:r>
        <w:rPr>
          <w:rFonts w:ascii="Courier New" w:hAnsi="Courier New" w:eastAsia="Courier New"/>
          <w:color w:val="202020"/>
          <w:sz w:val="18"/>
        </w:rPr>
        <w:t>useRecordView(viewId: string, recordId: string);</w:t>
      </w:r>
    </w:p>
    <w:p>
      <w:pPr>
        <w:pStyle w:val="Code"/>
        <w:keepNext/>
        <w:widowControl/>
        <w:shd w:fill="F5F6F7"/>
      </w:pPr>
      <w:r>
        <w:rPr>
          <w:rFonts w:ascii="Courier New" w:hAnsi="Courier New" w:eastAsia="Courier New"/>
          <w:color w:val="202020"/>
          <w:sz w:val="18"/>
        </w:rPr>
        <w:t>useOperation(interactionId: string, record?: RecordContext);</w:t>
      </w:r>
    </w:p>
    <w:p>
      <w:pPr>
        <w:pStyle w:val="Code"/>
        <w:keepNext w:val="0"/>
        <w:widowControl/>
        <w:spacing w:after="160"/>
        <w:shd w:fill="F5F6F7"/>
      </w:pPr>
      <w:r>
        <w:rPr>
          <w:rFonts w:ascii="Courier New" w:hAnsi="Courier New" w:eastAsia="Courier New"/>
          <w:color w:val="202020"/>
          <w:sz w:val="18"/>
        </w:rPr>
        <w:t>useRelationSource(source: RelationSource);</w:t>
      </w:r>
    </w:p>
    <w:p>
      <w:r>
        <w:t>PreparedAttempt is an opaque immutable value constructed by the controller. Callers cannot edit its tenant, payload, binding, ETag, or key. Execute verifies the originating controller and current security context and consumes the handle once before dispatch. This check protects custom component callers as well as standard buttons.</w:t>
      </w:r>
    </w:p>
    <w:p>
      <w:r>
        <w:t>Disposing a component adapter releases its subscriptions; it must not erase an unresolved attempt from the runtime registry. The runtime owns terminal-attempt cleanup and protected-state disposal at the security boundary.</w:t>
      </w:r>
    </w:p>
    <w:p>
      <w:r>
        <w:t>OperationSnapshot includes the state from section 7, field errors, safe operation errors, compatibility state, prepared input, result/work reference, and whether an explicit reconciliation mechanism exists. It does not expose raw credentials or treat a local cancel signal as a server rollback.</w:t>
      </w:r>
    </w:p>
    <w:p>
      <w:r>
        <w:t>The form editor owns raw widget values, the edit baseline, touched/dirty state, and conversion into candidate JSON. The pure operation controller owns validated prepared input, immutable attempts, server errors, and outcomes. Record controllers own authoritative representations and ETags. Keep one owner for each kind of state; package extraction must not duplicate draft ownership.</w:t>
      </w:r>
    </w:p>
    <w:p>
      <w:r>
        <w:t>Collection state contains normalized filters, sort, search, cursor history, selection, loading/error state, and an output contract identity. Record state contains the authoritative representation and ETag separately from the edited draft. A selected row's summary representation must not silently replace the detail representation.</w:t>
      </w:r>
    </w:p>
    <w:p>
      <w:pPr>
        <w:pStyle w:val="Heading2"/>
      </w:pPr>
      <w:r>
        <w:t>Standard components</w:t>
      </w:r>
    </w:p>
    <w:p>
      <w:r>
        <w:t>The reusable shell provides AdminShell, Navigation, CollectionView, RecordView, OperationAction, OperationDialog, RelatedCollection, and WorkStatus. These names describe proposed public components; final exports must be documented and tested from an external consumer.</w:t>
      </w:r>
    </w:p>
    <w:p>
      <w:r>
        <w:t>CollectionView provides schema-aware formatting, allowlisted filter/search controls, cursor navigation, empty states, and record links. RecordView composes the main projection and lazy sections. OperationAction binds an interaction to a button or menu entry and delegates all submission state to the shared controller.</w:t>
      </w:r>
    </w:p>
    <w:p>
      <w:r>
        <w:t>OperationForm keeps its existing portable inputs and PATCH behavior. It submits only changed editable values for a patch, preserving omitted, explicit null, and supplied value. The full editable form remains visible. Display-only sections and computed fields never enter its payload.</w:t>
      </w:r>
    </w:p>
    <w:p>
      <w:pPr>
        <w:pStyle w:val="Heading2"/>
      </w:pPr>
      <w:r>
        <w:t>Form layout grammar</w:t>
      </w:r>
    </w:p>
    <w:p>
      <w:r>
        <w:t>The first layout extension contains field, section, and columns nodes. A section has a stable ID, optional label/help text, and children. Columns contain a bounded number of child groups and collapse to a single column on narrow screens. Keep field order deterministic.</w:t>
      </w:r>
    </w:p>
    <w:p>
      <w:r>
        <w:t>Use a required feature such as forms.layout@1 only for descriptors that need the extension. Existing vertical layouts remain unchanged. The renderer can internally lower legacy vertical children to the new representation without changing the wire document.</w:t>
      </w:r>
    </w:p>
    <w:p>
      <w:r>
        <w:t>General conditional form rules are deferred. Existing bounded action visibility retains its current meaning. A later conditional-layout feature must define incomplete and invalid inputs, hidden edited values, requiredness, and capability negotiation before adding a predicate tree. Hiding a field neither deletes its stored value nor authorizes sending it.</w:t>
      </w:r>
    </w:p>
    <w:p>
      <w:r>
        <w:t>V1 excludes arbitrary layout expressions, arbitrary nested object editors, spreadsheet-style repeating forms, and a general visual page builder. Existing money and union widgets remain supported structured values. Add a new layout node only with a real application use, server export, browser decoder, and shared fixtures.</w:t>
      </w:r>
    </w:p>
    <w:p>
      <w:pPr>
        <w:pStyle w:val="Heading2"/>
      </w:pPr>
      <w:r>
        <w:t>Accessible interaction behavior</w:t>
      </w:r>
    </w:p>
    <w:p>
      <w:r>
        <w:t>The default shell must support keyboard navigation for menus, dialogs, tables, relation search, and forms. Dialogs manage initial focus, trap focus when modal, and restore focus to the trigger. Validation focuses a summary that links to invalid controls. Loading and result messages use appropriate live announcements.</w:t>
      </w:r>
    </w:p>
    <w:p>
      <w:r>
        <w:t>Use semantic table markup for the initial collection component. Do not adopt virtualization before a measured page-size requirement justifies its accessibility and focus complexity. Keep selected, disabled, and error states understandable without color alone.</w:t>
      </w:r>
    </w:p>
    <w:p>
      <w:r>
        <w:t>Unsaved edits prompt before navigation where the browser allows it. Conflicts preserve the draft and load the latest authorized representation separately. A future field-by-field merge must distinguish fields the user touched from values merely displayed; v1 can require explicit review before resubmission.</w:t>
      </w:r>
    </w:p>
    <w:p>
      <w:pPr>
        <w:pStyle w:val="Heading2"/>
      </w:pPr>
      <w:r>
        <w:t>Errors and localization</w:t>
      </w:r>
    </w:p>
    <w:p>
      <w:r>
        <w:t>Use the existing stable problem codes and JSON Pointers. Put generic framework messages in a replaceable locale catalog and domain-specific messages in the capability application. Remove school and owner assumptions from shared components.</w:t>
      </w:r>
    </w:p>
    <w:p>
      <w:r>
        <w:t>Unknown safe application codes can use a generic operation error with the request ID. SQL, provider response bodies, credentials, and internal policy expressions must never appear in browser messages. The renderer must not treat server text as HTML.</w:t>
      </w:r>
    </w:p>
    <w:p>
      <w:pPr>
        <w:pStyle w:val="Heading1"/>
      </w:pPr>
      <w:bookmarkStart w:id="19" w:name="section_9"/>
      <w:r>
        <w:t>9 Packaging deployment and customization</w:t>
      </w:r>
      <w:bookmarkEnd w:id="19"/>
    </w:p>
    <w:p>
      <w:pPr>
        <w:pStyle w:val="Heading2"/>
      </w:pPr>
      <w:r>
        <w:t>Installable frontend packages</w:t>
      </w:r>
    </w:p>
    <w:p>
      <w:r>
        <w:t>Build versioned ESM packages with public exports, declaration files, peer dependency declarations, and a documented CSS entry point. Keep the default shell usable through ordinary package installation. Validate a consumer outside the monorepo so workspace source imports cannot hide packaging defects.</w:t>
      </w:r>
    </w:p>
    <w:p>
      <w:r>
        <w:t>The deployable admin host accepts explicit API/meta prefixes, branding, renderer feature configuration, and an authorized tenant-discovery operation. Development identity choices remain development-only and are omitted from production builds. Tenant eligibility must come from server policy rather than a hardcoded owner role.</w:t>
      </w:r>
    </w:p>
    <w:p>
      <w:r>
        <w:t>The scaffold gains an opt-in admin configuration. A development command starts the API and frontend with explicit ports and shuts down only its own processes. Production builds emit separate static assets and a renderer feature manifest.</w:t>
      </w:r>
    </w:p>
    <w:p>
      <w:pPr>
        <w:pStyle w:val="Heading2"/>
      </w:pPr>
      <w:r>
        <w:t>Host startup contract</w:t>
      </w:r>
    </w:p>
    <w:p>
      <w:r>
        <w:t xml:space="preserve">The proposed host configuration contains apiOrigin, apiPrefix, metaPrefix, publicationProfile, a SessionAdapter, an optional TenantSource, and the installed ComponentRegistry. SessionAdapter wraps the current session/sign-in integration and exposes loading, signed-out, signed-in, unavailable, and error states plus refresh, sign-in, and sign-out actions. Its signed-in context supplies actor identity and a transport that applies the current session/CSRF rules. Tokens never become view props. </w:t>
      </w:r>
      <w:hyperlink w:anchor="R23" w:history="1">
        <w:r>
          <w:rPr>
            <w:rFonts w:ascii="Arial" w:hAnsi="Arial"/>
            <w:color w:val="24587A"/>
          </w:rPr>
          <w:t xml:space="preserve">[R23]</w:t>
        </w:r>
      </w:hyperlink>
    </w:p>
    <w:p>
      <w:r>
        <w:t>TenantSource identifies a registered, authenticated membership-discovery read usable before a tenant is selected. Its checked output maps a stable tenant ID and safe display label. The operation returns eligible tenants according to current server policy, with bounded paging where needed. The host does not infer eligibility from a role string or treat a selected ID as authority.</w:t>
      </w:r>
    </w:p>
    <w:p>
      <w:r>
        <w:t>Startup follows a defined sequence: resolve session, complete the existing sign-in flow if required, load eligible tenants, select a valid tenant, and load its authorized view manifest. A single-tenant application can omit tenant selection explicitly. For a tenant-aware application, zero eligible tenants shows a useful no-access state; one selects automatically; multiple show a selector unless a previously chosen tenant remains eligible. A valid tenant with no published views shows an empty workspace state, not a loading failure.</w:t>
      </w:r>
    </w:p>
    <w:p>
      <w:r>
        <w:t>On session expiry while editing, suspend dispatch, hide protected data, and offer the existing sign-in flow. An unsent draft may remain quarantined in memory until the same actor and tenant reauthenticate and the host rechecks authorization, descriptor compatibility, and the record version. A full-page sign-in can lose memory-only drafts; warn before that navigation. Identity changes or loss of edit permission discard the draft. A dispatched attempt retains its unknown outcome and never becomes an unsent draft merely because authentication expired.</w:t>
      </w:r>
    </w:p>
    <w:p>
      <w:r>
        <w:t>Revoked tenant eligibility clears that tenant's protected state, invalidates the authorization generation, and returns to tenant selection or the no-access state. A production host with unavailable browser identity reports a configuration error; it never enables development tokens as a fallback.</w:t>
      </w:r>
    </w:p>
    <w:p>
      <w:pPr>
        <w:pStyle w:val="Heading2"/>
      </w:pPr>
      <w:r>
        <w:t>Browser origin and delivery</w:t>
      </w:r>
    </w:p>
    <w:p>
      <w:r>
        <w:t>Use one public origin by default. Route /admin/ and optionally /app/ to static assets, /api/ to the API, and /_meta/ to metadata. Keep metadata and authenticated data private and uncached by the edge. Hashed JavaScript and CSS assets can be cached as immutable public build artifacts.</w:t>
      </w:r>
    </w:p>
    <w:p>
      <w:r>
        <w:t xml:space="preserve">Reuse Trestle's existing session, origin, and CSRF machinery. Preserve the rule that Authorization does not fall back to a cookie. The frontend obtains the required session context through the existing identity integration rather than inventing another identity root. Cross-origin deployment is an explicitly configured alternative with matching origin and credential policy. </w:t>
      </w:r>
      <w:hyperlink w:anchor="R20" w:history="1">
        <w:r>
          <w:rPr>
            <w:rFonts w:ascii="Arial" w:hAnsi="Arial"/>
            <w:color w:val="24587A"/>
          </w:rPr>
          <w:t xml:space="preserve">[R20]</w:t>
        </w:r>
      </w:hyperlink>
    </w:p>
    <w:p>
      <w:r>
        <w:t>An API deployment does not automatically publish or update a frontend bundle. Record both artifact identities during release. A rollback must select a compatible renderer and backend while respecting the current database schema fence.</w:t>
      </w:r>
    </w:p>
    <w:p>
      <w:pPr>
        <w:pStyle w:val="Heading2"/>
      </w:pPr>
      <w:r>
        <w:t>Renderer build contract</w:t>
      </w:r>
    </w:p>
    <w:p>
      <w:r>
        <w:t>The frontend build emits a manifest containing renderer package versions, supported view/interaction versions, required-feature implementations, component keys and versions, and a build digest. Application assembly or release validation compares the view requirements with that manifest.</w:t>
      </w:r>
    </w:p>
    <w:p>
      <w:r>
        <w:t>A custom component is imported at frontend build time and registered under a namespaced stable key. Its slot contract declares the data shape it reads and the controller capabilities it can invoke. Views reference the key; they do not contain runtime module URLs.</w:t>
      </w:r>
    </w:p>
    <w:p>
      <w:r>
        <w:t>Required missing components block publication to that renderer or disable the affected view with a compatibility result. Optional components may declare a fallback. A fallback may display information differently but cannot discard a required editable value.</w:t>
      </w:r>
    </w:p>
    <w:p>
      <w:pPr>
        <w:pStyle w:val="Heading2"/>
      </w:pPr>
      <w:r>
        <w:t>Capability package contribution</w:t>
      </w:r>
    </w:p>
    <w:p>
      <w:r>
        <w:t>A business capability crate contributes models, migrations, operations, policies, jobs, resources, and default views through the existing App system. Its optional frontend package contributes specialized components and translations. The application release locks the compatible backend and frontend contributions together.</w:t>
      </w:r>
    </w:p>
    <w:p>
      <w:r>
        <w:t>Trestle's registry verifies names and bindings. Proseware or application assembly owns higher-level capability selection and dependency resolution. Forkware owns edition deployment and maintenance. A package's business rules stay in that package even when its default screens are rendered by the generic shell.</w:t>
      </w:r>
    </w:p>
    <w:p>
      <w:pPr>
        <w:pStyle w:val="Heading2"/>
      </w:pPr>
      <w:r>
        <w:t>Presentation overrides</w:t>
      </w:r>
    </w:p>
    <w:p>
      <w:r>
        <w:t>Apply overrides in a documented order: capability defaults, application overrides, approved edition configuration, then per-user display preferences. The first release implements capability and application levels. Persisted edition/user settings follow through a small optional configuration app.</w:t>
      </w:r>
    </w:p>
    <w:p>
      <w:r>
        <w:t>Overrides target stable view, section, field, action, or slot IDs. Supported changes include labels, ordering, grouping, optional visibility, preferred columns, and selection of an installed compatible component. They cannot add writable inputs, broaden query permissions, bypass an operation, or reference an unpublished action.</w:t>
      </w:r>
    </w:p>
    <w:p>
      <w:r>
        <w:t>An override that targets a removed or incompatible object fails validation with the target ID and reason. Do not silently discard it during upgrades. Reordering or relabeling does not require a database migration; persisting the override data itself follows ordinary model/migration rules.</w:t>
      </w:r>
    </w:p>
    <w:p>
      <w:pPr>
        <w:pStyle w:val="Heading1"/>
      </w:pPr>
      <w:bookmarkStart w:id="20" w:name="section_10"/>
      <w:r>
        <w:t>10 Security consistency and operational behavior</w:t>
      </w:r>
      <w:bookmarkEnd w:id="20"/>
    </w:p>
    <w:p>
      <w:pPr>
        <w:pStyle w:val="Heading2"/>
      </w:pPr>
      <w:r>
        <w:t>Publication and execution</w:t>
      </w:r>
    </w:p>
    <w:p>
      <w:r>
        <w:t>Publish only explicitly registered views. The metadata policy protects discovery; read operations protect data disclosure; write operations protect changes. Keep these checks distinct in code and test their interaction.</w:t>
      </w:r>
    </w:p>
    <w:p>
      <w:r>
        <w:t>Record availability loads the authoritative record through a scoped read. Caller-supplied values can bind an ID but cannot assert the record's state. Commands repeat the mutable checks inside their transaction. Unauthorized targets are concealed consistently, including in search and relationship resolution.</w:t>
      </w:r>
    </w:p>
    <w:p>
      <w:r>
        <w:t xml:space="preserve">The availability implementation must declare read behavior and be reviewed as a read operation. Use the existing production read-only enforcement option for a supported protection boundary when hosting extensible operation code, and document its deployment cost. Do not claim that Mode::Read or an effects list alone enforces every production data-access restriction. </w:t>
      </w:r>
      <w:hyperlink w:anchor="R15" w:history="1">
        <w:r>
          <w:rPr>
            <w:rFonts w:ascii="Arial" w:hAnsi="Arial"/>
            <w:color w:val="24587A"/>
          </w:rPr>
          <w:t xml:space="preserve">[R15]</w:t>
        </w:r>
      </w:hyperlink>
    </w:p>
    <w:p>
      <w:pPr>
        <w:pStyle w:val="Heading2"/>
      </w:pPr>
      <w:r>
        <w:t>Query and protocol limits</w:t>
      </w:r>
    </w:p>
    <w:p>
      <w:r>
        <w:t>Enforce descriptor limits before expensive recursive validation. Reject forbidden object keys, unsupported external references, origin escapes, ambiguous input sources, and unbounded query controls. Use the portable validator and bounded local rules.</w:t>
      </w:r>
    </w:p>
    <w:p>
      <w:r>
        <w:t>Resource counts, exports, search matches, relationship labels, and cursor position/sort values must respect the same disclosure policy as ordinary reads. A client cannot request a broader projection through a column preference or filter expression.</w:t>
      </w:r>
    </w:p>
    <w:p>
      <w:pPr>
        <w:pStyle w:val="Heading2"/>
      </w:pPr>
      <w:r>
        <w:t>Observability</w:t>
      </w:r>
    </w:p>
    <w:p>
      <w:r>
        <w:t>Use bounded metric labels such as operation IDs, registered view IDs, renderer version, and problem codes. Keep actor, tenant, record, search text, and field values out of metric labels.</w:t>
      </w:r>
    </w:p>
    <w:p>
      <w:r>
        <w:t>Expose counters for descriptor failures, unsupported required features, stale interactions, precondition failures, uncertain outcomes, relation lookup failures, and background work transitions. Correlate an operation with its request ID and existing audit facilities without copying full request/response bodies.</w:t>
      </w:r>
    </w:p>
    <w:p>
      <w:r>
        <w:t>Add inspect views and views export commands alongside existing offline inspection. Their output shows registration dependencies, source operation IDs, required features, and unresolved references. Private implementation details remain confined to the authorized developer/operator interface.</w:t>
      </w:r>
    </w:p>
    <w:p>
      <w:pPr>
        <w:pStyle w:val="Heading2"/>
      </w:pPr>
      <w:r>
        <w:t>Performance targets</w:t>
      </w:r>
    </w:p>
    <w:p>
      <w:r>
        <w:t>Treat the following as initial design budgets to verify, not existing benchmark results.</w:t>
      </w:r>
    </w:p>
    <w:p>
      <w:pPr>
        <w:pStyle w:val="ListBullet"/>
      </w:pPr>
      <w:r>
        <w:t>After a manifest is loaded, a simple collection needs at most a descriptor request followed by one page query. Authentication and optional availability are separate.</w:t>
      </w:r>
    </w:p>
    <w:p>
      <w:pPr>
        <w:pStyle w:val="ListBullet"/>
      </w:pPr>
      <w:r>
        <w:t>Render at most 100 rows per page. Relationship lookup uses the same bounded paging rule.</w:t>
      </w:r>
    </w:p>
    <w:p>
      <w:pPr>
        <w:pStyle w:val="ListBullet"/>
      </w:pPr>
      <w:r>
        <w:t>A record view starts with its primary read and loads secondary sections lazily, with at most four concurrent section requests by default.</w:t>
      </w:r>
    </w:p>
    <w:p>
      <w:pPr>
        <w:pStyle w:val="ListBullet"/>
      </w:pPr>
      <w:r>
        <w:t>Search waits approximately 250 ms after typing and cancels or ignores superseded work.</w:t>
      </w:r>
    </w:p>
    <w:p>
      <w:pPr>
        <w:pStyle w:val="ListBullet"/>
      </w:pPr>
      <w:r>
        <w:t>A fixture with 10,000 records per primary resource must remain usable on a documented development machine. Record API latency, query count, descriptor bytes, and browser interaction timing before setting a release performance threshold.</w:t>
      </w:r>
    </w:p>
    <w:p>
      <w:r>
        <w:t>Do not impose a universal database latency target across arbitrary domain queries. Require query plans and targeted indexes for the reference applications. Avoid hidden N+1 lookups in formatting, serialization, and record labels.</w:t>
      </w:r>
    </w:p>
    <w:p>
      <w:pPr>
        <w:pStyle w:val="Heading1"/>
      </w:pPr>
      <w:bookmarkStart w:id="21" w:name="section_11"/>
      <w:r>
        <w:t>11 Implementation work packages</w:t>
      </w:r>
      <w:bookmarkEnd w:id="21"/>
    </w:p>
    <w:p>
      <w:r>
        <w:t>The work packages below are the proposed delivery order. Dependencies are explicit so backend, frontend, and verification work can proceed in parallel after the protocol fixtures are agreed. No calendar or staffing estimate is assumed.</w:t>
      </w:r>
    </w:p>
    <w:p>
      <w:pPr>
        <w:pStyle w:val="Heading2"/>
      </w:pPr>
      <w:r>
        <w:t>Phase P0 Establish the contract</w:t>
      </w:r>
    </w:p>
    <w:p>
      <w:r>
        <w:t>Backend and frontend jointly define the portable view document, manifest shape, query/action bindings, required features, and decoding limits. Check in one complete collection fixture and one record fixture. Specify the optional precondition target and expected operation-version semantics.</w:t>
      </w:r>
    </w:p>
    <w:p>
      <w:r>
        <w:t>Preserve current interaction exports and revisions. Add shared fixture tests and a minimal checked view registration. Deliver one documented decision for each compatibility dimension.</w:t>
      </w:r>
    </w:p>
    <w:p>
      <w:r>
        <w:t>Exit: the same fixture is accepted by the Rust validator and browser decoder; malformed bindings and unsupported required features fail predictably; unchanged existing descriptors retain their bytes/revisions.</w:t>
      </w:r>
    </w:p>
    <w:p>
      <w:pPr>
        <w:pStyle w:val="Heading2"/>
      </w:pPr>
      <w:r>
        <w:t>Phase P1 Deliver reusable admin</w:t>
      </w:r>
    </w:p>
    <w:p>
      <w:r>
        <w:t>Backend adds view registration/publication and lowers existing AdminView declarations, including checked invocation descriptions for inputless legacy actions. Frontend first migrates forms and row actions to a minimal shared invocation controller with immutable, single-dispatch attempts and existing error/concurrency behavior. It then extracts navigation, collection/record routes, and typed presentation from the current host. It removes pilot assumptions, decodes manifests, and adds a delete control only when a checked registered delete binding is actually available.</w:t>
      </w:r>
    </w:p>
    <w:p>
      <w:r>
        <w:t>Ship an external-consumer package test and scaffold integration. The fixture must use the minimum admin path from section 4, without manually written view documents. Keep existing product screens working through compatibility exports.</w:t>
      </w:r>
    </w:p>
    <w:p>
      <w:r>
        <w:t>Exit: a new application with two related resources obtains navigation, lists, detail pages, create/edit forms, and its permitted actions using the same renderer bundle and no resource-specific React page.</w:t>
      </w:r>
    </w:p>
    <w:p>
      <w:pPr>
        <w:pStyle w:val="Heading2"/>
      </w:pPr>
      <w:r>
        <w:t>Phase P2 Complete routine interactions</w:t>
      </w:r>
    </w:p>
    <w:p>
      <w:r>
        <w:t>Extend the shared invocation controller with the complete state machine, full action bindings, and declared idempotency metadata. Add explicit precondition targets and operation-version checking where required. Add searchable/paginated relationship lookup and selected-value resolution.</w:t>
      </w:r>
    </w:p>
    <w:p>
      <w:r>
        <w:t>Add record-sensitive action hints, sections/columns, conflict preservation, and scoped query invalidation. Reconciliation remains read-only. Generic receipt-only recovery is a follow-on capability with a separate release gate.</w:t>
      </w:r>
    </w:p>
    <w:p>
      <w:r>
        <w:t>Exit: action input, cross-tenant references, late responses after a tenant switch, stale ETags, lost responses, and unsupported layouts all behave according to the defined contracts.</w:t>
      </w:r>
    </w:p>
    <w:p>
      <w:pPr>
        <w:pStyle w:val="Heading2"/>
      </w:pPr>
      <w:r>
        <w:t>Phase P3 Prove application views</w:t>
      </w:r>
    </w:p>
    <w:p>
      <w:r>
        <w:t>Add composed record sections and a basic queue view over registered read operations. Supply a custom section using the same controller APIs. Add an authorized work-status read and standard work-status component.</w:t>
      </w:r>
    </w:p>
    <w:p>
      <w:r>
        <w:t>Implement application-level presentation overrides and compare view requirements with the renderer build manifest. Build the second unrelated reference application.</w:t>
      </w:r>
    </w:p>
    <w:p>
      <w:r>
        <w:t>Exit: the shared renderer serves both applications; one uses a composite record workspace, a domain action with inputs, a background operation, and a custom component without duplicating execution or transport behavior.</w:t>
      </w:r>
    </w:p>
    <w:p>
      <w:pPr>
        <w:pStyle w:val="Heading2"/>
      </w:pPr>
      <w:r>
        <w:t>Phase P4 Qualify compatibility and delivery</w:t>
      </w:r>
    </w:p>
    <w:p>
      <w:r>
        <w:t>Make production frontend builds and a focused browser suite required CI checks. Exercise old frontend/new backend, new frontend/old backend, an open form across deployment, and a rollback compatible with the database fence.</w:t>
      </w:r>
    </w:p>
    <w:p>
      <w:r>
        <w:t>Validate package installation outside the workspace, production origin/session behavior, and frontend/backend build-manifest pairing. Publish operational guidance for uncertain outcomes and component incompatibility.</w:t>
      </w:r>
    </w:p>
    <w:p>
      <w:r>
        <w:t>Exit: all acceptance criteria pass with retained evidence, installable packages, a working scaffold, and a documented migration path from the pilot host.</w:t>
      </w:r>
    </w:p>
    <w:p>
      <w:pPr>
        <w:pStyle w:val="Heading2"/>
      </w:pPr>
      <w:r>
        <w:t>File change map</w:t>
      </w:r>
    </w:p>
    <w:p>
      <w:r>
        <w:t>Paths below are relative to the repository root. Proposed paths are marked new.</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1814"/>
        <w:gridCol w:w="4104"/>
        <w:gridCol w:w="4234"/>
      </w:tblGrid>
      <w:tr>
        <w:trPr>
          <w:cantSplit/>
          <w:tblHeader/>
        </w:trPr>
        <w:tc>
          <w:tcPr>
            <w:tcW w:type="dxa" w:w="1814"/>
            <w:vAlign w:val="center"/>
            <w:shd w:fill="354653"/>
          </w:tcPr>
          <w:p>
            <w:pPr>
              <w:pStyle w:val="TableText"/>
              <w:keepNext/>
              <w:widowControl/>
            </w:pPr>
            <w:r>
              <w:rPr>
                <w:b/>
                <w:color w:val="FFFFFF"/>
                <w:sz w:val="20"/>
              </w:rPr>
              <w:t>Work area</w:t>
            </w:r>
          </w:p>
        </w:tc>
        <w:tc>
          <w:tcPr>
            <w:tcW w:type="dxa" w:w="4104"/>
            <w:vAlign w:val="center"/>
            <w:shd w:fill="354653"/>
          </w:tcPr>
          <w:p>
            <w:pPr>
              <w:pStyle w:val="TableText"/>
              <w:keepNext/>
              <w:widowControl/>
            </w:pPr>
            <w:r>
              <w:rPr>
                <w:b/>
                <w:color w:val="FFFFFF"/>
                <w:sz w:val="20"/>
              </w:rPr>
              <w:t>Files</w:t>
            </w:r>
          </w:p>
        </w:tc>
        <w:tc>
          <w:tcPr>
            <w:tcW w:type="dxa" w:w="4234"/>
            <w:vAlign w:val="center"/>
            <w:shd w:fill="354653"/>
          </w:tcPr>
          <w:p>
            <w:pPr>
              <w:pStyle w:val="TableText"/>
              <w:keepNext/>
              <w:widowControl/>
            </w:pPr>
            <w:r>
              <w:rPr>
                <w:b/>
                <w:color w:val="FFFFFF"/>
                <w:sz w:val="20"/>
              </w:rPr>
              <w:t>Change</w:t>
            </w:r>
          </w:p>
        </w:tc>
      </w:tr>
      <w:tr>
        <w:trPr>
          <w:cantSplit/>
        </w:trPr>
        <w:tc>
          <w:tcPr>
            <w:tcW w:type="dxa" w:w="1814"/>
            <w:vAlign w:val="center"/>
          </w:tcPr>
          <w:p>
            <w:pPr>
              <w:pStyle w:val="TableText"/>
              <w:keepNext w:val="0"/>
              <w:widowControl/>
            </w:pPr>
            <w:r>
              <w:rPr>
                <w:sz w:val="20"/>
              </w:rPr>
              <w:t>Portable view contract</w:t>
            </w:r>
          </w:p>
        </w:tc>
        <w:tc>
          <w:tcPr>
            <w:tcW w:type="dxa" w:w="4104"/>
            <w:vAlign w:val="center"/>
          </w:tcPr>
          <w:p>
            <w:pPr>
              <w:pStyle w:val="TableText"/>
              <w:keepNext w:val="0"/>
              <w:widowControl/>
            </w:pPr>
            <w:r>
              <w:rPr>
                <w:sz w:val="18"/>
              </w:rPr>
              <w:t>crates/​trestle-​protocol/​src/​view.rs new</w:t>
            </w:r>
          </w:p>
        </w:tc>
        <w:tc>
          <w:tcPr>
            <w:tcW w:type="dxa" w:w="4234"/>
            <w:vAlign w:val="center"/>
          </w:tcPr>
          <w:p>
            <w:pPr>
              <w:pStyle w:val="TableText"/>
              <w:keepNext w:val="0"/>
              <w:widowControl/>
            </w:pPr>
            <w:r>
              <w:rPr>
                <w:sz w:val="20"/>
              </w:rPr>
              <w:t>Serde document, bounds, canonical export</w:t>
            </w:r>
          </w:p>
        </w:tc>
      </w:tr>
      <w:tr>
        <w:trPr>
          <w:cantSplit/>
        </w:trPr>
        <w:tc>
          <w:tcPr>
            <w:tcW w:type="dxa" w:w="1814"/>
            <w:vAlign w:val="center"/>
            <w:shd w:fill="F5F6F7"/>
          </w:tcPr>
          <w:p>
            <w:pPr>
              <w:pStyle w:val="TableText"/>
              <w:keepNext w:val="0"/>
              <w:widowControl/>
            </w:pPr>
            <w:r>
              <w:rPr>
                <w:sz w:val="20"/>
              </w:rPr>
              <w:t>Interaction bindings</w:t>
            </w:r>
          </w:p>
        </w:tc>
        <w:tc>
          <w:tcPr>
            <w:tcW w:type="dxa" w:w="4104"/>
            <w:vAlign w:val="center"/>
            <w:shd w:fill="F5F6F7"/>
          </w:tcPr>
          <w:p>
            <w:pPr>
              <w:pStyle w:val="TableText"/>
              <w:keepNext w:val="0"/>
              <w:widowControl/>
            </w:pPr>
            <w:r>
              <w:rPr>
                <w:sz w:val="18"/>
              </w:rPr>
              <w:t>crates/​trestle-​protocol/​src/​interaction.rs</w:t>
            </w:r>
          </w:p>
        </w:tc>
        <w:tc>
          <w:tcPr>
            <w:tcW w:type="dxa" w:w="4234"/>
            <w:vAlign w:val="center"/>
            <w:shd w:fill="F5F6F7"/>
          </w:tcPr>
          <w:p>
            <w:pPr>
              <w:pStyle w:val="TableText"/>
              <w:keepNext w:val="0"/>
              <w:widowControl/>
            </w:pPr>
            <w:r>
              <w:rPr>
                <w:sz w:val="20"/>
              </w:rPr>
              <w:t>Per-descriptor version and new required features</w:t>
            </w:r>
          </w:p>
        </w:tc>
      </w:tr>
      <w:tr>
        <w:trPr>
          <w:cantSplit/>
        </w:trPr>
        <w:tc>
          <w:tcPr>
            <w:tcW w:type="dxa" w:w="1814"/>
            <w:vAlign w:val="center"/>
          </w:tcPr>
          <w:p>
            <w:pPr>
              <w:pStyle w:val="TableText"/>
              <w:keepNext w:val="0"/>
              <w:widowControl/>
            </w:pPr>
            <w:r>
              <w:rPr>
                <w:sz w:val="20"/>
              </w:rPr>
              <w:t>Registry views</w:t>
            </w:r>
          </w:p>
        </w:tc>
        <w:tc>
          <w:tcPr>
            <w:tcW w:type="dxa" w:w="4104"/>
            <w:vAlign w:val="center"/>
          </w:tcPr>
          <w:p>
            <w:pPr>
              <w:pStyle w:val="TableText"/>
              <w:keepNext w:val="0"/>
              <w:widowControl/>
            </w:pPr>
            <w:r>
              <w:rPr>
                <w:sz w:val="18"/>
              </w:rPr>
              <w:t>crates/​trestle-​core/​src/​registry/​view.rs new</w:t>
            </w:r>
          </w:p>
        </w:tc>
        <w:tc>
          <w:tcPr>
            <w:tcW w:type="dxa" w:w="4234"/>
            <w:vAlign w:val="center"/>
          </w:tcPr>
          <w:p>
            <w:pPr>
              <w:pStyle w:val="TableText"/>
              <w:keepNext w:val="0"/>
              <w:widowControl/>
            </w:pPr>
            <w:r>
              <w:rPr>
                <w:sz w:val="20"/>
              </w:rPr>
              <w:t>Owned registration and checked references</w:t>
            </w:r>
          </w:p>
        </w:tc>
      </w:tr>
      <w:tr>
        <w:trPr>
          <w:cantSplit/>
        </w:trPr>
        <w:tc>
          <w:tcPr>
            <w:tcW w:type="dxa" w:w="1814"/>
            <w:vAlign w:val="center"/>
            <w:shd w:fill="F5F6F7"/>
          </w:tcPr>
          <w:p>
            <w:pPr>
              <w:pStyle w:val="TableText"/>
              <w:keepNext w:val="0"/>
              <w:widowControl/>
            </w:pPr>
            <w:r>
              <w:rPr>
                <w:sz w:val="20"/>
              </w:rPr>
              <w:t>Resource adapter</w:t>
            </w:r>
          </w:p>
        </w:tc>
        <w:tc>
          <w:tcPr>
            <w:tcW w:type="dxa" w:w="4104"/>
            <w:vAlign w:val="center"/>
            <w:shd w:fill="F5F6F7"/>
          </w:tcPr>
          <w:p>
            <w:pPr>
              <w:pStyle w:val="TableText"/>
              <w:keepNext w:val="0"/>
              <w:widowControl/>
            </w:pPr>
            <w:r>
              <w:rPr>
                <w:sz w:val="18"/>
              </w:rPr>
              <w:t>crates/​trestle-​core/​src/​registry/​resource.rs</w:t>
            </w:r>
          </w:p>
        </w:tc>
        <w:tc>
          <w:tcPr>
            <w:tcW w:type="dxa" w:w="4234"/>
            <w:vAlign w:val="center"/>
            <w:shd w:fill="F5F6F7"/>
          </w:tcPr>
          <w:p>
            <w:pPr>
              <w:pStyle w:val="TableText"/>
              <w:keepNext w:val="0"/>
              <w:widowControl/>
            </w:pPr>
            <w:r>
              <w:rPr>
                <w:sz w:val="20"/>
              </w:rPr>
              <w:t>Legacy AdminView lowering and explicit target references</w:t>
            </w:r>
          </w:p>
        </w:tc>
      </w:tr>
      <w:tr>
        <w:trPr>
          <w:cantSplit/>
        </w:trPr>
        <w:tc>
          <w:tcPr>
            <w:tcW w:type="dxa" w:w="1814"/>
            <w:vAlign w:val="center"/>
          </w:tcPr>
          <w:p>
            <w:pPr>
              <w:pStyle w:val="TableText"/>
              <w:keepNext w:val="0"/>
              <w:widowControl/>
            </w:pPr>
            <w:r>
              <w:rPr>
                <w:sz w:val="20"/>
              </w:rPr>
              <w:t>Publication</w:t>
            </w:r>
          </w:p>
        </w:tc>
        <w:tc>
          <w:tcPr>
            <w:tcW w:type="dxa" w:w="4104"/>
            <w:vAlign w:val="center"/>
          </w:tcPr>
          <w:p>
            <w:pPr>
              <w:pStyle w:val="TableText"/>
              <w:keepNext w:val="0"/>
              <w:widowControl/>
            </w:pPr>
            <w:r>
              <w:rPr>
                <w:sz w:val="18"/>
              </w:rPr>
              <w:t>crates/​trestle-​core/​src/​registry/​meta.rs</w:t>
            </w:r>
          </w:p>
        </w:tc>
        <w:tc>
          <w:tcPr>
            <w:tcW w:type="dxa" w:w="4234"/>
            <w:vAlign w:val="center"/>
          </w:tcPr>
          <w:p>
            <w:pPr>
              <w:pStyle w:val="TableText"/>
              <w:keepNext w:val="0"/>
              <w:widowControl/>
            </w:pPr>
            <w:r>
              <w:rPr>
                <w:sz w:val="20"/>
              </w:rPr>
              <w:t>New UI manifest/view/context routes</w:t>
            </w:r>
          </w:p>
        </w:tc>
      </w:tr>
      <w:tr>
        <w:trPr>
          <w:cantSplit/>
        </w:trPr>
        <w:tc>
          <w:tcPr>
            <w:tcW w:type="dxa" w:w="1814"/>
            <w:vAlign w:val="center"/>
            <w:shd w:fill="F5F6F7"/>
          </w:tcPr>
          <w:p>
            <w:pPr>
              <w:pStyle w:val="TableText"/>
              <w:keepNext w:val="0"/>
              <w:widowControl/>
            </w:pPr>
            <w:r>
              <w:rPr>
                <w:sz w:val="20"/>
              </w:rPr>
              <w:t>Exports and checks</w:t>
            </w:r>
          </w:p>
        </w:tc>
        <w:tc>
          <w:tcPr>
            <w:tcW w:type="dxa" w:w="4104"/>
            <w:vAlign w:val="center"/>
            <w:shd w:fill="F5F6F7"/>
          </w:tcPr>
          <w:p>
            <w:pPr>
              <w:pStyle w:val="TableText"/>
              <w:keepNext w:val="0"/>
              <w:widowControl/>
            </w:pPr>
            <w:r>
              <w:rPr>
                <w:sz w:val="18"/>
              </w:rPr>
              <w:t>crates/​trestle-​core/​src/​registry/​export.rs and mod.rs</w:t>
            </w:r>
          </w:p>
        </w:tc>
        <w:tc>
          <w:tcPr>
            <w:tcW w:type="dxa" w:w="4234"/>
            <w:vAlign w:val="center"/>
            <w:shd w:fill="F5F6F7"/>
          </w:tcPr>
          <w:p>
            <w:pPr>
              <w:pStyle w:val="TableText"/>
              <w:keepNext w:val="0"/>
              <w:widowControl/>
            </w:pPr>
            <w:r>
              <w:rPr>
                <w:sz w:val="20"/>
              </w:rPr>
              <w:t>View export, assembly validation, legacy snapshot preservation</w:t>
            </w:r>
          </w:p>
        </w:tc>
      </w:tr>
      <w:tr>
        <w:trPr>
          <w:cantSplit/>
        </w:trPr>
        <w:tc>
          <w:tcPr>
            <w:tcW w:type="dxa" w:w="1814"/>
            <w:vAlign w:val="center"/>
          </w:tcPr>
          <w:p>
            <w:pPr>
              <w:pStyle w:val="TableText"/>
              <w:keepNext w:val="0"/>
              <w:widowControl/>
            </w:pPr>
            <w:r>
              <w:rPr>
                <w:sz w:val="20"/>
              </w:rPr>
              <w:t>Input and routes</w:t>
            </w:r>
          </w:p>
        </w:tc>
        <w:tc>
          <w:tcPr>
            <w:tcW w:type="dxa" w:w="4104"/>
            <w:vAlign w:val="center"/>
          </w:tcPr>
          <w:p>
            <w:pPr>
              <w:pStyle w:val="TableText"/>
              <w:keepNext w:val="0"/>
              <w:widowControl/>
            </w:pPr>
            <w:r>
              <w:rPr>
                <w:sz w:val="18"/>
              </w:rPr>
              <w:t>crates/​trestle-​core/​src/​input.rs and registry/​routes.rs</w:t>
            </w:r>
          </w:p>
        </w:tc>
        <w:tc>
          <w:tcPr>
            <w:tcW w:type="dxa" w:w="4234"/>
            <w:vAlign w:val="center"/>
          </w:tcPr>
          <w:p>
            <w:pPr>
              <w:pStyle w:val="TableText"/>
              <w:keepNext w:val="0"/>
              <w:widowControl/>
            </w:pPr>
            <w:r>
              <w:rPr>
                <w:sz w:val="20"/>
              </w:rPr>
              <w:t>Target preconditions and expected operation version</w:t>
            </w:r>
          </w:p>
        </w:tc>
      </w:tr>
      <w:tr>
        <w:trPr>
          <w:cantSplit/>
        </w:trPr>
        <w:tc>
          <w:tcPr>
            <w:tcW w:type="dxa" w:w="1814"/>
            <w:vAlign w:val="center"/>
            <w:shd w:fill="F5F6F7"/>
          </w:tcPr>
          <w:p>
            <w:pPr>
              <w:pStyle w:val="TableText"/>
              <w:keepNext w:val="0"/>
              <w:widowControl/>
            </w:pPr>
            <w:r>
              <w:rPr>
                <w:sz w:val="20"/>
              </w:rPr>
              <w:t>Invocation</w:t>
            </w:r>
          </w:p>
        </w:tc>
        <w:tc>
          <w:tcPr>
            <w:tcW w:type="dxa" w:w="4104"/>
            <w:vAlign w:val="center"/>
            <w:shd w:fill="F5F6F7"/>
          </w:tcPr>
          <w:p>
            <w:pPr>
              <w:pStyle w:val="TableText"/>
              <w:keepNext w:val="0"/>
              <w:widowControl/>
            </w:pPr>
            <w:r>
              <w:rPr>
                <w:sz w:val="18"/>
              </w:rPr>
              <w:t>crates/​trestle-​core/​src/​invocation.rs</w:t>
            </w:r>
          </w:p>
        </w:tc>
        <w:tc>
          <w:tcPr>
            <w:tcW w:type="dxa" w:w="4234"/>
            <w:vAlign w:val="center"/>
            <w:shd w:fill="F5F6F7"/>
          </w:tcPr>
          <w:p>
            <w:pPr>
              <w:pStyle w:val="TableText"/>
              <w:keepNext w:val="0"/>
              <w:widowControl/>
            </w:pPr>
            <w:r>
              <w:rPr>
                <w:sz w:val="20"/>
              </w:rPr>
              <w:t>Optional expected version for non-HTTP callers</w:t>
            </w:r>
          </w:p>
        </w:tc>
      </w:tr>
      <w:tr>
        <w:trPr>
          <w:cantSplit/>
        </w:trPr>
        <w:tc>
          <w:tcPr>
            <w:tcW w:type="dxa" w:w="1814"/>
            <w:vAlign w:val="center"/>
          </w:tcPr>
          <w:p>
            <w:pPr>
              <w:pStyle w:val="TableText"/>
              <w:keepNext w:val="0"/>
              <w:widowControl/>
            </w:pPr>
            <w:r>
              <w:rPr>
                <w:sz w:val="20"/>
              </w:rPr>
              <w:t>Intent schema</w:t>
            </w:r>
          </w:p>
        </w:tc>
        <w:tc>
          <w:tcPr>
            <w:tcW w:type="dxa" w:w="4104"/>
            <w:vAlign w:val="center"/>
          </w:tcPr>
          <w:p>
            <w:pPr>
              <w:pStyle w:val="TableText"/>
              <w:keepNext w:val="0"/>
              <w:widowControl/>
            </w:pPr>
            <w:r>
              <w:rPr>
                <w:sz w:val="18"/>
              </w:rPr>
              <w:t>crates/​trestle/​src/​intent/​doc.rs and spec.rs</w:t>
            </w:r>
          </w:p>
        </w:tc>
        <w:tc>
          <w:tcPr>
            <w:tcW w:type="dxa" w:w="4234"/>
            <w:vAlign w:val="center"/>
          </w:tcPr>
          <w:p>
            <w:pPr>
              <w:pStyle w:val="TableText"/>
              <w:keepNext w:val="0"/>
              <w:widowControl/>
            </w:pPr>
            <w:r>
              <w:rPr>
                <w:sz w:val="20"/>
              </w:rPr>
              <w:t>Matching views definitions and validation</w:t>
            </w:r>
          </w:p>
        </w:tc>
      </w:tr>
      <w:tr>
        <w:trPr>
          <w:cantSplit/>
        </w:trPr>
        <w:tc>
          <w:tcPr>
            <w:tcW w:type="dxa" w:w="1814"/>
            <w:vAlign w:val="center"/>
            <w:shd w:fill="F5F6F7"/>
          </w:tcPr>
          <w:p>
            <w:pPr>
              <w:pStyle w:val="TableText"/>
              <w:keepNext w:val="0"/>
              <w:widowControl/>
            </w:pPr>
            <w:r>
              <w:rPr>
                <w:sz w:val="20"/>
              </w:rPr>
              <w:t>Intent assembly</w:t>
            </w:r>
          </w:p>
        </w:tc>
        <w:tc>
          <w:tcPr>
            <w:tcW w:type="dxa" w:w="4104"/>
            <w:vAlign w:val="center"/>
            <w:shd w:fill="F5F6F7"/>
          </w:tcPr>
          <w:p>
            <w:pPr>
              <w:pStyle w:val="TableText"/>
              <w:keepNext w:val="0"/>
              <w:widowControl/>
            </w:pPr>
            <w:r>
              <w:rPr>
                <w:sz w:val="18"/>
              </w:rPr>
              <w:t>crates/​trestle/​src/​intent/​runtime.rs</w:t>
            </w:r>
          </w:p>
        </w:tc>
        <w:tc>
          <w:tcPr>
            <w:tcW w:type="dxa" w:w="4234"/>
            <w:vAlign w:val="center"/>
            <w:shd w:fill="F5F6F7"/>
          </w:tcPr>
          <w:p>
            <w:pPr>
              <w:pStyle w:val="TableText"/>
              <w:keepNext w:val="0"/>
              <w:widowControl/>
            </w:pPr>
            <w:r>
              <w:rPr>
                <w:sz w:val="20"/>
              </w:rPr>
              <w:t>Bind views to existing resolved operations</w:t>
            </w:r>
          </w:p>
        </w:tc>
      </w:tr>
      <w:tr>
        <w:trPr>
          <w:cantSplit/>
        </w:trPr>
        <w:tc>
          <w:tcPr>
            <w:tcW w:type="dxa" w:w="1814"/>
            <w:vAlign w:val="center"/>
          </w:tcPr>
          <w:p>
            <w:pPr>
              <w:pStyle w:val="TableText"/>
              <w:keepNext w:val="0"/>
              <w:widowControl/>
            </w:pPr>
            <w:r>
              <w:rPr>
                <w:sz w:val="20"/>
              </w:rPr>
              <w:t>Public facade</w:t>
            </w:r>
          </w:p>
        </w:tc>
        <w:tc>
          <w:tcPr>
            <w:tcW w:type="dxa" w:w="4104"/>
            <w:vAlign w:val="center"/>
          </w:tcPr>
          <w:p>
            <w:pPr>
              <w:pStyle w:val="TableText"/>
              <w:keepNext w:val="0"/>
              <w:widowControl/>
            </w:pPr>
            <w:r>
              <w:rPr>
                <w:sz w:val="18"/>
              </w:rPr>
              <w:t>crates/​trestle/​src/​lib.rs and project.rs</w:t>
            </w:r>
          </w:p>
        </w:tc>
        <w:tc>
          <w:tcPr>
            <w:tcW w:type="dxa" w:w="4234"/>
            <w:vAlign w:val="center"/>
          </w:tcPr>
          <w:p>
            <w:pPr>
              <w:pStyle w:val="TableText"/>
              <w:keepNext w:val="0"/>
              <w:widowControl/>
            </w:pPr>
            <w:r>
              <w:rPr>
                <w:sz w:val="20"/>
              </w:rPr>
              <w:t>Public exports, inspection, scaffold integration</w:t>
            </w:r>
          </w:p>
        </w:tc>
      </w:tr>
      <w:tr>
        <w:trPr>
          <w:cantSplit/>
        </w:trPr>
        <w:tc>
          <w:tcPr>
            <w:tcW w:type="dxa" w:w="1814"/>
            <w:vAlign w:val="center"/>
            <w:shd w:fill="F5F6F7"/>
          </w:tcPr>
          <w:p>
            <w:pPr>
              <w:pStyle w:val="TableText"/>
              <w:keepNext w:val="0"/>
              <w:widowControl/>
            </w:pPr>
            <w:r>
              <w:rPr>
                <w:sz w:val="20"/>
              </w:rPr>
              <w:t>Pure client</w:t>
            </w:r>
          </w:p>
        </w:tc>
        <w:tc>
          <w:tcPr>
            <w:tcW w:type="dxa" w:w="4104"/>
            <w:vAlign w:val="center"/>
            <w:shd w:fill="F5F6F7"/>
          </w:tcPr>
          <w:p>
            <w:pPr>
              <w:pStyle w:val="TableText"/>
              <w:keepNext w:val="0"/>
              <w:widowControl/>
            </w:pPr>
            <w:r>
              <w:rPr>
                <w:sz w:val="18"/>
              </w:rPr>
              <w:t>frontend/​client/​src new</w:t>
            </w:r>
          </w:p>
        </w:tc>
        <w:tc>
          <w:tcPr>
            <w:tcW w:type="dxa" w:w="4234"/>
            <w:vAlign w:val="center"/>
            <w:shd w:fill="F5F6F7"/>
          </w:tcPr>
          <w:p>
            <w:pPr>
              <w:pStyle w:val="TableText"/>
              <w:keepNext w:val="0"/>
              <w:widowControl/>
            </w:pPr>
            <w:r>
              <w:rPr>
                <w:sz w:val="20"/>
              </w:rPr>
              <w:t>Decoder, transport/controller state and scoped cache</w:t>
            </w:r>
          </w:p>
        </w:tc>
      </w:tr>
      <w:tr>
        <w:trPr>
          <w:cantSplit/>
        </w:trPr>
        <w:tc>
          <w:tcPr>
            <w:tcW w:type="dxa" w:w="1814"/>
            <w:vAlign w:val="center"/>
          </w:tcPr>
          <w:p>
            <w:pPr>
              <w:pStyle w:val="TableText"/>
              <w:keepNext w:val="0"/>
              <w:widowControl/>
            </w:pPr>
            <w:r>
              <w:rPr>
                <w:sz w:val="20"/>
              </w:rPr>
              <w:t>React integration</w:t>
            </w:r>
          </w:p>
        </w:tc>
        <w:tc>
          <w:tcPr>
            <w:tcW w:type="dxa" w:w="4104"/>
            <w:vAlign w:val="center"/>
          </w:tcPr>
          <w:p>
            <w:pPr>
              <w:pStyle w:val="TableText"/>
              <w:keepNext w:val="0"/>
              <w:widowControl/>
            </w:pPr>
            <w:r>
              <w:rPr>
                <w:sz w:val="18"/>
              </w:rPr>
              <w:t>frontend/​interaction-​react/​src</w:t>
            </w:r>
          </w:p>
        </w:tc>
        <w:tc>
          <w:tcPr>
            <w:tcW w:type="dxa" w:w="4234"/>
            <w:vAlign w:val="center"/>
          </w:tcPr>
          <w:p>
            <w:pPr>
              <w:pStyle w:val="TableText"/>
              <w:keepNext w:val="0"/>
              <w:widowControl/>
            </w:pPr>
            <w:r>
              <w:rPr>
                <w:sz w:val="20"/>
              </w:rPr>
              <w:t>Shared controller adapters, layouts, relation widgets</w:t>
            </w:r>
          </w:p>
        </w:tc>
      </w:tr>
      <w:tr>
        <w:trPr>
          <w:cantSplit/>
        </w:trPr>
        <w:tc>
          <w:tcPr>
            <w:tcW w:type="dxa" w:w="1814"/>
            <w:vAlign w:val="center"/>
            <w:shd w:fill="F5F6F7"/>
          </w:tcPr>
          <w:p>
            <w:pPr>
              <w:pStyle w:val="TableText"/>
              <w:keepNext w:val="0"/>
              <w:widowControl/>
            </w:pPr>
            <w:r>
              <w:rPr>
                <w:sz w:val="20"/>
              </w:rPr>
              <w:t>Reusable admin</w:t>
            </w:r>
          </w:p>
        </w:tc>
        <w:tc>
          <w:tcPr>
            <w:tcW w:type="dxa" w:w="4104"/>
            <w:vAlign w:val="center"/>
            <w:shd w:fill="F5F6F7"/>
          </w:tcPr>
          <w:p>
            <w:pPr>
              <w:pStyle w:val="TableText"/>
              <w:keepNext w:val="0"/>
              <w:widowControl/>
            </w:pPr>
            <w:r>
              <w:rPr>
                <w:sz w:val="18"/>
              </w:rPr>
              <w:t>frontend/​admin-​react/​src new</w:t>
            </w:r>
          </w:p>
        </w:tc>
        <w:tc>
          <w:tcPr>
            <w:tcW w:type="dxa" w:w="4234"/>
            <w:vAlign w:val="center"/>
            <w:shd w:fill="F5F6F7"/>
          </w:tcPr>
          <w:p>
            <w:pPr>
              <w:pStyle w:val="TableText"/>
              <w:keepNext w:val="0"/>
              <w:widowControl/>
            </w:pPr>
            <w:r>
              <w:rPr>
                <w:sz w:val="20"/>
              </w:rPr>
              <w:t>Shell and collection/record/action components</w:t>
            </w:r>
          </w:p>
        </w:tc>
      </w:tr>
      <w:tr>
        <w:trPr>
          <w:cantSplit/>
        </w:trPr>
        <w:tc>
          <w:tcPr>
            <w:tcW w:type="dxa" w:w="1814"/>
            <w:vAlign w:val="center"/>
          </w:tcPr>
          <w:p>
            <w:pPr>
              <w:pStyle w:val="TableText"/>
              <w:keepNext w:val="0"/>
              <w:widowControl/>
            </w:pPr>
            <w:r>
              <w:rPr>
                <w:sz w:val="20"/>
              </w:rPr>
              <w:t>Reference host</w:t>
            </w:r>
          </w:p>
        </w:tc>
        <w:tc>
          <w:tcPr>
            <w:tcW w:type="dxa" w:w="4104"/>
            <w:vAlign w:val="center"/>
          </w:tcPr>
          <w:p>
            <w:pPr>
              <w:pStyle w:val="TableText"/>
              <w:keepNext w:val="0"/>
              <w:widowControl/>
            </w:pPr>
            <w:r>
              <w:rPr>
                <w:sz w:val="18"/>
              </w:rPr>
              <w:t>frontend/​admin/​src/​App.tsx</w:t>
            </w:r>
          </w:p>
        </w:tc>
        <w:tc>
          <w:tcPr>
            <w:tcW w:type="dxa" w:w="4234"/>
            <w:vAlign w:val="center"/>
          </w:tcPr>
          <w:p>
            <w:pPr>
              <w:pStyle w:val="TableText"/>
              <w:keepNext w:val="0"/>
              <w:widowControl/>
            </w:pPr>
            <w:r>
              <w:rPr>
                <w:sz w:val="20"/>
              </w:rPr>
              <w:t>Configuration and package consumption</w:t>
            </w:r>
          </w:p>
        </w:tc>
      </w:tr>
      <w:tr>
        <w:trPr>
          <w:cantSplit/>
        </w:trPr>
        <w:tc>
          <w:tcPr>
            <w:tcW w:type="dxa" w:w="1814"/>
            <w:vAlign w:val="center"/>
            <w:shd w:fill="F5F6F7"/>
          </w:tcPr>
          <w:p>
            <w:pPr>
              <w:pStyle w:val="TableText"/>
              <w:keepNext w:val="0"/>
              <w:widowControl/>
            </w:pPr>
            <w:r>
              <w:rPr>
                <w:sz w:val="20"/>
              </w:rPr>
              <w:t>Fixtures and CI</w:t>
            </w:r>
          </w:p>
        </w:tc>
        <w:tc>
          <w:tcPr>
            <w:tcW w:type="dxa" w:w="4104"/>
            <w:vAlign w:val="center"/>
            <w:shd w:fill="F5F6F7"/>
          </w:tcPr>
          <w:p>
            <w:pPr>
              <w:pStyle w:val="TableText"/>
              <w:keepNext w:val="0"/>
              <w:widowControl/>
            </w:pPr>
            <w:r>
              <w:rPr>
                <w:sz w:val="18"/>
              </w:rPr>
              <w:t>fixtures/​views new and .github/​workflows/​ci.yml</w:t>
            </w:r>
          </w:p>
        </w:tc>
        <w:tc>
          <w:tcPr>
            <w:tcW w:type="dxa" w:w="4234"/>
            <w:vAlign w:val="center"/>
            <w:shd w:fill="F5F6F7"/>
          </w:tcPr>
          <w:p>
            <w:pPr>
              <w:pStyle w:val="TableText"/>
              <w:keepNext w:val="0"/>
              <w:widowControl/>
            </w:pPr>
            <w:r>
              <w:rPr>
                <w:sz w:val="20"/>
              </w:rPr>
              <w:t>Shared protocol cases, production build and browser gate</w:t>
            </w:r>
          </w:p>
        </w:tc>
      </w:tr>
    </w:tbl>
    <w:p>
      <w:pPr>
        <w:spacing w:after="40" w:before="0" w:line="40" w:lineRule="exact"/>
      </w:pPr>
      <w:r>
        <w:rPr>
          <w:sz w:val="4"/>
        </w:rPr>
      </w:r>
    </w:p>
    <w:p>
      <w:r>
        <w:t>Keep path moves separate from behavioral changes when that makes review easier. Generated SDK and published snapshots continue to be updated through their existing generation commands rather than edited manually.</w:t>
      </w:r>
    </w:p>
    <w:p>
      <w:pPr>
        <w:pStyle w:val="Heading2"/>
      </w:pPr>
      <w:r>
        <w:t>Proposed design records</w:t>
      </w:r>
    </w:p>
    <w:p>
      <w:r>
        <w:t>Create new ADRs after the current baseline's ADR 031, confirming the numbers against main when implementation starts. Suggested subjects are view protocol and publication, shared frontend controllers, explicit precondition targets, renderer build compatibility, and presentation overrides. Update status and cross-references in relevant earlier ADRs when their behavior is amended.</w:t>
      </w:r>
    </w:p>
    <w:p>
      <w:pPr>
        <w:pStyle w:val="Heading1"/>
      </w:pPr>
      <w:bookmarkStart w:id="22" w:name="section_12"/>
      <w:r>
        <w:t>12 Verification and acceptance</w:t>
      </w:r>
      <w:bookmarkEnd w:id="22"/>
    </w:p>
    <w:p>
      <w:pPr>
        <w:pStyle w:val="Heading2"/>
      </w:pPr>
      <w:r>
        <w:t>Test ownership</w:t>
      </w:r>
    </w:p>
    <w:p>
      <w:r>
        <w:t>Protocol tests prove Rust/TypeScript agreement and compatibility. Registry tests prove assembly rejection and explicit exposure. PostgreSQL integration tests prove authority, scope, atomicity, preconditions, and receipt behavior. Browser tests prove the interaction lifecycle and usable rendering.</w:t>
      </w:r>
    </w:p>
    <w:p>
      <w:r>
        <w:t>Avoid tests that only mirror a builder's implementation. Focus on externally observable behavior and the failure modes that would damage a real user's work.</w:t>
      </w:r>
    </w:p>
    <w:p>
      <w:pPr>
        <w:pStyle w:val="Heading2"/>
      </w:pPr>
      <w:r>
        <w:t>Contract and registration acceptance</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3485"/>
        <w:gridCol w:w="5947"/>
      </w:tblGrid>
      <w:tr>
        <w:trPr>
          <w:cantSplit/>
          <w:tblHeader/>
        </w:trPr>
        <w:tc>
          <w:tcPr>
            <w:tcW w:type="dxa" w:w="720"/>
            <w:vAlign w:val="center"/>
            <w:shd w:fill="354653"/>
          </w:tcPr>
          <w:p>
            <w:pPr>
              <w:pStyle w:val="TableText"/>
              <w:keepNext/>
              <w:widowControl/>
            </w:pPr>
            <w:r>
              <w:rPr>
                <w:b/>
                <w:color w:val="FFFFFF"/>
                <w:sz w:val="20"/>
              </w:rPr>
              <w:t>ID</w:t>
            </w:r>
          </w:p>
        </w:tc>
        <w:tc>
          <w:tcPr>
            <w:tcW w:type="dxa" w:w="3485"/>
            <w:vAlign w:val="center"/>
            <w:shd w:fill="354653"/>
          </w:tcPr>
          <w:p>
            <w:pPr>
              <w:pStyle w:val="TableText"/>
              <w:keepNext/>
              <w:widowControl/>
            </w:pPr>
            <w:r>
              <w:rPr>
                <w:b/>
                <w:color w:val="FFFFFF"/>
                <w:sz w:val="20"/>
              </w:rPr>
              <w:t>Scenario</w:t>
            </w:r>
          </w:p>
        </w:tc>
        <w:tc>
          <w:tcPr>
            <w:tcW w:type="dxa" w:w="5947"/>
            <w:vAlign w:val="center"/>
            <w:shd w:fill="354653"/>
          </w:tcPr>
          <w:p>
            <w:pPr>
              <w:pStyle w:val="TableText"/>
              <w:keepNext/>
              <w:widowControl/>
            </w:pPr>
            <w:r>
              <w:rPr>
                <w:b/>
                <w:color w:val="FFFFFF"/>
                <w:sz w:val="20"/>
              </w:rPr>
              <w:t>Required result</w:t>
            </w:r>
          </w:p>
        </w:tc>
      </w:tr>
      <w:tr>
        <w:trPr>
          <w:cantSplit/>
        </w:trPr>
        <w:tc>
          <w:tcPr>
            <w:tcW w:type="dxa" w:w="720"/>
            <w:vAlign w:val="center"/>
          </w:tcPr>
          <w:p>
            <w:pPr>
              <w:pStyle w:val="TableText"/>
              <w:keepNext w:val="0"/>
              <w:widowControl/>
            </w:pPr>
            <w:r>
              <w:rPr>
                <w:b/>
                <w:sz w:val="20"/>
              </w:rPr>
              <w:t>A01</w:t>
            </w:r>
          </w:p>
        </w:tc>
        <w:tc>
          <w:tcPr>
            <w:tcW w:type="dxa" w:w="3485"/>
            <w:vAlign w:val="center"/>
          </w:tcPr>
          <w:p>
            <w:pPr>
              <w:pStyle w:val="TableText"/>
              <w:keepNext w:val="0"/>
              <w:widowControl/>
            </w:pPr>
            <w:r>
              <w:rPr>
                <w:sz w:val="20"/>
              </w:rPr>
              <w:t>Register a model without a resource/view</w:t>
            </w:r>
          </w:p>
        </w:tc>
        <w:tc>
          <w:tcPr>
            <w:tcW w:type="dxa" w:w="5947"/>
            <w:vAlign w:val="center"/>
          </w:tcPr>
          <w:p>
            <w:pPr>
              <w:pStyle w:val="TableText"/>
              <w:keepNext w:val="0"/>
              <w:widowControl/>
            </w:pPr>
            <w:r>
              <w:rPr>
                <w:sz w:val="20"/>
              </w:rPr>
              <w:t>No new API, admin entry, form, or writable input</w:t>
            </w:r>
          </w:p>
        </w:tc>
      </w:tr>
      <w:tr>
        <w:trPr>
          <w:cantSplit/>
        </w:trPr>
        <w:tc>
          <w:tcPr>
            <w:tcW w:type="dxa" w:w="720"/>
            <w:vAlign w:val="center"/>
            <w:shd w:fill="F5F6F7"/>
          </w:tcPr>
          <w:p>
            <w:pPr>
              <w:pStyle w:val="TableText"/>
              <w:keepNext w:val="0"/>
              <w:widowControl/>
            </w:pPr>
            <w:r>
              <w:rPr>
                <w:b/>
                <w:sz w:val="20"/>
              </w:rPr>
              <w:t>A02</w:t>
            </w:r>
          </w:p>
        </w:tc>
        <w:tc>
          <w:tcPr>
            <w:tcW w:type="dxa" w:w="3485"/>
            <w:vAlign w:val="center"/>
            <w:shd w:fill="F5F6F7"/>
          </w:tcPr>
          <w:p>
            <w:pPr>
              <w:pStyle w:val="TableText"/>
              <w:keepNext w:val="0"/>
              <w:widowControl/>
            </w:pPr>
            <w:r>
              <w:rPr>
                <w:sz w:val="20"/>
              </w:rPr>
              <w:t>Bind a column to an absent output field</w:t>
            </w:r>
          </w:p>
        </w:tc>
        <w:tc>
          <w:tcPr>
            <w:tcW w:type="dxa" w:w="5947"/>
            <w:vAlign w:val="center"/>
            <w:shd w:fill="F5F6F7"/>
          </w:tcPr>
          <w:p>
            <w:pPr>
              <w:pStyle w:val="TableText"/>
              <w:keepNext w:val="0"/>
              <w:widowControl/>
            </w:pPr>
            <w:r>
              <w:rPr>
                <w:sz w:val="20"/>
              </w:rPr>
              <w:t>Assembly failure with view and pointer</w:t>
            </w:r>
          </w:p>
        </w:tc>
      </w:tr>
      <w:tr>
        <w:trPr>
          <w:cantSplit/>
        </w:trPr>
        <w:tc>
          <w:tcPr>
            <w:tcW w:type="dxa" w:w="720"/>
            <w:vAlign w:val="center"/>
          </w:tcPr>
          <w:p>
            <w:pPr>
              <w:pStyle w:val="TableText"/>
              <w:keepNext w:val="0"/>
              <w:widowControl/>
            </w:pPr>
            <w:r>
              <w:rPr>
                <w:b/>
                <w:sz w:val="20"/>
              </w:rPr>
              <w:t>A03</w:t>
            </w:r>
          </w:p>
        </w:tc>
        <w:tc>
          <w:tcPr>
            <w:tcW w:type="dxa" w:w="3485"/>
            <w:vAlign w:val="center"/>
          </w:tcPr>
          <w:p>
            <w:pPr>
              <w:pStyle w:val="TableText"/>
              <w:keepNext w:val="0"/>
              <w:widowControl/>
            </w:pPr>
            <w:r>
              <w:rPr>
                <w:sz w:val="20"/>
              </w:rPr>
              <w:t>Bind a filter to an undeclared input</w:t>
            </w:r>
          </w:p>
        </w:tc>
        <w:tc>
          <w:tcPr>
            <w:tcW w:type="dxa" w:w="5947"/>
            <w:vAlign w:val="center"/>
          </w:tcPr>
          <w:p>
            <w:pPr>
              <w:pStyle w:val="TableText"/>
              <w:keepNext w:val="0"/>
              <w:widowControl/>
            </w:pPr>
            <w:r>
              <w:rPr>
                <w:sz w:val="20"/>
              </w:rPr>
              <w:t>Assembly failure; no unrestricted query path</w:t>
            </w:r>
          </w:p>
        </w:tc>
      </w:tr>
      <w:tr>
        <w:trPr>
          <w:cantSplit/>
        </w:trPr>
        <w:tc>
          <w:tcPr>
            <w:tcW w:type="dxa" w:w="720"/>
            <w:vAlign w:val="center"/>
            <w:shd w:fill="F5F6F7"/>
          </w:tcPr>
          <w:p>
            <w:pPr>
              <w:pStyle w:val="TableText"/>
              <w:keepNext w:val="0"/>
              <w:widowControl/>
            </w:pPr>
            <w:r>
              <w:rPr>
                <w:b/>
                <w:sz w:val="20"/>
              </w:rPr>
              <w:t>A04</w:t>
            </w:r>
          </w:p>
        </w:tc>
        <w:tc>
          <w:tcPr>
            <w:tcW w:type="dxa" w:w="3485"/>
            <w:vAlign w:val="center"/>
            <w:shd w:fill="F5F6F7"/>
          </w:tcPr>
          <w:p>
            <w:pPr>
              <w:pStyle w:val="TableText"/>
              <w:keepNext w:val="0"/>
              <w:widowControl/>
            </w:pPr>
            <w:r>
              <w:rPr>
                <w:sz w:val="20"/>
              </w:rPr>
              <w:t>Bind an editable control to a read-only field</w:t>
            </w:r>
          </w:p>
        </w:tc>
        <w:tc>
          <w:tcPr>
            <w:tcW w:type="dxa" w:w="5947"/>
            <w:vAlign w:val="center"/>
            <w:shd w:fill="F5F6F7"/>
          </w:tcPr>
          <w:p>
            <w:pPr>
              <w:pStyle w:val="TableText"/>
              <w:keepNext w:val="0"/>
              <w:widowControl/>
            </w:pPr>
            <w:r>
              <w:rPr>
                <w:sz w:val="20"/>
              </w:rPr>
              <w:t>Assembly failure or explicit read-only presentation</w:t>
            </w:r>
          </w:p>
        </w:tc>
      </w:tr>
      <w:tr>
        <w:trPr>
          <w:cantSplit/>
        </w:trPr>
        <w:tc>
          <w:tcPr>
            <w:tcW w:type="dxa" w:w="720"/>
            <w:vAlign w:val="center"/>
          </w:tcPr>
          <w:p>
            <w:pPr>
              <w:pStyle w:val="TableText"/>
              <w:keepNext w:val="0"/>
              <w:widowControl/>
            </w:pPr>
            <w:r>
              <w:rPr>
                <w:b/>
                <w:sz w:val="20"/>
              </w:rPr>
              <w:t>A05</w:t>
            </w:r>
          </w:p>
        </w:tc>
        <w:tc>
          <w:tcPr>
            <w:tcW w:type="dxa" w:w="3485"/>
            <w:vAlign w:val="center"/>
          </w:tcPr>
          <w:p>
            <w:pPr>
              <w:pStyle w:val="TableText"/>
              <w:keepNext w:val="0"/>
              <w:widowControl/>
            </w:pPr>
            <w:r>
              <w:rPr>
                <w:sz w:val="20"/>
              </w:rPr>
              <w:t>Load malformed or oversized metadata</w:t>
            </w:r>
          </w:p>
        </w:tc>
        <w:tc>
          <w:tcPr>
            <w:tcW w:type="dxa" w:w="5947"/>
            <w:vAlign w:val="center"/>
          </w:tcPr>
          <w:p>
            <w:pPr>
              <w:pStyle w:val="TableText"/>
              <w:keepNext w:val="0"/>
              <w:widowControl/>
            </w:pPr>
            <w:r>
              <w:rPr>
                <w:sz w:val="20"/>
              </w:rPr>
              <w:t>Predictable decoder error; no invocation</w:t>
            </w:r>
          </w:p>
        </w:tc>
      </w:tr>
      <w:tr>
        <w:trPr>
          <w:cantSplit/>
        </w:trPr>
        <w:tc>
          <w:tcPr>
            <w:tcW w:type="dxa" w:w="720"/>
            <w:vAlign w:val="center"/>
            <w:shd w:fill="F5F6F7"/>
          </w:tcPr>
          <w:p>
            <w:pPr>
              <w:pStyle w:val="TableText"/>
              <w:keepNext w:val="0"/>
              <w:widowControl/>
            </w:pPr>
            <w:r>
              <w:rPr>
                <w:b/>
                <w:sz w:val="20"/>
              </w:rPr>
              <w:t>A06</w:t>
            </w:r>
          </w:p>
        </w:tc>
        <w:tc>
          <w:tcPr>
            <w:tcW w:type="dxa" w:w="3485"/>
            <w:vAlign w:val="center"/>
            <w:shd w:fill="F5F6F7"/>
          </w:tcPr>
          <w:p>
            <w:pPr>
              <w:pStyle w:val="TableText"/>
              <w:keepNext w:val="0"/>
              <w:widowControl/>
            </w:pPr>
            <w:r>
              <w:rPr>
                <w:sz w:val="20"/>
              </w:rPr>
              <w:t>Preserve an untouched legacy application</w:t>
            </w:r>
          </w:p>
        </w:tc>
        <w:tc>
          <w:tcPr>
            <w:tcW w:type="dxa" w:w="5947"/>
            <w:vAlign w:val="center"/>
            <w:shd w:fill="F5F6F7"/>
          </w:tcPr>
          <w:p>
            <w:pPr>
              <w:pStyle w:val="TableText"/>
              <w:keepNext w:val="0"/>
              <w:widowControl/>
            </w:pPr>
            <w:r>
              <w:rPr>
                <w:sz w:val="20"/>
              </w:rPr>
              <w:t>Existing descriptors and revisions remain unchanged</w:t>
            </w:r>
          </w:p>
        </w:tc>
      </w:tr>
      <w:tr>
        <w:trPr>
          <w:cantSplit/>
        </w:trPr>
        <w:tc>
          <w:tcPr>
            <w:tcW w:type="dxa" w:w="720"/>
            <w:vAlign w:val="center"/>
          </w:tcPr>
          <w:p>
            <w:pPr>
              <w:pStyle w:val="TableText"/>
              <w:keepNext w:val="0"/>
              <w:widowControl/>
            </w:pPr>
            <w:r>
              <w:rPr>
                <w:b/>
                <w:sz w:val="20"/>
              </w:rPr>
              <w:t>A07</w:t>
            </w:r>
          </w:p>
        </w:tc>
        <w:tc>
          <w:tcPr>
            <w:tcW w:type="dxa" w:w="3485"/>
            <w:vAlign w:val="center"/>
          </w:tcPr>
          <w:p>
            <w:pPr>
              <w:pStyle w:val="TableText"/>
              <w:keepNext w:val="0"/>
              <w:widowControl/>
            </w:pPr>
            <w:r>
              <w:rPr>
                <w:sz w:val="20"/>
              </w:rPr>
              <w:t>Missing required component or feature</w:t>
            </w:r>
          </w:p>
        </w:tc>
        <w:tc>
          <w:tcPr>
            <w:tcW w:type="dxa" w:w="5947"/>
            <w:vAlign w:val="center"/>
          </w:tcPr>
          <w:p>
            <w:pPr>
              <w:pStyle w:val="TableText"/>
              <w:keepNext w:val="0"/>
              <w:widowControl/>
            </w:pPr>
            <w:r>
              <w:rPr>
                <w:sz w:val="20"/>
              </w:rPr>
              <w:t>Affected view/interaction disabled before mutation</w:t>
            </w:r>
          </w:p>
        </w:tc>
      </w:tr>
      <w:tr>
        <w:trPr>
          <w:cantSplit/>
        </w:trPr>
        <w:tc>
          <w:tcPr>
            <w:tcW w:type="dxa" w:w="720"/>
            <w:vAlign w:val="center"/>
            <w:shd w:fill="F5F6F7"/>
          </w:tcPr>
          <w:p>
            <w:pPr>
              <w:pStyle w:val="TableText"/>
              <w:keepNext w:val="0"/>
              <w:widowControl/>
            </w:pPr>
            <w:r>
              <w:rPr>
                <w:b/>
                <w:sz w:val="20"/>
              </w:rPr>
              <w:t>A08</w:t>
            </w:r>
          </w:p>
        </w:tc>
        <w:tc>
          <w:tcPr>
            <w:tcW w:type="dxa" w:w="3485"/>
            <w:vAlign w:val="center"/>
            <w:shd w:fill="F5F6F7"/>
          </w:tcPr>
          <w:p>
            <w:pPr>
              <w:pStyle w:val="TableText"/>
              <w:keepNext w:val="0"/>
              <w:widowControl/>
            </w:pPr>
            <w:r>
              <w:rPr>
                <w:sz w:val="20"/>
              </w:rPr>
              <w:t>Build IntentDoc and parse its rendering</w:t>
            </w:r>
          </w:p>
        </w:tc>
        <w:tc>
          <w:tcPr>
            <w:tcW w:type="dxa" w:w="5947"/>
            <w:vAlign w:val="center"/>
            <w:shd w:fill="F5F6F7"/>
          </w:tcPr>
          <w:p>
            <w:pPr>
              <w:pStyle w:val="TableText"/>
              <w:keepNext w:val="0"/>
              <w:widowControl/>
            </w:pPr>
            <w:r>
              <w:rPr>
                <w:sz w:val="20"/>
              </w:rPr>
              <w:t>Equivalent schema, operations, forms, views, and errors</w:t>
            </w:r>
          </w:p>
        </w:tc>
      </w:tr>
    </w:tbl>
    <w:p>
      <w:pPr>
        <w:spacing w:after="40" w:before="0" w:line="40" w:lineRule="exact"/>
      </w:pPr>
      <w:r>
        <w:rPr>
          <w:sz w:val="4"/>
        </w:rPr>
      </w:r>
    </w:p>
    <w:p>
      <w:pPr>
        <w:pStyle w:val="Heading2"/>
      </w:pPr>
      <w:r>
        <w:t>Authority and data acceptance</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3485"/>
        <w:gridCol w:w="5947"/>
      </w:tblGrid>
      <w:tr>
        <w:trPr>
          <w:cantSplit/>
          <w:tblHeader/>
        </w:trPr>
        <w:tc>
          <w:tcPr>
            <w:tcW w:type="dxa" w:w="720"/>
            <w:vAlign w:val="center"/>
            <w:shd w:fill="354653"/>
          </w:tcPr>
          <w:p>
            <w:pPr>
              <w:pStyle w:val="TableText"/>
              <w:keepNext/>
              <w:widowControl/>
            </w:pPr>
            <w:r>
              <w:rPr>
                <w:b/>
                <w:color w:val="FFFFFF"/>
                <w:sz w:val="20"/>
              </w:rPr>
              <w:t>ID</w:t>
            </w:r>
          </w:p>
        </w:tc>
        <w:tc>
          <w:tcPr>
            <w:tcW w:type="dxa" w:w="3485"/>
            <w:vAlign w:val="center"/>
            <w:shd w:fill="354653"/>
          </w:tcPr>
          <w:p>
            <w:pPr>
              <w:pStyle w:val="TableText"/>
              <w:keepNext/>
              <w:widowControl/>
            </w:pPr>
            <w:r>
              <w:rPr>
                <w:b/>
                <w:color w:val="FFFFFF"/>
                <w:sz w:val="20"/>
              </w:rPr>
              <w:t>Scenario</w:t>
            </w:r>
          </w:p>
        </w:tc>
        <w:tc>
          <w:tcPr>
            <w:tcW w:type="dxa" w:w="5947"/>
            <w:vAlign w:val="center"/>
            <w:shd w:fill="354653"/>
          </w:tcPr>
          <w:p>
            <w:pPr>
              <w:pStyle w:val="TableText"/>
              <w:keepNext/>
              <w:widowControl/>
            </w:pPr>
            <w:r>
              <w:rPr>
                <w:b/>
                <w:color w:val="FFFFFF"/>
                <w:sz w:val="20"/>
              </w:rPr>
              <w:t>Required result</w:t>
            </w:r>
          </w:p>
        </w:tc>
      </w:tr>
      <w:tr>
        <w:trPr>
          <w:cantSplit/>
        </w:trPr>
        <w:tc>
          <w:tcPr>
            <w:tcW w:type="dxa" w:w="720"/>
            <w:vAlign w:val="center"/>
          </w:tcPr>
          <w:p>
            <w:pPr>
              <w:pStyle w:val="TableText"/>
              <w:keepNext w:val="0"/>
              <w:widowControl/>
            </w:pPr>
            <w:r>
              <w:rPr>
                <w:b/>
                <w:sz w:val="20"/>
              </w:rPr>
              <w:t>A09</w:t>
            </w:r>
          </w:p>
        </w:tc>
        <w:tc>
          <w:tcPr>
            <w:tcW w:type="dxa" w:w="3485"/>
            <w:vAlign w:val="center"/>
          </w:tcPr>
          <w:p>
            <w:pPr>
              <w:pStyle w:val="TableText"/>
              <w:keepNext w:val="0"/>
              <w:widowControl/>
            </w:pPr>
            <w:r>
              <w:rPr>
                <w:sz w:val="20"/>
              </w:rPr>
              <w:t>Viewer can see a page but cannot write</w:t>
            </w:r>
          </w:p>
        </w:tc>
        <w:tc>
          <w:tcPr>
            <w:tcW w:type="dxa" w:w="5947"/>
            <w:vAlign w:val="center"/>
          </w:tcPr>
          <w:p>
            <w:pPr>
              <w:pStyle w:val="TableText"/>
              <w:keepNext w:val="0"/>
              <w:widowControl/>
            </w:pPr>
            <w:r>
              <w:rPr>
                <w:sz w:val="20"/>
              </w:rPr>
              <w:t>Form/action unavailable; forged API write refused</w:t>
            </w:r>
          </w:p>
        </w:tc>
      </w:tr>
      <w:tr>
        <w:trPr>
          <w:cantSplit/>
        </w:trPr>
        <w:tc>
          <w:tcPr>
            <w:tcW w:type="dxa" w:w="720"/>
            <w:vAlign w:val="center"/>
            <w:shd w:fill="F5F6F7"/>
          </w:tcPr>
          <w:p>
            <w:pPr>
              <w:pStyle w:val="TableText"/>
              <w:keepNext w:val="0"/>
              <w:widowControl/>
            </w:pPr>
            <w:r>
              <w:rPr>
                <w:b/>
                <w:sz w:val="20"/>
              </w:rPr>
              <w:t>A10</w:t>
            </w:r>
          </w:p>
        </w:tc>
        <w:tc>
          <w:tcPr>
            <w:tcW w:type="dxa" w:w="3485"/>
            <w:vAlign w:val="center"/>
            <w:shd w:fill="F5F6F7"/>
          </w:tcPr>
          <w:p>
            <w:pPr>
              <w:pStyle w:val="TableText"/>
              <w:keepNext w:val="0"/>
              <w:widowControl/>
            </w:pPr>
            <w:r>
              <w:rPr>
                <w:sz w:val="20"/>
              </w:rPr>
              <w:t>Cross-tenant ID in relation or record input</w:t>
            </w:r>
          </w:p>
        </w:tc>
        <w:tc>
          <w:tcPr>
            <w:tcW w:type="dxa" w:w="5947"/>
            <w:vAlign w:val="center"/>
            <w:shd w:fill="F5F6F7"/>
          </w:tcPr>
          <w:p>
            <w:pPr>
              <w:pStyle w:val="TableText"/>
              <w:keepNext w:val="0"/>
              <w:widowControl/>
            </w:pPr>
            <w:r>
              <w:rPr>
                <w:sz w:val="20"/>
              </w:rPr>
              <w:t>Same concealed result as unavailable target</w:t>
            </w:r>
          </w:p>
        </w:tc>
      </w:tr>
      <w:tr>
        <w:trPr>
          <w:cantSplit/>
        </w:trPr>
        <w:tc>
          <w:tcPr>
            <w:tcW w:type="dxa" w:w="720"/>
            <w:vAlign w:val="center"/>
          </w:tcPr>
          <w:p>
            <w:pPr>
              <w:pStyle w:val="TableText"/>
              <w:keepNext w:val="0"/>
              <w:widowControl/>
            </w:pPr>
            <w:r>
              <w:rPr>
                <w:b/>
                <w:sz w:val="20"/>
              </w:rPr>
              <w:t>A11</w:t>
            </w:r>
          </w:p>
        </w:tc>
        <w:tc>
          <w:tcPr>
            <w:tcW w:type="dxa" w:w="3485"/>
            <w:vAlign w:val="center"/>
          </w:tcPr>
          <w:p>
            <w:pPr>
              <w:pStyle w:val="TableText"/>
              <w:keepNext w:val="0"/>
              <w:widowControl/>
            </w:pPr>
            <w:r>
              <w:rPr>
                <w:sz w:val="20"/>
              </w:rPr>
              <w:t>Role revoked after form load and after context resolution</w:t>
            </w:r>
          </w:p>
        </w:tc>
        <w:tc>
          <w:tcPr>
            <w:tcW w:type="dxa" w:w="5947"/>
            <w:vAlign w:val="center"/>
          </w:tcPr>
          <w:p>
            <w:pPr>
              <w:pStyle w:val="TableText"/>
              <w:keepNext w:val="0"/>
              <w:widowControl/>
            </w:pPr>
            <w:r>
              <w:rPr>
                <w:sz w:val="20"/>
              </w:rPr>
              <w:t>Fresh resolution and stale resolved-context transaction recheck both refuse the write</w:t>
            </w:r>
          </w:p>
        </w:tc>
      </w:tr>
      <w:tr>
        <w:trPr>
          <w:cantSplit/>
        </w:trPr>
        <w:tc>
          <w:tcPr>
            <w:tcW w:type="dxa" w:w="720"/>
            <w:vAlign w:val="center"/>
            <w:shd w:fill="F5F6F7"/>
          </w:tcPr>
          <w:p>
            <w:pPr>
              <w:pStyle w:val="TableText"/>
              <w:keepNext w:val="0"/>
              <w:widowControl/>
            </w:pPr>
            <w:r>
              <w:rPr>
                <w:b/>
                <w:sz w:val="20"/>
              </w:rPr>
              <w:t>A12</w:t>
            </w:r>
          </w:p>
        </w:tc>
        <w:tc>
          <w:tcPr>
            <w:tcW w:type="dxa" w:w="3485"/>
            <w:vAlign w:val="center"/>
            <w:shd w:fill="F5F6F7"/>
          </w:tcPr>
          <w:p>
            <w:pPr>
              <w:pStyle w:val="TableText"/>
              <w:keepNext w:val="0"/>
              <w:widowControl/>
            </w:pPr>
            <w:r>
              <w:rPr>
                <w:sz w:val="20"/>
              </w:rPr>
              <w:t>Tenant switched during a delayed query</w:t>
            </w:r>
          </w:p>
        </w:tc>
        <w:tc>
          <w:tcPr>
            <w:tcW w:type="dxa" w:w="5947"/>
            <w:vAlign w:val="center"/>
            <w:shd w:fill="F5F6F7"/>
          </w:tcPr>
          <w:p>
            <w:pPr>
              <w:pStyle w:val="TableText"/>
              <w:keepNext w:val="0"/>
              <w:widowControl/>
            </w:pPr>
            <w:r>
              <w:rPr>
                <w:sz w:val="20"/>
              </w:rPr>
              <w:t>Old response never populates the new tenant view</w:t>
            </w:r>
          </w:p>
        </w:tc>
      </w:tr>
      <w:tr>
        <w:trPr>
          <w:cantSplit/>
        </w:trPr>
        <w:tc>
          <w:tcPr>
            <w:tcW w:type="dxa" w:w="720"/>
            <w:vAlign w:val="center"/>
          </w:tcPr>
          <w:p>
            <w:pPr>
              <w:pStyle w:val="TableText"/>
              <w:keepNext w:val="0"/>
              <w:widowControl/>
            </w:pPr>
            <w:r>
              <w:rPr>
                <w:b/>
                <w:sz w:val="20"/>
              </w:rPr>
              <w:t>A13</w:t>
            </w:r>
          </w:p>
        </w:tc>
        <w:tc>
          <w:tcPr>
            <w:tcW w:type="dxa" w:w="3485"/>
            <w:vAlign w:val="center"/>
          </w:tcPr>
          <w:p>
            <w:pPr>
              <w:pStyle w:val="TableText"/>
              <w:keepNext w:val="0"/>
              <w:widowControl/>
            </w:pPr>
            <w:r>
              <w:rPr>
                <w:sz w:val="20"/>
              </w:rPr>
              <w:t>Sensitive field removed from a view</w:t>
            </w:r>
          </w:p>
        </w:tc>
        <w:tc>
          <w:tcPr>
            <w:tcW w:type="dxa" w:w="5947"/>
            <w:vAlign w:val="center"/>
          </w:tcPr>
          <w:p>
            <w:pPr>
              <w:pStyle w:val="TableText"/>
              <w:keepNext w:val="0"/>
              <w:widowControl/>
            </w:pPr>
            <w:r>
              <w:rPr>
                <w:sz w:val="20"/>
              </w:rPr>
              <w:t>Authorized query also excludes it when disclosure is forbidden</w:t>
            </w:r>
          </w:p>
        </w:tc>
      </w:tr>
      <w:tr>
        <w:trPr>
          <w:cantSplit/>
        </w:trPr>
        <w:tc>
          <w:tcPr>
            <w:tcW w:type="dxa" w:w="720"/>
            <w:vAlign w:val="center"/>
            <w:shd w:fill="F5F6F7"/>
          </w:tcPr>
          <w:p>
            <w:pPr>
              <w:pStyle w:val="TableText"/>
              <w:keepNext w:val="0"/>
              <w:widowControl/>
            </w:pPr>
            <w:r>
              <w:rPr>
                <w:b/>
                <w:sz w:val="20"/>
              </w:rPr>
              <w:t>A14</w:t>
            </w:r>
          </w:p>
        </w:tc>
        <w:tc>
          <w:tcPr>
            <w:tcW w:type="dxa" w:w="3485"/>
            <w:vAlign w:val="center"/>
            <w:shd w:fill="F5F6F7"/>
          </w:tcPr>
          <w:p>
            <w:pPr>
              <w:pStyle w:val="TableText"/>
              <w:keepNext w:val="0"/>
              <w:widowControl/>
            </w:pPr>
            <w:r>
              <w:rPr>
                <w:sz w:val="20"/>
              </w:rPr>
              <w:t>Narrow list row and full detail are cached</w:t>
            </w:r>
          </w:p>
        </w:tc>
        <w:tc>
          <w:tcPr>
            <w:tcW w:type="dxa" w:w="5947"/>
            <w:vAlign w:val="center"/>
            <w:shd w:fill="F5F6F7"/>
          </w:tcPr>
          <w:p>
            <w:pPr>
              <w:pStyle w:val="TableText"/>
              <w:keepNext w:val="0"/>
              <w:widowControl/>
            </w:pPr>
            <w:r>
              <w:rPr>
                <w:sz w:val="20"/>
              </w:rPr>
              <w:t>List result cannot erase or disclose detail fields</w:t>
            </w:r>
          </w:p>
        </w:tc>
      </w:tr>
      <w:tr>
        <w:trPr>
          <w:cantSplit/>
        </w:trPr>
        <w:tc>
          <w:tcPr>
            <w:tcW w:type="dxa" w:w="720"/>
            <w:vAlign w:val="center"/>
          </w:tcPr>
          <w:p>
            <w:pPr>
              <w:pStyle w:val="TableText"/>
              <w:keepNext w:val="0"/>
              <w:widowControl/>
            </w:pPr>
            <w:r>
              <w:rPr>
                <w:b/>
                <w:sz w:val="20"/>
              </w:rPr>
              <w:t>A15</w:t>
            </w:r>
          </w:p>
        </w:tc>
        <w:tc>
          <w:tcPr>
            <w:tcW w:type="dxa" w:w="3485"/>
            <w:vAlign w:val="center"/>
          </w:tcPr>
          <w:p>
            <w:pPr>
              <w:pStyle w:val="TableText"/>
              <w:keepNext w:val="0"/>
              <w:widowControl/>
            </w:pPr>
            <w:r>
              <w:rPr>
                <w:sz w:val="20"/>
              </w:rPr>
              <w:t>Availability says allowed then record changes</w:t>
            </w:r>
          </w:p>
        </w:tc>
        <w:tc>
          <w:tcPr>
            <w:tcW w:type="dxa" w:w="5947"/>
            <w:vAlign w:val="center"/>
          </w:tcPr>
          <w:p>
            <w:pPr>
              <w:pStyle w:val="TableText"/>
              <w:keepNext w:val="0"/>
              <w:widowControl/>
            </w:pPr>
            <w:r>
              <w:rPr>
                <w:sz w:val="20"/>
              </w:rPr>
              <w:t>Command rechecks state and version before writing</w:t>
            </w:r>
          </w:p>
        </w:tc>
      </w:tr>
      <w:tr>
        <w:trPr>
          <w:cantSplit/>
        </w:trPr>
        <w:tc>
          <w:tcPr>
            <w:tcW w:type="dxa" w:w="720"/>
            <w:vAlign w:val="center"/>
            <w:shd w:fill="F5F6F7"/>
          </w:tcPr>
          <w:p>
            <w:pPr>
              <w:pStyle w:val="TableText"/>
              <w:keepNext w:val="0"/>
              <w:widowControl/>
            </w:pPr>
            <w:r>
              <w:rPr>
                <w:b/>
                <w:sz w:val="20"/>
              </w:rPr>
              <w:t>A16</w:t>
            </w:r>
          </w:p>
        </w:tc>
        <w:tc>
          <w:tcPr>
            <w:tcW w:type="dxa" w:w="3485"/>
            <w:vAlign w:val="center"/>
            <w:shd w:fill="F5F6F7"/>
          </w:tcPr>
          <w:p>
            <w:pPr>
              <w:pStyle w:val="TableText"/>
              <w:keepNext w:val="0"/>
              <w:widowControl/>
            </w:pPr>
            <w:r>
              <w:rPr>
                <w:sz w:val="20"/>
              </w:rPr>
              <w:t>Aggregate child validation fails</w:t>
            </w:r>
          </w:p>
        </w:tc>
        <w:tc>
          <w:tcPr>
            <w:tcW w:type="dxa" w:w="5947"/>
            <w:vAlign w:val="center"/>
            <w:shd w:fill="F5F6F7"/>
          </w:tcPr>
          <w:p>
            <w:pPr>
              <w:pStyle w:val="TableText"/>
              <w:keepNext w:val="0"/>
              <w:widowControl/>
            </w:pPr>
            <w:r>
              <w:rPr>
                <w:sz w:val="20"/>
              </w:rPr>
              <w:t>All-or-nothing result matches the aggregate contract</w:t>
            </w:r>
          </w:p>
        </w:tc>
      </w:tr>
    </w:tbl>
    <w:p>
      <w:pPr>
        <w:spacing w:after="40" w:before="0" w:line="40" w:lineRule="exact"/>
      </w:pPr>
      <w:r>
        <w:rPr>
          <w:sz w:val="4"/>
        </w:rPr>
      </w:r>
    </w:p>
    <w:p>
      <w:pPr>
        <w:pStyle w:val="Heading2"/>
      </w:pPr>
      <w:r>
        <w:t>Mutation and recovery acceptance</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3485"/>
        <w:gridCol w:w="5947"/>
      </w:tblGrid>
      <w:tr>
        <w:trPr>
          <w:cantSplit/>
          <w:tblHeader/>
        </w:trPr>
        <w:tc>
          <w:tcPr>
            <w:tcW w:type="dxa" w:w="720"/>
            <w:vAlign w:val="center"/>
            <w:shd w:fill="354653"/>
          </w:tcPr>
          <w:p>
            <w:pPr>
              <w:pStyle w:val="TableText"/>
              <w:keepNext/>
              <w:widowControl/>
            </w:pPr>
            <w:r>
              <w:rPr>
                <w:b/>
                <w:color w:val="FFFFFF"/>
                <w:sz w:val="20"/>
              </w:rPr>
              <w:t>ID</w:t>
            </w:r>
          </w:p>
        </w:tc>
        <w:tc>
          <w:tcPr>
            <w:tcW w:type="dxa" w:w="3485"/>
            <w:vAlign w:val="center"/>
            <w:shd w:fill="354653"/>
          </w:tcPr>
          <w:p>
            <w:pPr>
              <w:pStyle w:val="TableText"/>
              <w:keepNext/>
              <w:widowControl/>
            </w:pPr>
            <w:r>
              <w:rPr>
                <w:b/>
                <w:color w:val="FFFFFF"/>
                <w:sz w:val="20"/>
              </w:rPr>
              <w:t>Scenario</w:t>
            </w:r>
          </w:p>
        </w:tc>
        <w:tc>
          <w:tcPr>
            <w:tcW w:type="dxa" w:w="5947"/>
            <w:vAlign w:val="center"/>
            <w:shd w:fill="354653"/>
          </w:tcPr>
          <w:p>
            <w:pPr>
              <w:pStyle w:val="TableText"/>
              <w:keepNext/>
              <w:widowControl/>
            </w:pPr>
            <w:r>
              <w:rPr>
                <w:b/>
                <w:color w:val="FFFFFF"/>
                <w:sz w:val="20"/>
              </w:rPr>
              <w:t>Required result</w:t>
            </w:r>
          </w:p>
        </w:tc>
      </w:tr>
      <w:tr>
        <w:trPr>
          <w:cantSplit/>
        </w:trPr>
        <w:tc>
          <w:tcPr>
            <w:tcW w:type="dxa" w:w="720"/>
            <w:vAlign w:val="center"/>
          </w:tcPr>
          <w:p>
            <w:pPr>
              <w:pStyle w:val="TableText"/>
              <w:keepNext w:val="0"/>
              <w:widowControl/>
            </w:pPr>
            <w:r>
              <w:rPr>
                <w:b/>
                <w:sz w:val="20"/>
              </w:rPr>
              <w:t>A17</w:t>
            </w:r>
          </w:p>
        </w:tc>
        <w:tc>
          <w:tcPr>
            <w:tcW w:type="dxa" w:w="3485"/>
            <w:vAlign w:val="center"/>
          </w:tcPr>
          <w:p>
            <w:pPr>
              <w:pStyle w:val="TableText"/>
              <w:keepNext w:val="0"/>
              <w:widowControl/>
            </w:pPr>
            <w:r>
              <w:rPr>
                <w:sz w:val="20"/>
              </w:rPr>
              <w:t>Same operation from admin, form, and API</w:t>
            </w:r>
          </w:p>
        </w:tc>
        <w:tc>
          <w:tcPr>
            <w:tcW w:type="dxa" w:w="5947"/>
            <w:vAlign w:val="center"/>
          </w:tcPr>
          <w:p>
            <w:pPr>
              <w:pStyle w:val="TableText"/>
              <w:keepNext w:val="0"/>
              <w:widowControl/>
            </w:pPr>
            <w:r>
              <w:rPr>
                <w:sz w:val="20"/>
              </w:rPr>
              <w:t>Matching authority, validation, state change, and audit attribution</w:t>
            </w:r>
          </w:p>
        </w:tc>
      </w:tr>
      <w:tr>
        <w:trPr>
          <w:cantSplit/>
        </w:trPr>
        <w:tc>
          <w:tcPr>
            <w:tcW w:type="dxa" w:w="720"/>
            <w:vAlign w:val="center"/>
            <w:shd w:fill="F5F6F7"/>
          </w:tcPr>
          <w:p>
            <w:pPr>
              <w:pStyle w:val="TableText"/>
              <w:keepNext w:val="0"/>
              <w:widowControl/>
            </w:pPr>
            <w:r>
              <w:rPr>
                <w:b/>
                <w:sz w:val="20"/>
              </w:rPr>
              <w:t>A18</w:t>
            </w:r>
          </w:p>
        </w:tc>
        <w:tc>
          <w:tcPr>
            <w:tcW w:type="dxa" w:w="3485"/>
            <w:vAlign w:val="center"/>
            <w:shd w:fill="F5F6F7"/>
          </w:tcPr>
          <w:p>
            <w:pPr>
              <w:pStyle w:val="TableText"/>
              <w:keepNext w:val="0"/>
              <w:widowControl/>
            </w:pPr>
            <w:r>
              <w:rPr>
                <w:sz w:val="20"/>
              </w:rPr>
              <w:t>Action returns 201, 202, or 204 as declared</w:t>
            </w:r>
          </w:p>
        </w:tc>
        <w:tc>
          <w:tcPr>
            <w:tcW w:type="dxa" w:w="5947"/>
            <w:vAlign w:val="center"/>
            <w:shd w:fill="F5F6F7"/>
          </w:tcPr>
          <w:p>
            <w:pPr>
              <w:pStyle w:val="TableText"/>
              <w:keepNext w:val="0"/>
              <w:widowControl/>
            </w:pPr>
            <w:r>
              <w:rPr>
                <w:sz w:val="20"/>
              </w:rPr>
              <w:t>Controller handles actual status and body semantics</w:t>
            </w:r>
          </w:p>
        </w:tc>
      </w:tr>
      <w:tr>
        <w:trPr>
          <w:cantSplit/>
        </w:trPr>
        <w:tc>
          <w:tcPr>
            <w:tcW w:type="dxa" w:w="720"/>
            <w:vAlign w:val="center"/>
          </w:tcPr>
          <w:p>
            <w:pPr>
              <w:pStyle w:val="TableText"/>
              <w:keepNext w:val="0"/>
              <w:widowControl/>
            </w:pPr>
            <w:r>
              <w:rPr>
                <w:b/>
                <w:sz w:val="20"/>
              </w:rPr>
              <w:t>A19</w:t>
            </w:r>
          </w:p>
        </w:tc>
        <w:tc>
          <w:tcPr>
            <w:tcW w:type="dxa" w:w="3485"/>
            <w:vAlign w:val="center"/>
          </w:tcPr>
          <w:p>
            <w:pPr>
              <w:pStyle w:val="TableText"/>
              <w:keepNext w:val="0"/>
              <w:widowControl/>
            </w:pPr>
            <w:r>
              <w:rPr>
                <w:sz w:val="20"/>
              </w:rPr>
              <w:t>Action needs reason or assignee</w:t>
            </w:r>
          </w:p>
        </w:tc>
        <w:tc>
          <w:tcPr>
            <w:tcW w:type="dxa" w:w="5947"/>
            <w:vAlign w:val="center"/>
          </w:tcPr>
          <w:p>
            <w:pPr>
              <w:pStyle w:val="TableText"/>
              <w:keepNext w:val="0"/>
              <w:widowControl/>
            </w:pPr>
            <w:r>
              <w:rPr>
                <w:sz w:val="20"/>
              </w:rPr>
              <w:t>Registered input form is shown and its contract is enforced</w:t>
            </w:r>
          </w:p>
        </w:tc>
      </w:tr>
      <w:tr>
        <w:trPr>
          <w:cantSplit/>
        </w:trPr>
        <w:tc>
          <w:tcPr>
            <w:tcW w:type="dxa" w:w="720"/>
            <w:vAlign w:val="center"/>
            <w:shd w:fill="F5F6F7"/>
          </w:tcPr>
          <w:p>
            <w:pPr>
              <w:pStyle w:val="TableText"/>
              <w:keepNext w:val="0"/>
              <w:widowControl/>
            </w:pPr>
            <w:r>
              <w:rPr>
                <w:b/>
                <w:sz w:val="20"/>
              </w:rPr>
              <w:t>A20</w:t>
            </w:r>
          </w:p>
        </w:tc>
        <w:tc>
          <w:tcPr>
            <w:tcW w:type="dxa" w:w="3485"/>
            <w:vAlign w:val="center"/>
            <w:shd w:fill="F5F6F7"/>
          </w:tcPr>
          <w:p>
            <w:pPr>
              <w:pStyle w:val="TableText"/>
              <w:keepNext w:val="0"/>
              <w:widowControl/>
            </w:pPr>
            <w:r>
              <w:rPr>
                <w:sz w:val="20"/>
              </w:rPr>
              <w:t>Stale or missing ETag</w:t>
            </w:r>
          </w:p>
        </w:tc>
        <w:tc>
          <w:tcPr>
            <w:tcW w:type="dxa" w:w="5947"/>
            <w:vAlign w:val="center"/>
            <w:shd w:fill="F5F6F7"/>
          </w:tcPr>
          <w:p>
            <w:pPr>
              <w:pStyle w:val="TableText"/>
              <w:keepNext w:val="0"/>
              <w:widowControl/>
            </w:pPr>
            <w:r>
              <w:rPr>
                <w:sz w:val="20"/>
              </w:rPr>
              <w:t>Defined precondition refusal; no overwrite; draft retained</w:t>
            </w:r>
          </w:p>
        </w:tc>
      </w:tr>
      <w:tr>
        <w:trPr>
          <w:cantSplit/>
        </w:trPr>
        <w:tc>
          <w:tcPr>
            <w:tcW w:type="dxa" w:w="720"/>
            <w:vAlign w:val="center"/>
          </w:tcPr>
          <w:p>
            <w:pPr>
              <w:pStyle w:val="TableText"/>
              <w:keepNext w:val="0"/>
              <w:widowControl/>
            </w:pPr>
            <w:r>
              <w:rPr>
                <w:b/>
                <w:sz w:val="20"/>
              </w:rPr>
              <w:t>A21</w:t>
            </w:r>
          </w:p>
        </w:tc>
        <w:tc>
          <w:tcPr>
            <w:tcW w:type="dxa" w:w="3485"/>
            <w:vAlign w:val="center"/>
          </w:tcPr>
          <w:p>
            <w:pPr>
              <w:pStyle w:val="TableText"/>
              <w:keepNext w:val="0"/>
              <w:widowControl/>
            </w:pPr>
            <w:r>
              <w:rPr>
                <w:sz w:val="20"/>
              </w:rPr>
              <w:t>Command returns a receipt while targeting a record</w:t>
            </w:r>
          </w:p>
        </w:tc>
        <w:tc>
          <w:tcPr>
            <w:tcW w:type="dxa" w:w="5947"/>
            <w:vAlign w:val="center"/>
          </w:tcPr>
          <w:p>
            <w:pPr>
              <w:pStyle w:val="TableText"/>
              <w:keepNext w:val="0"/>
              <w:widowControl/>
            </w:pPr>
            <w:r>
              <w:rPr>
                <w:sz w:val="20"/>
              </w:rPr>
              <w:t>If-Match checks the declared record representation</w:t>
            </w:r>
          </w:p>
        </w:tc>
      </w:tr>
      <w:tr>
        <w:trPr>
          <w:cantSplit/>
        </w:trPr>
        <w:tc>
          <w:tcPr>
            <w:tcW w:type="dxa" w:w="720"/>
            <w:vAlign w:val="center"/>
            <w:shd w:fill="F5F6F7"/>
          </w:tcPr>
          <w:p>
            <w:pPr>
              <w:pStyle w:val="TableText"/>
              <w:keepNext w:val="0"/>
              <w:widowControl/>
            </w:pPr>
            <w:r>
              <w:rPr>
                <w:b/>
                <w:sz w:val="20"/>
              </w:rPr>
              <w:t>A22</w:t>
            </w:r>
          </w:p>
        </w:tc>
        <w:tc>
          <w:tcPr>
            <w:tcW w:type="dxa" w:w="3485"/>
            <w:vAlign w:val="center"/>
            <w:shd w:fill="F5F6F7"/>
          </w:tcPr>
          <w:p>
            <w:pPr>
              <w:pStyle w:val="TableText"/>
              <w:keepNext w:val="0"/>
              <w:widowControl/>
            </w:pPr>
            <w:r>
              <w:rPr>
                <w:sz w:val="20"/>
              </w:rPr>
              <w:t>Network response is lost after dispatch</w:t>
            </w:r>
          </w:p>
        </w:tc>
        <w:tc>
          <w:tcPr>
            <w:tcW w:type="dxa" w:w="5947"/>
            <w:vAlign w:val="center"/>
            <w:shd w:fill="F5F6F7"/>
          </w:tcPr>
          <w:p>
            <w:pPr>
              <w:pStyle w:val="TableText"/>
              <w:keepNext w:val="0"/>
              <w:widowControl/>
            </w:pPr>
            <w:r>
              <w:rPr>
                <w:sz w:val="20"/>
              </w:rPr>
              <w:t>Outcome remains unknown; no automatic fresh write</w:t>
            </w:r>
          </w:p>
        </w:tc>
      </w:tr>
      <w:tr>
        <w:trPr>
          <w:cantSplit/>
        </w:trPr>
        <w:tc>
          <w:tcPr>
            <w:tcW w:type="dxa" w:w="720"/>
            <w:vAlign w:val="center"/>
          </w:tcPr>
          <w:p>
            <w:pPr>
              <w:pStyle w:val="TableText"/>
              <w:keepNext w:val="0"/>
              <w:widowControl/>
            </w:pPr>
            <w:r>
              <w:rPr>
                <w:b/>
                <w:sz w:val="20"/>
              </w:rPr>
              <w:t>A23</w:t>
            </w:r>
          </w:p>
        </w:tc>
        <w:tc>
          <w:tcPr>
            <w:tcW w:type="dxa" w:w="3485"/>
            <w:vAlign w:val="center"/>
          </w:tcPr>
          <w:p>
            <w:pPr>
              <w:pStyle w:val="TableText"/>
              <w:keepNext w:val="0"/>
              <w:widowControl/>
            </w:pPr>
            <w:r>
              <w:rPr>
                <w:sz w:val="20"/>
              </w:rPr>
              <w:t>Same opted-in key and payload invoked twice within retention</w:t>
            </w:r>
          </w:p>
        </w:tc>
        <w:tc>
          <w:tcPr>
            <w:tcW w:type="dxa" w:w="5947"/>
            <w:vAlign w:val="center"/>
          </w:tcPr>
          <w:p>
            <w:pPr>
              <w:pStyle w:val="TableText"/>
              <w:keepNext w:val="0"/>
              <w:widowControl/>
            </w:pPr>
            <w:r>
              <w:rPr>
                <w:sz w:val="20"/>
              </w:rPr>
              <w:t>Existing receipt semantics prevent duplicate committed effects</w:t>
            </w:r>
          </w:p>
        </w:tc>
      </w:tr>
      <w:tr>
        <w:trPr>
          <w:cantSplit/>
        </w:trPr>
        <w:tc>
          <w:tcPr>
            <w:tcW w:type="dxa" w:w="720"/>
            <w:vAlign w:val="center"/>
            <w:shd w:fill="F5F6F7"/>
          </w:tcPr>
          <w:p>
            <w:pPr>
              <w:pStyle w:val="TableText"/>
              <w:keepNext w:val="0"/>
              <w:widowControl/>
            </w:pPr>
            <w:r>
              <w:rPr>
                <w:b/>
                <w:sz w:val="20"/>
              </w:rPr>
              <w:t>A24</w:t>
            </w:r>
          </w:p>
        </w:tc>
        <w:tc>
          <w:tcPr>
            <w:tcW w:type="dxa" w:w="3485"/>
            <w:vAlign w:val="center"/>
            <w:shd w:fill="F5F6F7"/>
          </w:tcPr>
          <w:p>
            <w:pPr>
              <w:pStyle w:val="TableText"/>
              <w:keepNext w:val="0"/>
              <w:widowControl/>
            </w:pPr>
            <w:r>
              <w:rPr>
                <w:sz w:val="20"/>
              </w:rPr>
              <w:t>Unknown attempt spans version change or receipt expiry</w:t>
            </w:r>
          </w:p>
        </w:tc>
        <w:tc>
          <w:tcPr>
            <w:tcW w:type="dxa" w:w="5947"/>
            <w:vAlign w:val="center"/>
            <w:shd w:fill="F5F6F7"/>
          </w:tcPr>
          <w:p>
            <w:pPr>
              <w:pStyle w:val="TableText"/>
              <w:keepNext w:val="0"/>
              <w:widowControl/>
            </w:pPr>
            <w:r>
              <w:rPr>
                <w:sz w:val="20"/>
              </w:rPr>
              <w:t>V1 offers no execution-capable recovery; version-pinned calls refuse retargeting</w:t>
            </w:r>
          </w:p>
        </w:tc>
      </w:tr>
      <w:tr>
        <w:trPr>
          <w:cantSplit/>
        </w:trPr>
        <w:tc>
          <w:tcPr>
            <w:tcW w:type="dxa" w:w="720"/>
            <w:vAlign w:val="center"/>
          </w:tcPr>
          <w:p>
            <w:pPr>
              <w:pStyle w:val="TableText"/>
              <w:keepNext w:val="0"/>
              <w:widowControl/>
            </w:pPr>
            <w:r>
              <w:rPr>
                <w:b/>
                <w:sz w:val="20"/>
              </w:rPr>
              <w:t>A25</w:t>
            </w:r>
          </w:p>
        </w:tc>
        <w:tc>
          <w:tcPr>
            <w:tcW w:type="dxa" w:w="3485"/>
            <w:vAlign w:val="center"/>
          </w:tcPr>
          <w:p>
            <w:pPr>
              <w:pStyle w:val="TableText"/>
              <w:keepNext w:val="0"/>
              <w:widowControl/>
            </w:pPr>
            <w:r>
              <w:rPr>
                <w:sz w:val="20"/>
              </w:rPr>
              <w:t>Recovery request is denied after an unknown attempt</w:t>
            </w:r>
          </w:p>
        </w:tc>
        <w:tc>
          <w:tcPr>
            <w:tcW w:type="dxa" w:w="5947"/>
            <w:vAlign w:val="center"/>
          </w:tcPr>
          <w:p>
            <w:pPr>
              <w:pStyle w:val="TableText"/>
              <w:keepNext w:val="0"/>
              <w:widowControl/>
            </w:pPr>
            <w:r>
              <w:rPr>
                <w:sz w:val="20"/>
              </w:rPr>
              <w:t>Original outcome remains unresolved</w:t>
            </w:r>
          </w:p>
        </w:tc>
      </w:tr>
      <w:tr>
        <w:trPr>
          <w:cantSplit/>
        </w:trPr>
        <w:tc>
          <w:tcPr>
            <w:tcW w:type="dxa" w:w="720"/>
            <w:vAlign w:val="center"/>
            <w:shd w:fill="F5F6F7"/>
          </w:tcPr>
          <w:p>
            <w:pPr>
              <w:pStyle w:val="TableText"/>
              <w:keepNext w:val="0"/>
              <w:widowControl/>
            </w:pPr>
            <w:r>
              <w:rPr>
                <w:b/>
                <w:sz w:val="20"/>
              </w:rPr>
              <w:t>A26</w:t>
            </w:r>
          </w:p>
        </w:tc>
        <w:tc>
          <w:tcPr>
            <w:tcW w:type="dxa" w:w="3485"/>
            <w:vAlign w:val="center"/>
            <w:shd w:fill="F5F6F7"/>
          </w:tcPr>
          <w:p>
            <w:pPr>
              <w:pStyle w:val="TableText"/>
              <w:keepNext w:val="0"/>
              <w:widowControl/>
            </w:pPr>
            <w:r>
              <w:rPr>
                <w:sz w:val="20"/>
              </w:rPr>
              <w:t>Stored response disclosure changes</w:t>
            </w:r>
          </w:p>
        </w:tc>
        <w:tc>
          <w:tcPr>
            <w:tcW w:type="dxa" w:w="5947"/>
            <w:vAlign w:val="center"/>
            <w:shd w:fill="F5F6F7"/>
          </w:tcPr>
          <w:p>
            <w:pPr>
              <w:pStyle w:val="TableText"/>
              <w:keepNext w:val="0"/>
              <w:widowControl/>
            </w:pPr>
            <w:r>
              <w:rPr>
                <w:sz w:val="20"/>
              </w:rPr>
              <w:t>Replay refuses or returns a permitted minimal receipt without rerunning</w:t>
            </w:r>
          </w:p>
        </w:tc>
      </w:tr>
      <w:tr>
        <w:trPr>
          <w:cantSplit/>
        </w:trPr>
        <w:tc>
          <w:tcPr>
            <w:tcW w:type="dxa" w:w="720"/>
            <w:vAlign w:val="center"/>
          </w:tcPr>
          <w:p>
            <w:pPr>
              <w:pStyle w:val="TableText"/>
              <w:keepNext w:val="0"/>
              <w:widowControl/>
            </w:pPr>
            <w:r>
              <w:rPr>
                <w:b/>
                <w:sz w:val="20"/>
              </w:rPr>
              <w:t>A27</w:t>
            </w:r>
          </w:p>
        </w:tc>
        <w:tc>
          <w:tcPr>
            <w:tcW w:type="dxa" w:w="3485"/>
            <w:vAlign w:val="center"/>
          </w:tcPr>
          <w:p>
            <w:pPr>
              <w:pStyle w:val="TableText"/>
              <w:keepNext w:val="0"/>
              <w:widowControl/>
            </w:pPr>
            <w:r>
              <w:rPr>
                <w:sz w:val="20"/>
              </w:rPr>
              <w:t>Success response cannot be decoded</w:t>
            </w:r>
          </w:p>
        </w:tc>
        <w:tc>
          <w:tcPr>
            <w:tcW w:type="dxa" w:w="5947"/>
            <w:vAlign w:val="center"/>
          </w:tcPr>
          <w:p>
            <w:pPr>
              <w:pStyle w:val="TableText"/>
              <w:keepNext w:val="0"/>
              <w:widowControl/>
            </w:pPr>
            <w:r>
              <w:rPr>
                <w:sz w:val="20"/>
              </w:rPr>
              <w:t>No resubmit invitation; refresh/reconciliation path</w:t>
            </w:r>
          </w:p>
        </w:tc>
      </w:tr>
      <w:tr>
        <w:trPr>
          <w:cantSplit/>
        </w:trPr>
        <w:tc>
          <w:tcPr>
            <w:tcW w:type="dxa" w:w="720"/>
            <w:vAlign w:val="center"/>
            <w:shd w:fill="F5F6F7"/>
          </w:tcPr>
          <w:p>
            <w:pPr>
              <w:pStyle w:val="TableText"/>
              <w:keepNext w:val="0"/>
              <w:widowControl/>
            </w:pPr>
            <w:r>
              <w:rPr>
                <w:b/>
                <w:sz w:val="20"/>
              </w:rPr>
              <w:t>A28</w:t>
            </w:r>
          </w:p>
        </w:tc>
        <w:tc>
          <w:tcPr>
            <w:tcW w:type="dxa" w:w="3485"/>
            <w:vAlign w:val="center"/>
            <w:shd w:fill="F5F6F7"/>
          </w:tcPr>
          <w:p>
            <w:pPr>
              <w:pStyle w:val="TableText"/>
              <w:keepNext w:val="0"/>
              <w:widowControl/>
            </w:pPr>
            <w:r>
              <w:rPr>
                <w:sz w:val="20"/>
              </w:rPr>
              <w:t>Browser aborts after dispatch</w:t>
            </w:r>
          </w:p>
        </w:tc>
        <w:tc>
          <w:tcPr>
            <w:tcW w:type="dxa" w:w="5947"/>
            <w:vAlign w:val="center"/>
            <w:shd w:fill="F5F6F7"/>
          </w:tcPr>
          <w:p>
            <w:pPr>
              <w:pStyle w:val="TableText"/>
              <w:keepNext w:val="0"/>
              <w:widowControl/>
            </w:pPr>
            <w:r>
              <w:rPr>
                <w:sz w:val="20"/>
              </w:rPr>
              <w:t>UI does not claim the server operation was canceled</w:t>
            </w:r>
          </w:p>
        </w:tc>
      </w:tr>
    </w:tbl>
    <w:p>
      <w:pPr>
        <w:spacing w:after="40" w:before="0" w:line="40" w:lineRule="exact"/>
      </w:pPr>
      <w:r>
        <w:rPr>
          <w:sz w:val="4"/>
        </w:rPr>
      </w:r>
    </w:p>
    <w:p>
      <w:pPr>
        <w:pStyle w:val="Heading2"/>
      </w:pPr>
      <w:r>
        <w:t>Frontend and delivery acceptance</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3485"/>
        <w:gridCol w:w="5947"/>
      </w:tblGrid>
      <w:tr>
        <w:trPr>
          <w:cantSplit/>
          <w:tblHeader/>
        </w:trPr>
        <w:tc>
          <w:tcPr>
            <w:tcW w:type="dxa" w:w="720"/>
            <w:vAlign w:val="center"/>
            <w:shd w:fill="354653"/>
          </w:tcPr>
          <w:p>
            <w:pPr>
              <w:pStyle w:val="TableText"/>
              <w:keepNext/>
              <w:widowControl/>
            </w:pPr>
            <w:r>
              <w:rPr>
                <w:b/>
                <w:color w:val="FFFFFF"/>
                <w:sz w:val="20"/>
              </w:rPr>
              <w:t>ID</w:t>
            </w:r>
          </w:p>
        </w:tc>
        <w:tc>
          <w:tcPr>
            <w:tcW w:type="dxa" w:w="3485"/>
            <w:vAlign w:val="center"/>
            <w:shd w:fill="354653"/>
          </w:tcPr>
          <w:p>
            <w:pPr>
              <w:pStyle w:val="TableText"/>
              <w:keepNext/>
              <w:widowControl/>
            </w:pPr>
            <w:r>
              <w:rPr>
                <w:b/>
                <w:color w:val="FFFFFF"/>
                <w:sz w:val="20"/>
              </w:rPr>
              <w:t>Scenario</w:t>
            </w:r>
          </w:p>
        </w:tc>
        <w:tc>
          <w:tcPr>
            <w:tcW w:type="dxa" w:w="5947"/>
            <w:vAlign w:val="center"/>
            <w:shd w:fill="354653"/>
          </w:tcPr>
          <w:p>
            <w:pPr>
              <w:pStyle w:val="TableText"/>
              <w:keepNext/>
              <w:widowControl/>
            </w:pPr>
            <w:r>
              <w:rPr>
                <w:b/>
                <w:color w:val="FFFFFF"/>
                <w:sz w:val="20"/>
              </w:rPr>
              <w:t>Required result</w:t>
            </w:r>
          </w:p>
        </w:tc>
      </w:tr>
      <w:tr>
        <w:trPr>
          <w:cantSplit/>
        </w:trPr>
        <w:tc>
          <w:tcPr>
            <w:tcW w:type="dxa" w:w="720"/>
            <w:vAlign w:val="center"/>
          </w:tcPr>
          <w:p>
            <w:pPr>
              <w:pStyle w:val="TableText"/>
              <w:keepNext w:val="0"/>
              <w:widowControl/>
            </w:pPr>
            <w:r>
              <w:rPr>
                <w:b/>
                <w:sz w:val="20"/>
              </w:rPr>
              <w:t>A29</w:t>
            </w:r>
          </w:p>
        </w:tc>
        <w:tc>
          <w:tcPr>
            <w:tcW w:type="dxa" w:w="3485"/>
            <w:vAlign w:val="center"/>
          </w:tcPr>
          <w:p>
            <w:pPr>
              <w:pStyle w:val="TableText"/>
              <w:keepNext w:val="0"/>
              <w:widowControl/>
            </w:pPr>
            <w:r>
              <w:rPr>
                <w:sz w:val="20"/>
              </w:rPr>
              <w:t>Empty databases</w:t>
            </w:r>
          </w:p>
        </w:tc>
        <w:tc>
          <w:tcPr>
            <w:tcW w:type="dxa" w:w="5947"/>
            <w:vAlign w:val="center"/>
          </w:tcPr>
          <w:p>
            <w:pPr>
              <w:pStyle w:val="TableText"/>
              <w:keepNext w:val="0"/>
              <w:widowControl/>
            </w:pPr>
            <w:r>
              <w:rPr>
                <w:sz w:val="20"/>
              </w:rPr>
              <w:t>Complete forms, labels, and navigation still render from metadata</w:t>
            </w:r>
          </w:p>
        </w:tc>
      </w:tr>
      <w:tr>
        <w:trPr>
          <w:cantSplit/>
        </w:trPr>
        <w:tc>
          <w:tcPr>
            <w:tcW w:type="dxa" w:w="720"/>
            <w:vAlign w:val="center"/>
            <w:shd w:fill="F5F6F7"/>
          </w:tcPr>
          <w:p>
            <w:pPr>
              <w:pStyle w:val="TableText"/>
              <w:keepNext w:val="0"/>
              <w:widowControl/>
            </w:pPr>
            <w:r>
              <w:rPr>
                <w:b/>
                <w:sz w:val="20"/>
              </w:rPr>
              <w:t>A30</w:t>
            </w:r>
          </w:p>
        </w:tc>
        <w:tc>
          <w:tcPr>
            <w:tcW w:type="dxa" w:w="3485"/>
            <w:vAlign w:val="center"/>
            <w:shd w:fill="F5F6F7"/>
          </w:tcPr>
          <w:p>
            <w:pPr>
              <w:pStyle w:val="TableText"/>
              <w:keepNext w:val="0"/>
              <w:widowControl/>
            </w:pPr>
            <w:r>
              <w:rPr>
                <w:sz w:val="20"/>
              </w:rPr>
              <w:t>More than 100 related records</w:t>
            </w:r>
          </w:p>
        </w:tc>
        <w:tc>
          <w:tcPr>
            <w:tcW w:type="dxa" w:w="5947"/>
            <w:vAlign w:val="center"/>
            <w:shd w:fill="F5F6F7"/>
          </w:tcPr>
          <w:p>
            <w:pPr>
              <w:pStyle w:val="TableText"/>
              <w:keepNext w:val="0"/>
              <w:widowControl/>
            </w:pPr>
            <w:r>
              <w:rPr>
                <w:sz w:val="20"/>
              </w:rPr>
              <w:t>Search and paging find later records; selected labels resolve</w:t>
            </w:r>
          </w:p>
        </w:tc>
      </w:tr>
      <w:tr>
        <w:trPr>
          <w:cantSplit/>
        </w:trPr>
        <w:tc>
          <w:tcPr>
            <w:tcW w:type="dxa" w:w="720"/>
            <w:vAlign w:val="center"/>
          </w:tcPr>
          <w:p>
            <w:pPr>
              <w:pStyle w:val="TableText"/>
              <w:keepNext w:val="0"/>
              <w:widowControl/>
            </w:pPr>
            <w:r>
              <w:rPr>
                <w:b/>
                <w:sz w:val="20"/>
              </w:rPr>
              <w:t>A31</w:t>
            </w:r>
          </w:p>
        </w:tc>
        <w:tc>
          <w:tcPr>
            <w:tcW w:type="dxa" w:w="3485"/>
            <w:vAlign w:val="center"/>
          </w:tcPr>
          <w:p>
            <w:pPr>
              <w:pStyle w:val="TableText"/>
              <w:keepNext w:val="0"/>
              <w:widowControl/>
            </w:pPr>
            <w:r>
              <w:rPr>
                <w:sz w:val="20"/>
              </w:rPr>
              <w:t>Filter/search changes while page loads</w:t>
            </w:r>
          </w:p>
        </w:tc>
        <w:tc>
          <w:tcPr>
            <w:tcW w:type="dxa" w:w="5947"/>
            <w:vAlign w:val="center"/>
          </w:tcPr>
          <w:p>
            <w:pPr>
              <w:pStyle w:val="TableText"/>
              <w:keepNext w:val="0"/>
              <w:widowControl/>
            </w:pPr>
            <w:r>
              <w:rPr>
                <w:sz w:val="20"/>
              </w:rPr>
              <w:t>Cursor resets; late old results are discarded</w:t>
            </w:r>
          </w:p>
        </w:tc>
      </w:tr>
      <w:tr>
        <w:trPr>
          <w:cantSplit/>
        </w:trPr>
        <w:tc>
          <w:tcPr>
            <w:tcW w:type="dxa" w:w="720"/>
            <w:vAlign w:val="center"/>
            <w:shd w:fill="F5F6F7"/>
          </w:tcPr>
          <w:p>
            <w:pPr>
              <w:pStyle w:val="TableText"/>
              <w:keepNext w:val="0"/>
              <w:widowControl/>
            </w:pPr>
            <w:r>
              <w:rPr>
                <w:b/>
                <w:sz w:val="20"/>
              </w:rPr>
              <w:t>A32</w:t>
            </w:r>
          </w:p>
        </w:tc>
        <w:tc>
          <w:tcPr>
            <w:tcW w:type="dxa" w:w="3485"/>
            <w:vAlign w:val="center"/>
            <w:shd w:fill="F5F6F7"/>
          </w:tcPr>
          <w:p>
            <w:pPr>
              <w:pStyle w:val="TableText"/>
              <w:keepNext w:val="0"/>
              <w:widowControl/>
            </w:pPr>
            <w:r>
              <w:rPr>
                <w:sz w:val="20"/>
              </w:rPr>
              <w:t>Keyboard-only form and relation selection</w:t>
            </w:r>
          </w:p>
        </w:tc>
        <w:tc>
          <w:tcPr>
            <w:tcW w:type="dxa" w:w="5947"/>
            <w:vAlign w:val="center"/>
            <w:shd w:fill="F5F6F7"/>
          </w:tcPr>
          <w:p>
            <w:pPr>
              <w:pStyle w:val="TableText"/>
              <w:keepNext w:val="0"/>
              <w:widowControl/>
            </w:pPr>
            <w:r>
              <w:rPr>
                <w:sz w:val="20"/>
              </w:rPr>
              <w:t>Focus, labels, errors, dialogs, and selection remain usable</w:t>
            </w:r>
          </w:p>
        </w:tc>
      </w:tr>
      <w:tr>
        <w:trPr>
          <w:cantSplit/>
        </w:trPr>
        <w:tc>
          <w:tcPr>
            <w:tcW w:type="dxa" w:w="720"/>
            <w:vAlign w:val="center"/>
          </w:tcPr>
          <w:p>
            <w:pPr>
              <w:pStyle w:val="TableText"/>
              <w:keepNext w:val="0"/>
              <w:widowControl/>
            </w:pPr>
            <w:r>
              <w:rPr>
                <w:b/>
                <w:sz w:val="20"/>
              </w:rPr>
              <w:t>A33</w:t>
            </w:r>
          </w:p>
        </w:tc>
        <w:tc>
          <w:tcPr>
            <w:tcW w:type="dxa" w:w="3485"/>
            <w:vAlign w:val="center"/>
          </w:tcPr>
          <w:p>
            <w:pPr>
              <w:pStyle w:val="TableText"/>
              <w:keepNext w:val="0"/>
              <w:widowControl/>
            </w:pPr>
            <w:r>
              <w:rPr>
                <w:sz w:val="20"/>
              </w:rPr>
              <w:t>Replace one widget and one detail section</w:t>
            </w:r>
          </w:p>
        </w:tc>
        <w:tc>
          <w:tcPr>
            <w:tcW w:type="dxa" w:w="5947"/>
            <w:vAlign w:val="center"/>
          </w:tcPr>
          <w:p>
            <w:pPr>
              <w:pStyle w:val="TableText"/>
              <w:keepNext w:val="0"/>
              <w:widowControl/>
            </w:pPr>
            <w:r>
              <w:rPr>
                <w:sz w:val="20"/>
              </w:rPr>
              <w:t>Same controller and operation behavior retained</w:t>
            </w:r>
          </w:p>
        </w:tc>
      </w:tr>
      <w:tr>
        <w:trPr>
          <w:cantSplit/>
        </w:trPr>
        <w:tc>
          <w:tcPr>
            <w:tcW w:type="dxa" w:w="720"/>
            <w:vAlign w:val="center"/>
            <w:shd w:fill="F5F6F7"/>
          </w:tcPr>
          <w:p>
            <w:pPr>
              <w:pStyle w:val="TableText"/>
              <w:keepNext w:val="0"/>
              <w:widowControl/>
            </w:pPr>
            <w:r>
              <w:rPr>
                <w:b/>
                <w:sz w:val="20"/>
              </w:rPr>
              <w:t>A34</w:t>
            </w:r>
          </w:p>
        </w:tc>
        <w:tc>
          <w:tcPr>
            <w:tcW w:type="dxa" w:w="3485"/>
            <w:vAlign w:val="center"/>
            <w:shd w:fill="F5F6F7"/>
          </w:tcPr>
          <w:p>
            <w:pPr>
              <w:pStyle w:val="TableText"/>
              <w:keepNext w:val="0"/>
              <w:widowControl/>
            </w:pPr>
            <w:r>
              <w:rPr>
                <w:sz w:val="20"/>
              </w:rPr>
              <w:t>Two unrelated apps use the same bundle</w:t>
            </w:r>
          </w:p>
        </w:tc>
        <w:tc>
          <w:tcPr>
            <w:tcW w:type="dxa" w:w="5947"/>
            <w:vAlign w:val="center"/>
            <w:shd w:fill="F5F6F7"/>
          </w:tcPr>
          <w:p>
            <w:pPr>
              <w:pStyle w:val="TableText"/>
              <w:keepNext w:val="0"/>
              <w:widowControl/>
            </w:pPr>
            <w:r>
              <w:rPr>
                <w:sz w:val="20"/>
              </w:rPr>
              <w:t>No domain-specific renderer conditionals or copied pages</w:t>
            </w:r>
          </w:p>
        </w:tc>
      </w:tr>
      <w:tr>
        <w:trPr>
          <w:cantSplit/>
        </w:trPr>
        <w:tc>
          <w:tcPr>
            <w:tcW w:type="dxa" w:w="720"/>
            <w:vAlign w:val="center"/>
          </w:tcPr>
          <w:p>
            <w:pPr>
              <w:pStyle w:val="TableText"/>
              <w:keepNext w:val="0"/>
              <w:widowControl/>
            </w:pPr>
            <w:r>
              <w:rPr>
                <w:b/>
                <w:sz w:val="20"/>
              </w:rPr>
              <w:t>A35</w:t>
            </w:r>
          </w:p>
        </w:tc>
        <w:tc>
          <w:tcPr>
            <w:tcW w:type="dxa" w:w="3485"/>
            <w:vAlign w:val="center"/>
          </w:tcPr>
          <w:p>
            <w:pPr>
              <w:pStyle w:val="TableText"/>
              <w:keepNext w:val="0"/>
              <w:widowControl/>
            </w:pPr>
            <w:r>
              <w:rPr>
                <w:sz w:val="20"/>
              </w:rPr>
              <w:t>Install packages outside the monorepo</w:t>
            </w:r>
          </w:p>
        </w:tc>
        <w:tc>
          <w:tcPr>
            <w:tcW w:type="dxa" w:w="5947"/>
            <w:vAlign w:val="center"/>
          </w:tcPr>
          <w:p>
            <w:pPr>
              <w:pStyle w:val="TableText"/>
              <w:keepNext w:val="0"/>
              <w:widowControl/>
            </w:pPr>
            <w:r>
              <w:rPr>
                <w:sz w:val="20"/>
              </w:rPr>
              <w:t>Public exports, styles, declarations, and assets resolve</w:t>
            </w:r>
          </w:p>
        </w:tc>
      </w:tr>
      <w:tr>
        <w:trPr>
          <w:cantSplit/>
        </w:trPr>
        <w:tc>
          <w:tcPr>
            <w:tcW w:type="dxa" w:w="720"/>
            <w:vAlign w:val="center"/>
            <w:shd w:fill="F5F6F7"/>
          </w:tcPr>
          <w:p>
            <w:pPr>
              <w:pStyle w:val="TableText"/>
              <w:keepNext w:val="0"/>
              <w:widowControl/>
            </w:pPr>
            <w:r>
              <w:rPr>
                <w:b/>
                <w:sz w:val="20"/>
              </w:rPr>
              <w:t>A36</w:t>
            </w:r>
          </w:p>
        </w:tc>
        <w:tc>
          <w:tcPr>
            <w:tcW w:type="dxa" w:w="3485"/>
            <w:vAlign w:val="center"/>
            <w:shd w:fill="F5F6F7"/>
          </w:tcPr>
          <w:p>
            <w:pPr>
              <w:pStyle w:val="TableText"/>
              <w:keepNext w:val="0"/>
              <w:widowControl/>
            </w:pPr>
            <w:r>
              <w:rPr>
                <w:sz w:val="20"/>
              </w:rPr>
              <w:t>Background result inspected by another tenant</w:t>
            </w:r>
          </w:p>
        </w:tc>
        <w:tc>
          <w:tcPr>
            <w:tcW w:type="dxa" w:w="5947"/>
            <w:vAlign w:val="center"/>
            <w:shd w:fill="F5F6F7"/>
          </w:tcPr>
          <w:p>
            <w:pPr>
              <w:pStyle w:val="TableText"/>
              <w:keepNext w:val="0"/>
              <w:widowControl/>
            </w:pPr>
            <w:r>
              <w:rPr>
                <w:sz w:val="20"/>
              </w:rPr>
              <w:t>Status and result access refused or concealed</w:t>
            </w:r>
          </w:p>
        </w:tc>
      </w:tr>
      <w:tr>
        <w:trPr>
          <w:cantSplit/>
        </w:trPr>
        <w:tc>
          <w:tcPr>
            <w:tcW w:type="dxa" w:w="720"/>
            <w:vAlign w:val="center"/>
          </w:tcPr>
          <w:p>
            <w:pPr>
              <w:pStyle w:val="TableText"/>
              <w:keepNext w:val="0"/>
              <w:widowControl/>
            </w:pPr>
            <w:r>
              <w:rPr>
                <w:b/>
                <w:sz w:val="20"/>
              </w:rPr>
              <w:t>A37</w:t>
            </w:r>
          </w:p>
        </w:tc>
        <w:tc>
          <w:tcPr>
            <w:tcW w:type="dxa" w:w="3485"/>
            <w:vAlign w:val="center"/>
          </w:tcPr>
          <w:p>
            <w:pPr>
              <w:pStyle w:val="TableText"/>
              <w:keepNext w:val="0"/>
              <w:widowControl/>
            </w:pPr>
            <w:r>
              <w:rPr>
                <w:sz w:val="20"/>
              </w:rPr>
              <w:t>Compatible presentation override survives upgrade</w:t>
            </w:r>
          </w:p>
        </w:tc>
        <w:tc>
          <w:tcPr>
            <w:tcW w:type="dxa" w:w="5947"/>
            <w:vAlign w:val="center"/>
          </w:tcPr>
          <w:p>
            <w:pPr>
              <w:pStyle w:val="TableText"/>
              <w:keepNext w:val="0"/>
              <w:widowControl/>
            </w:pPr>
            <w:r>
              <w:rPr>
                <w:sz w:val="20"/>
              </w:rPr>
              <w:t>Stable IDs preserve intended customization</w:t>
            </w:r>
          </w:p>
        </w:tc>
      </w:tr>
      <w:tr>
        <w:trPr>
          <w:cantSplit/>
        </w:trPr>
        <w:tc>
          <w:tcPr>
            <w:tcW w:type="dxa" w:w="720"/>
            <w:vAlign w:val="center"/>
            <w:shd w:fill="F5F6F7"/>
          </w:tcPr>
          <w:p>
            <w:pPr>
              <w:pStyle w:val="TableText"/>
              <w:keepNext w:val="0"/>
              <w:widowControl/>
            </w:pPr>
            <w:r>
              <w:rPr>
                <w:b/>
                <w:sz w:val="20"/>
              </w:rPr>
              <w:t>A38</w:t>
            </w:r>
          </w:p>
        </w:tc>
        <w:tc>
          <w:tcPr>
            <w:tcW w:type="dxa" w:w="3485"/>
            <w:vAlign w:val="center"/>
            <w:shd w:fill="F5F6F7"/>
          </w:tcPr>
          <w:p>
            <w:pPr>
              <w:pStyle w:val="TableText"/>
              <w:keepNext w:val="0"/>
              <w:widowControl/>
            </w:pPr>
            <w:r>
              <w:rPr>
                <w:sz w:val="20"/>
              </w:rPr>
              <w:t>Override target is removed</w:t>
            </w:r>
          </w:p>
        </w:tc>
        <w:tc>
          <w:tcPr>
            <w:tcW w:type="dxa" w:w="5947"/>
            <w:vAlign w:val="center"/>
            <w:shd w:fill="F5F6F7"/>
          </w:tcPr>
          <w:p>
            <w:pPr>
              <w:pStyle w:val="TableText"/>
              <w:keepNext w:val="0"/>
              <w:widowControl/>
            </w:pPr>
            <w:r>
              <w:rPr>
                <w:sz w:val="20"/>
              </w:rPr>
              <w:t>Explicit validation conflict; no silent loss</w:t>
            </w:r>
          </w:p>
        </w:tc>
      </w:tr>
    </w:tbl>
    <w:p>
      <w:pPr>
        <w:spacing w:after="40" w:before="0" w:line="40" w:lineRule="exact"/>
      </w:pPr>
      <w:r>
        <w:rPr>
          <w:sz w:val="4"/>
        </w:rPr>
      </w:r>
    </w:p>
    <w:p>
      <w:pPr>
        <w:pStyle w:val="Heading2"/>
      </w:pPr>
      <w:r>
        <w:t>Additional boundary cases</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20"/>
        <w:gridCol w:w="3485"/>
        <w:gridCol w:w="5947"/>
      </w:tblGrid>
      <w:tr>
        <w:trPr>
          <w:cantSplit/>
          <w:tblHeader/>
        </w:trPr>
        <w:tc>
          <w:tcPr>
            <w:tcW w:type="dxa" w:w="720"/>
            <w:vAlign w:val="center"/>
            <w:shd w:fill="354653"/>
          </w:tcPr>
          <w:p>
            <w:pPr>
              <w:pStyle w:val="TableText"/>
              <w:keepNext/>
              <w:widowControl/>
            </w:pPr>
            <w:r>
              <w:rPr>
                <w:b/>
                <w:color w:val="FFFFFF"/>
                <w:sz w:val="20"/>
              </w:rPr>
              <w:t>ID</w:t>
            </w:r>
          </w:p>
        </w:tc>
        <w:tc>
          <w:tcPr>
            <w:tcW w:type="dxa" w:w="3485"/>
            <w:vAlign w:val="center"/>
            <w:shd w:fill="354653"/>
          </w:tcPr>
          <w:p>
            <w:pPr>
              <w:pStyle w:val="TableText"/>
              <w:keepNext/>
              <w:widowControl/>
            </w:pPr>
            <w:r>
              <w:rPr>
                <w:b/>
                <w:color w:val="FFFFFF"/>
                <w:sz w:val="20"/>
              </w:rPr>
              <w:t>Scenario</w:t>
            </w:r>
          </w:p>
        </w:tc>
        <w:tc>
          <w:tcPr>
            <w:tcW w:type="dxa" w:w="5947"/>
            <w:vAlign w:val="center"/>
            <w:shd w:fill="354653"/>
          </w:tcPr>
          <w:p>
            <w:pPr>
              <w:pStyle w:val="TableText"/>
              <w:keepNext/>
              <w:widowControl/>
            </w:pPr>
            <w:r>
              <w:rPr>
                <w:b/>
                <w:color w:val="FFFFFF"/>
                <w:sz w:val="20"/>
              </w:rPr>
              <w:t>Required result</w:t>
            </w:r>
          </w:p>
        </w:tc>
      </w:tr>
      <w:tr>
        <w:trPr>
          <w:cantSplit/>
        </w:trPr>
        <w:tc>
          <w:tcPr>
            <w:tcW w:type="dxa" w:w="720"/>
            <w:vAlign w:val="center"/>
          </w:tcPr>
          <w:p>
            <w:pPr>
              <w:pStyle w:val="TableText"/>
              <w:keepNext w:val="0"/>
              <w:widowControl/>
            </w:pPr>
            <w:r>
              <w:rPr>
                <w:b/>
                <w:sz w:val="20"/>
              </w:rPr>
              <w:t>A39</w:t>
            </w:r>
          </w:p>
        </w:tc>
        <w:tc>
          <w:tcPr>
            <w:tcW w:type="dxa" w:w="3485"/>
            <w:vAlign w:val="center"/>
          </w:tcPr>
          <w:p>
            <w:pPr>
              <w:pStyle w:val="TableText"/>
              <w:keepNext w:val="0"/>
              <w:widowControl/>
            </w:pPr>
            <w:r>
              <w:rPr>
                <w:sz w:val="20"/>
              </w:rPr>
              <w:t>Legacy inputless action has no form descriptor</w:t>
            </w:r>
          </w:p>
        </w:tc>
        <w:tc>
          <w:tcPr>
            <w:tcW w:type="dxa" w:w="5947"/>
            <w:vAlign w:val="center"/>
          </w:tcPr>
          <w:p>
            <w:pPr>
              <w:pStyle w:val="TableText"/>
              <w:keepNext w:val="0"/>
              <w:widowControl/>
            </w:pPr>
            <w:r>
              <w:rPr>
                <w:sz w:val="20"/>
              </w:rPr>
              <w:t>Checked adapter invokes it through the shared controller without inventing revision semantics</w:t>
            </w:r>
          </w:p>
        </w:tc>
      </w:tr>
      <w:tr>
        <w:trPr>
          <w:cantSplit/>
        </w:trPr>
        <w:tc>
          <w:tcPr>
            <w:tcW w:type="dxa" w:w="720"/>
            <w:vAlign w:val="center"/>
            <w:shd w:fill="F5F6F7"/>
          </w:tcPr>
          <w:p>
            <w:pPr>
              <w:pStyle w:val="TableText"/>
              <w:keepNext w:val="0"/>
              <w:widowControl/>
            </w:pPr>
            <w:r>
              <w:rPr>
                <w:b/>
                <w:sz w:val="20"/>
              </w:rPr>
              <w:t>A40</w:t>
            </w:r>
          </w:p>
        </w:tc>
        <w:tc>
          <w:tcPr>
            <w:tcW w:type="dxa" w:w="3485"/>
            <w:vAlign w:val="center"/>
            <w:shd w:fill="F5F6F7"/>
          </w:tcPr>
          <w:p>
            <w:pPr>
              <w:pStyle w:val="TableText"/>
              <w:keepNext w:val="0"/>
              <w:widowControl/>
            </w:pPr>
            <w:r>
              <w:rPr>
                <w:sz w:val="20"/>
              </w:rPr>
              <w:t>Concurrent and repeated execute calls reuse one handle</w:t>
            </w:r>
          </w:p>
        </w:tc>
        <w:tc>
          <w:tcPr>
            <w:tcW w:type="dxa" w:w="5947"/>
            <w:vAlign w:val="center"/>
            <w:shd w:fill="F5F6F7"/>
          </w:tcPr>
          <w:p>
            <w:pPr>
              <w:pStyle w:val="TableText"/>
              <w:keepNext w:val="0"/>
              <w:widowControl/>
            </w:pPr>
            <w:r>
              <w:rPr>
                <w:sz w:val="20"/>
              </w:rPr>
              <w:t>One network dispatch, including with idempotency disabled</w:t>
            </w:r>
          </w:p>
        </w:tc>
      </w:tr>
      <w:tr>
        <w:trPr>
          <w:cantSplit/>
        </w:trPr>
        <w:tc>
          <w:tcPr>
            <w:tcW w:type="dxa" w:w="720"/>
            <w:vAlign w:val="center"/>
          </w:tcPr>
          <w:p>
            <w:pPr>
              <w:pStyle w:val="TableText"/>
              <w:keepNext w:val="0"/>
              <w:widowControl/>
            </w:pPr>
            <w:r>
              <w:rPr>
                <w:b/>
                <w:sz w:val="20"/>
              </w:rPr>
              <w:t>A41</w:t>
            </w:r>
          </w:p>
        </w:tc>
        <w:tc>
          <w:tcPr>
            <w:tcW w:type="dxa" w:w="3485"/>
            <w:vAlign w:val="center"/>
          </w:tcPr>
          <w:p>
            <w:pPr>
              <w:pStyle w:val="TableText"/>
              <w:keepNext w:val="0"/>
              <w:widowControl/>
            </w:pPr>
            <w:r>
              <w:rPr>
                <w:sz w:val="20"/>
              </w:rPr>
              <w:t>Projection uses case_id and has no actions</w:t>
            </w:r>
          </w:p>
        </w:tc>
        <w:tc>
          <w:tcPr>
            <w:tcW w:type="dxa" w:w="5947"/>
            <w:vAlign w:val="center"/>
          </w:tcPr>
          <w:p>
            <w:pPr>
              <w:pStyle w:val="TableText"/>
              <w:keepNext w:val="0"/>
              <w:widowControl/>
            </w:pPr>
            <w:r>
              <w:rPr>
                <w:sz w:val="20"/>
              </w:rPr>
              <w:t>Stable row identity and correct record links, or explicit assembly failure</w:t>
            </w:r>
          </w:p>
        </w:tc>
      </w:tr>
      <w:tr>
        <w:trPr>
          <w:cantSplit/>
        </w:trPr>
        <w:tc>
          <w:tcPr>
            <w:tcW w:type="dxa" w:w="720"/>
            <w:vAlign w:val="center"/>
            <w:shd w:fill="F5F6F7"/>
          </w:tcPr>
          <w:p>
            <w:pPr>
              <w:pStyle w:val="TableText"/>
              <w:keepNext w:val="0"/>
              <w:widowControl/>
            </w:pPr>
            <w:r>
              <w:rPr>
                <w:b/>
                <w:sz w:val="20"/>
              </w:rPr>
              <w:t>A42</w:t>
            </w:r>
          </w:p>
        </w:tc>
        <w:tc>
          <w:tcPr>
            <w:tcW w:type="dxa" w:w="3485"/>
            <w:vAlign w:val="center"/>
            <w:shd w:fill="F5F6F7"/>
          </w:tcPr>
          <w:p>
            <w:pPr>
              <w:pStyle w:val="TableText"/>
              <w:keepNext w:val="0"/>
              <w:widowControl/>
            </w:pPr>
            <w:r>
              <w:rPr>
                <w:sz w:val="20"/>
              </w:rPr>
              <w:t>Same actor and tenant refresh permissions</w:t>
            </w:r>
          </w:p>
        </w:tc>
        <w:tc>
          <w:tcPr>
            <w:tcW w:type="dxa" w:w="5947"/>
            <w:vAlign w:val="center"/>
            <w:shd w:fill="F5F6F7"/>
          </w:tcPr>
          <w:p>
            <w:pPr>
              <w:pStyle w:val="TableText"/>
              <w:keepNext w:val="0"/>
              <w:widowControl/>
            </w:pPr>
            <w:r>
              <w:rPr>
                <w:sz w:val="20"/>
              </w:rPr>
              <w:t>Prior protected projection and relation labels are invalidated; late responses discarded</w:t>
            </w:r>
          </w:p>
        </w:tc>
      </w:tr>
      <w:tr>
        <w:trPr>
          <w:cantSplit/>
        </w:trPr>
        <w:tc>
          <w:tcPr>
            <w:tcW w:type="dxa" w:w="720"/>
            <w:vAlign w:val="center"/>
          </w:tcPr>
          <w:p>
            <w:pPr>
              <w:pStyle w:val="TableText"/>
              <w:keepNext w:val="0"/>
              <w:widowControl/>
            </w:pPr>
            <w:r>
              <w:rPr>
                <w:b/>
                <w:sz w:val="20"/>
              </w:rPr>
              <w:t>A43</w:t>
            </w:r>
          </w:p>
        </w:tc>
        <w:tc>
          <w:tcPr>
            <w:tcW w:type="dxa" w:w="3485"/>
            <w:vAlign w:val="center"/>
          </w:tcPr>
          <w:p>
            <w:pPr>
              <w:pStyle w:val="TableText"/>
              <w:keepNext w:val="0"/>
              <w:widowControl/>
            </w:pPr>
            <w:r>
              <w:rPr>
                <w:sz w:val="20"/>
              </w:rPr>
              <w:t>Cursor reused across tenant, principal, query or projection</w:t>
            </w:r>
          </w:p>
        </w:tc>
        <w:tc>
          <w:tcPr>
            <w:tcW w:type="dxa" w:w="5947"/>
            <w:vAlign w:val="center"/>
          </w:tcPr>
          <w:p>
            <w:pPr>
              <w:pStyle w:val="TableText"/>
              <w:keepNext w:val="0"/>
              <w:widowControl/>
            </w:pPr>
            <w:r>
              <w:rPr>
                <w:sz w:val="20"/>
              </w:rPr>
              <w:t>Rejected before data disclosure; hidden sort values absent from readable cursor bytes</w:t>
            </w:r>
          </w:p>
        </w:tc>
      </w:tr>
      <w:tr>
        <w:trPr>
          <w:cantSplit/>
        </w:trPr>
        <w:tc>
          <w:tcPr>
            <w:tcW w:type="dxa" w:w="720"/>
            <w:vAlign w:val="center"/>
            <w:shd w:fill="F5F6F7"/>
          </w:tcPr>
          <w:p>
            <w:pPr>
              <w:pStyle w:val="TableText"/>
              <w:keepNext w:val="0"/>
              <w:widowControl/>
            </w:pPr>
            <w:r>
              <w:rPr>
                <w:b/>
                <w:sz w:val="20"/>
              </w:rPr>
              <w:t>A44</w:t>
            </w:r>
          </w:p>
        </w:tc>
        <w:tc>
          <w:tcPr>
            <w:tcW w:type="dxa" w:w="3485"/>
            <w:vAlign w:val="center"/>
            <w:shd w:fill="F5F6F7"/>
          </w:tcPr>
          <w:p>
            <w:pPr>
              <w:pStyle w:val="TableText"/>
              <w:keepNext w:val="0"/>
              <w:widowControl/>
            </w:pPr>
            <w:r>
              <w:rPr>
                <w:sz w:val="20"/>
              </w:rPr>
              <w:t>Operation version expectation differs over HTTP or direct invocation</w:t>
            </w:r>
          </w:p>
        </w:tc>
        <w:tc>
          <w:tcPr>
            <w:tcW w:type="dxa" w:w="5947"/>
            <w:vAlign w:val="center"/>
            <w:shd w:fill="F5F6F7"/>
          </w:tcPr>
          <w:p>
            <w:pPr>
              <w:pStyle w:val="TableText"/>
              <w:keepNext w:val="0"/>
              <w:widowControl/>
            </w:pPr>
            <w:r>
              <w:rPr>
                <w:sz w:val="20"/>
              </w:rPr>
              <w:t>Equivalent no-effect refusal before receipt selection or execution</w:t>
            </w:r>
          </w:p>
        </w:tc>
      </w:tr>
      <w:tr>
        <w:trPr>
          <w:cantSplit/>
        </w:trPr>
        <w:tc>
          <w:tcPr>
            <w:tcW w:type="dxa" w:w="720"/>
            <w:vAlign w:val="center"/>
          </w:tcPr>
          <w:p>
            <w:pPr>
              <w:pStyle w:val="TableText"/>
              <w:keepNext w:val="0"/>
              <w:widowControl/>
            </w:pPr>
            <w:r>
              <w:rPr>
                <w:b/>
                <w:sz w:val="20"/>
              </w:rPr>
              <w:t>A45</w:t>
            </w:r>
          </w:p>
        </w:tc>
        <w:tc>
          <w:tcPr>
            <w:tcW w:type="dxa" w:w="3485"/>
            <w:vAlign w:val="center"/>
          </w:tcPr>
          <w:p>
            <w:pPr>
              <w:pStyle w:val="TableText"/>
              <w:keepNext w:val="0"/>
              <w:widowControl/>
            </w:pPr>
            <w:r>
              <w:rPr>
                <w:sz w:val="20"/>
              </w:rPr>
              <w:t>View and action descriptors come from incompatible deployment nodes</w:t>
            </w:r>
          </w:p>
        </w:tc>
        <w:tc>
          <w:tcPr>
            <w:tcW w:type="dxa" w:w="5947"/>
            <w:vAlign w:val="center"/>
          </w:tcPr>
          <w:p>
            <w:pPr>
              <w:pStyle w:val="TableText"/>
              <w:keepNext w:val="0"/>
              <w:widowControl/>
            </w:pPr>
            <w:r>
              <w:rPr>
                <w:sz w:val="20"/>
              </w:rPr>
              <w:t>Referenced revision mismatch triggers refresh or refusal</w:t>
            </w:r>
          </w:p>
        </w:tc>
      </w:tr>
      <w:tr>
        <w:trPr>
          <w:cantSplit/>
        </w:trPr>
        <w:tc>
          <w:tcPr>
            <w:tcW w:type="dxa" w:w="720"/>
            <w:vAlign w:val="center"/>
            <w:shd w:fill="F5F6F7"/>
          </w:tcPr>
          <w:p>
            <w:pPr>
              <w:pStyle w:val="TableText"/>
              <w:keepNext w:val="0"/>
              <w:widowControl/>
            </w:pPr>
            <w:r>
              <w:rPr>
                <w:b/>
                <w:sz w:val="20"/>
              </w:rPr>
              <w:t>A46</w:t>
            </w:r>
          </w:p>
        </w:tc>
        <w:tc>
          <w:tcPr>
            <w:tcW w:type="dxa" w:w="3485"/>
            <w:vAlign w:val="center"/>
            <w:shd w:fill="F5F6F7"/>
          </w:tcPr>
          <w:p>
            <w:pPr>
              <w:pStyle w:val="TableText"/>
              <w:keepNext w:val="0"/>
              <w:widowControl/>
            </w:pPr>
            <w:r>
              <w:rPr>
                <w:sz w:val="20"/>
              </w:rPr>
              <w:t>Availability describes another record or observed version</w:t>
            </w:r>
          </w:p>
        </w:tc>
        <w:tc>
          <w:tcPr>
            <w:tcW w:type="dxa" w:w="5947"/>
            <w:vAlign w:val="center"/>
            <w:shd w:fill="F5F6F7"/>
          </w:tcPr>
          <w:p>
            <w:pPr>
              <w:pStyle w:val="TableText"/>
              <w:keepNext w:val="0"/>
              <w:widowControl/>
            </w:pPr>
            <w:r>
              <w:rPr>
                <w:sz w:val="20"/>
              </w:rPr>
              <w:t>Hints discarded and refreshed; command authority remains independent</w:t>
            </w:r>
          </w:p>
        </w:tc>
      </w:tr>
      <w:tr>
        <w:trPr>
          <w:cantSplit/>
        </w:trPr>
        <w:tc>
          <w:tcPr>
            <w:tcW w:type="dxa" w:w="720"/>
            <w:vAlign w:val="center"/>
          </w:tcPr>
          <w:p>
            <w:pPr>
              <w:pStyle w:val="TableText"/>
              <w:keepNext w:val="0"/>
              <w:widowControl/>
            </w:pPr>
            <w:r>
              <w:rPr>
                <w:b/>
                <w:sz w:val="20"/>
              </w:rPr>
              <w:t>A47</w:t>
            </w:r>
          </w:p>
        </w:tc>
        <w:tc>
          <w:tcPr>
            <w:tcW w:type="dxa" w:w="3485"/>
            <w:vAlign w:val="center"/>
          </w:tcPr>
          <w:p>
            <w:pPr>
              <w:pStyle w:val="TableText"/>
              <w:keepNext w:val="0"/>
              <w:widowControl/>
            </w:pPr>
            <w:r>
              <w:rPr>
                <w:sz w:val="20"/>
              </w:rPr>
              <w:t>Old renderer sees new relation, layout or precondition features</w:t>
            </w:r>
          </w:p>
        </w:tc>
        <w:tc>
          <w:tcPr>
            <w:tcW w:type="dxa" w:w="5947"/>
            <w:vAlign w:val="center"/>
          </w:tcPr>
          <w:p>
            <w:pPr>
              <w:pStyle w:val="TableText"/>
              <w:keepNext w:val="0"/>
              <w:widowControl/>
            </w:pPr>
            <w:r>
              <w:rPr>
                <w:sz w:val="20"/>
              </w:rPr>
              <w:t>Required feature prevents an incomplete editor or unsafe dispatch</w:t>
            </w:r>
          </w:p>
        </w:tc>
      </w:tr>
      <w:tr>
        <w:trPr>
          <w:cantSplit/>
        </w:trPr>
        <w:tc>
          <w:tcPr>
            <w:tcW w:type="dxa" w:w="720"/>
            <w:vAlign w:val="center"/>
            <w:shd w:fill="F5F6F7"/>
          </w:tcPr>
          <w:p>
            <w:pPr>
              <w:pStyle w:val="TableText"/>
              <w:keepNext w:val="0"/>
              <w:widowControl/>
            </w:pPr>
            <w:r>
              <w:rPr>
                <w:b/>
                <w:sz w:val="20"/>
              </w:rPr>
              <w:t>A48</w:t>
            </w:r>
          </w:p>
        </w:tc>
        <w:tc>
          <w:tcPr>
            <w:tcW w:type="dxa" w:w="3485"/>
            <w:vAlign w:val="center"/>
            <w:shd w:fill="F5F6F7"/>
          </w:tcPr>
          <w:p>
            <w:pPr>
              <w:pStyle w:val="TableText"/>
              <w:keepNext w:val="0"/>
              <w:widowControl/>
            </w:pPr>
            <w:r>
              <w:rPr>
                <w:sz w:val="20"/>
              </w:rPr>
              <w:t>Production host starts signed out, then finds zero, one or many eligible tenants</w:t>
            </w:r>
          </w:p>
        </w:tc>
        <w:tc>
          <w:tcPr>
            <w:tcW w:type="dxa" w:w="5947"/>
            <w:vAlign w:val="center"/>
            <w:shd w:fill="F5F6F7"/>
          </w:tcPr>
          <w:p>
            <w:pPr>
              <w:pStyle w:val="TableText"/>
              <w:keepNext w:val="0"/>
              <w:widowControl/>
            </w:pPr>
            <w:r>
              <w:rPr>
                <w:sz w:val="20"/>
              </w:rPr>
              <w:t>Existing sign-in integration and tenant selection reach the correct no-access or workspace state</w:t>
            </w:r>
          </w:p>
        </w:tc>
      </w:tr>
      <w:tr>
        <w:trPr>
          <w:cantSplit/>
        </w:trPr>
        <w:tc>
          <w:tcPr>
            <w:tcW w:type="dxa" w:w="720"/>
            <w:vAlign w:val="center"/>
          </w:tcPr>
          <w:p>
            <w:pPr>
              <w:pStyle w:val="TableText"/>
              <w:keepNext w:val="0"/>
              <w:widowControl/>
            </w:pPr>
            <w:r>
              <w:rPr>
                <w:b/>
                <w:sz w:val="20"/>
              </w:rPr>
              <w:t>A49</w:t>
            </w:r>
          </w:p>
        </w:tc>
        <w:tc>
          <w:tcPr>
            <w:tcW w:type="dxa" w:w="3485"/>
            <w:vAlign w:val="center"/>
          </w:tcPr>
          <w:p>
            <w:pPr>
              <w:pStyle w:val="TableText"/>
              <w:keepNext w:val="0"/>
              <w:widowControl/>
            </w:pPr>
            <w:r>
              <w:rPr>
                <w:sz w:val="20"/>
              </w:rPr>
              <w:t>Session expires during an edit or selected tenant is revoked</w:t>
            </w:r>
          </w:p>
        </w:tc>
        <w:tc>
          <w:tcPr>
            <w:tcW w:type="dxa" w:w="5947"/>
            <w:vAlign w:val="center"/>
          </w:tcPr>
          <w:p>
            <w:pPr>
              <w:pStyle w:val="TableText"/>
              <w:keepNext w:val="0"/>
              <w:widowControl/>
            </w:pPr>
            <w:r>
              <w:rPr>
                <w:sz w:val="20"/>
              </w:rPr>
              <w:t>Dispatch suspended; protected state cleared or quarantined as defined; no identity fallback</w:t>
            </w:r>
          </w:p>
        </w:tc>
      </w:tr>
      <w:tr>
        <w:trPr>
          <w:cantSplit/>
        </w:trPr>
        <w:tc>
          <w:tcPr>
            <w:tcW w:type="dxa" w:w="720"/>
            <w:vAlign w:val="center"/>
            <w:shd w:fill="F5F6F7"/>
          </w:tcPr>
          <w:p>
            <w:pPr>
              <w:pStyle w:val="TableText"/>
              <w:keepNext w:val="0"/>
              <w:widowControl/>
            </w:pPr>
            <w:r>
              <w:rPr>
                <w:b/>
                <w:sz w:val="20"/>
              </w:rPr>
              <w:t>A50</w:t>
            </w:r>
          </w:p>
        </w:tc>
        <w:tc>
          <w:tcPr>
            <w:tcW w:type="dxa" w:w="3485"/>
            <w:vAlign w:val="center"/>
            <w:shd w:fill="F5F6F7"/>
          </w:tcPr>
          <w:p>
            <w:pPr>
              <w:pStyle w:val="TableText"/>
              <w:keepNext w:val="0"/>
              <w:widowControl/>
            </w:pPr>
            <w:r>
              <w:rPr>
                <w:sz w:val="20"/>
              </w:rPr>
              <w:t>Valid session and tenant have no published views</w:t>
            </w:r>
          </w:p>
        </w:tc>
        <w:tc>
          <w:tcPr>
            <w:tcW w:type="dxa" w:w="5947"/>
            <w:vAlign w:val="center"/>
            <w:shd w:fill="F5F6F7"/>
          </w:tcPr>
          <w:p>
            <w:pPr>
              <w:pStyle w:val="TableText"/>
              <w:keepNext w:val="0"/>
              <w:widowControl/>
            </w:pPr>
            <w:r>
              <w:rPr>
                <w:sz w:val="20"/>
              </w:rPr>
              <w:t>Clear empty workspace state without metadata or permission leakage</w:t>
            </w:r>
          </w:p>
        </w:tc>
      </w:tr>
      <w:tr>
        <w:trPr>
          <w:cantSplit/>
        </w:trPr>
        <w:tc>
          <w:tcPr>
            <w:tcW w:type="dxa" w:w="720"/>
            <w:vAlign w:val="center"/>
          </w:tcPr>
          <w:p>
            <w:pPr>
              <w:pStyle w:val="TableText"/>
              <w:keepNext w:val="0"/>
              <w:widowControl/>
            </w:pPr>
            <w:r>
              <w:rPr>
                <w:b/>
                <w:sz w:val="20"/>
              </w:rPr>
              <w:t>A51</w:t>
            </w:r>
          </w:p>
        </w:tc>
        <w:tc>
          <w:tcPr>
            <w:tcW w:type="dxa" w:w="3485"/>
            <w:vAlign w:val="center"/>
          </w:tcPr>
          <w:p>
            <w:pPr>
              <w:pStyle w:val="TableText"/>
              <w:keepNext w:val="0"/>
              <w:widowControl/>
            </w:pPr>
            <w:r>
              <w:rPr>
                <w:sz w:val="20"/>
              </w:rPr>
              <w:t>Lost action response has no reconciliation binding; user leaves and returns</w:t>
            </w:r>
          </w:p>
        </w:tc>
        <w:tc>
          <w:tcPr>
            <w:tcW w:type="dxa" w:w="5947"/>
            <w:vAlign w:val="center"/>
          </w:tcPr>
          <w:p>
            <w:pPr>
              <w:pStyle w:val="TableText"/>
              <w:keepNext w:val="0"/>
              <w:widowControl/>
            </w:pPr>
            <w:r>
              <w:rPr>
                <w:sz w:val="20"/>
              </w:rPr>
              <w:t>Runtime activity retains the unresolved attempt; remount reattaches and sends no duplicate</w:t>
            </w:r>
          </w:p>
        </w:tc>
      </w:tr>
      <w:tr>
        <w:trPr>
          <w:cantSplit/>
        </w:trPr>
        <w:tc>
          <w:tcPr>
            <w:tcW w:type="dxa" w:w="720"/>
            <w:vAlign w:val="center"/>
            <w:shd w:fill="F5F6F7"/>
          </w:tcPr>
          <w:p>
            <w:pPr>
              <w:pStyle w:val="TableText"/>
              <w:keepNext w:val="0"/>
              <w:widowControl/>
            </w:pPr>
            <w:r>
              <w:rPr>
                <w:b/>
                <w:sz w:val="20"/>
              </w:rPr>
              <w:t>A52</w:t>
            </w:r>
          </w:p>
        </w:tc>
        <w:tc>
          <w:tcPr>
            <w:tcW w:type="dxa" w:w="3485"/>
            <w:vAlign w:val="center"/>
            <w:shd w:fill="F5F6F7"/>
          </w:tcPr>
          <w:p>
            <w:pPr>
              <w:pStyle w:val="TableText"/>
              <w:keepNext w:val="0"/>
              <w:widowControl/>
            </w:pPr>
            <w:r>
              <w:rPr>
                <w:sz w:val="20"/>
              </w:rPr>
              <w:t>Minimum Rust or intent admin declaration uses no custom view document</w:t>
            </w:r>
          </w:p>
        </w:tc>
        <w:tc>
          <w:tcPr>
            <w:tcW w:type="dxa" w:w="5947"/>
            <w:vAlign w:val="center"/>
            <w:shd w:fill="F5F6F7"/>
          </w:tcPr>
          <w:p>
            <w:pPr>
              <w:pStyle w:val="TableText"/>
              <w:keepNext w:val="0"/>
              <w:widowControl/>
            </w:pPr>
            <w:r>
              <w:rPr>
                <w:sz w:val="20"/>
              </w:rPr>
              <w:t>Generic host supplies navigation, list, record and declared forms without resource-specific React</w:t>
            </w:r>
          </w:p>
        </w:tc>
      </w:tr>
    </w:tbl>
    <w:p>
      <w:pPr>
        <w:spacing w:after="40" w:before="0" w:line="40" w:lineRule="exact"/>
      </w:pPr>
      <w:r>
        <w:rPr>
          <w:sz w:val="4"/>
        </w:rPr>
      </w:r>
    </w:p>
    <w:p>
      <w:r>
        <w:t>Before enabling a future receipt-only recovery mode, additionally test missing, expired, concurrently expiring, and disclosure-refused receipts. Every such case must return without entering the command execution branch. These are follow-on gates, not claims that v1 provides a generic receipt lookup.</w:t>
      </w:r>
    </w:p>
    <w:p>
      <w:pPr>
        <w:pStyle w:val="Heading2"/>
      </w:pPr>
      <w:r>
        <w:t>Deployment compatibility matrix</w:t>
      </w:r>
    </w:p>
    <w:tbl>
      <w:tblPr>
        <w:tblW w:type="dxa" w:w="1015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3917"/>
        <w:gridCol w:w="6235"/>
      </w:tblGrid>
      <w:tr>
        <w:trPr>
          <w:cantSplit/>
          <w:tblHeader/>
        </w:trPr>
        <w:tc>
          <w:tcPr>
            <w:tcW w:type="dxa" w:w="3917"/>
            <w:vAlign w:val="center"/>
            <w:shd w:fill="354653"/>
          </w:tcPr>
          <w:p>
            <w:pPr>
              <w:pStyle w:val="TableText"/>
              <w:keepNext/>
              <w:widowControl/>
            </w:pPr>
            <w:r>
              <w:rPr>
                <w:b/>
                <w:color w:val="FFFFFF"/>
                <w:sz w:val="20"/>
              </w:rPr>
              <w:t>Frontend and backend pairing</w:t>
            </w:r>
          </w:p>
        </w:tc>
        <w:tc>
          <w:tcPr>
            <w:tcW w:type="dxa" w:w="6235"/>
            <w:vAlign w:val="center"/>
            <w:shd w:fill="354653"/>
          </w:tcPr>
          <w:p>
            <w:pPr>
              <w:pStyle w:val="TableText"/>
              <w:keepNext/>
              <w:widowControl/>
            </w:pPr>
            <w:r>
              <w:rPr>
                <w:b/>
                <w:color w:val="FFFFFF"/>
                <w:sz w:val="20"/>
              </w:rPr>
              <w:t>Required behavior</w:t>
            </w:r>
          </w:p>
        </w:tc>
      </w:tr>
      <w:tr>
        <w:trPr>
          <w:cantSplit/>
        </w:trPr>
        <w:tc>
          <w:tcPr>
            <w:tcW w:type="dxa" w:w="3917"/>
            <w:vAlign w:val="center"/>
          </w:tcPr>
          <w:p>
            <w:pPr>
              <w:pStyle w:val="TableText"/>
              <w:keepNext w:val="0"/>
              <w:widowControl/>
            </w:pPr>
            <w:r>
              <w:rPr>
                <w:sz w:val="20"/>
              </w:rPr>
              <w:t>Old renderer with unchanged legacy backend</w:t>
            </w:r>
          </w:p>
        </w:tc>
        <w:tc>
          <w:tcPr>
            <w:tcW w:type="dxa" w:w="6235"/>
            <w:vAlign w:val="center"/>
          </w:tcPr>
          <w:p>
            <w:pPr>
              <w:pStyle w:val="TableText"/>
              <w:keepNext w:val="0"/>
              <w:widowControl/>
            </w:pPr>
            <w:r>
              <w:rPr>
                <w:sz w:val="20"/>
              </w:rPr>
              <w:t>Existing behavior unchanged</w:t>
            </w:r>
          </w:p>
        </w:tc>
      </w:tr>
      <w:tr>
        <w:trPr>
          <w:cantSplit/>
        </w:trPr>
        <w:tc>
          <w:tcPr>
            <w:tcW w:type="dxa" w:w="3917"/>
            <w:vAlign w:val="center"/>
            <w:shd w:fill="F5F6F7"/>
          </w:tcPr>
          <w:p>
            <w:pPr>
              <w:pStyle w:val="TableText"/>
              <w:keepNext w:val="0"/>
              <w:widowControl/>
            </w:pPr>
            <w:r>
              <w:rPr>
                <w:sz w:val="20"/>
              </w:rPr>
              <w:t>Old renderer with new optional view hints</w:t>
            </w:r>
          </w:p>
        </w:tc>
        <w:tc>
          <w:tcPr>
            <w:tcW w:type="dxa" w:w="6235"/>
            <w:vAlign w:val="center"/>
            <w:shd w:fill="F5F6F7"/>
          </w:tcPr>
          <w:p>
            <w:pPr>
              <w:pStyle w:val="TableText"/>
              <w:keepNext w:val="0"/>
              <w:widowControl/>
            </w:pPr>
            <w:r>
              <w:rPr>
                <w:sz w:val="20"/>
              </w:rPr>
              <w:t>Safe ignored hints where the protocol permits them</w:t>
            </w:r>
          </w:p>
        </w:tc>
      </w:tr>
      <w:tr>
        <w:trPr>
          <w:cantSplit/>
        </w:trPr>
        <w:tc>
          <w:tcPr>
            <w:tcW w:type="dxa" w:w="3917"/>
            <w:vAlign w:val="center"/>
          </w:tcPr>
          <w:p>
            <w:pPr>
              <w:pStyle w:val="TableText"/>
              <w:keepNext w:val="0"/>
              <w:widowControl/>
            </w:pPr>
            <w:r>
              <w:rPr>
                <w:sz w:val="20"/>
              </w:rPr>
              <w:t>Old renderer with new required feature</w:t>
            </w:r>
          </w:p>
        </w:tc>
        <w:tc>
          <w:tcPr>
            <w:tcW w:type="dxa" w:w="6235"/>
            <w:vAlign w:val="center"/>
          </w:tcPr>
          <w:p>
            <w:pPr>
              <w:pStyle w:val="TableText"/>
              <w:keepNext w:val="0"/>
              <w:widowControl/>
            </w:pPr>
            <w:r>
              <w:rPr>
                <w:sz w:val="20"/>
              </w:rPr>
              <w:t>Affected interaction blocked with compatibility guidance</w:t>
            </w:r>
          </w:p>
        </w:tc>
      </w:tr>
      <w:tr>
        <w:trPr>
          <w:cantSplit/>
        </w:trPr>
        <w:tc>
          <w:tcPr>
            <w:tcW w:type="dxa" w:w="3917"/>
            <w:vAlign w:val="center"/>
            <w:shd w:fill="F5F6F7"/>
          </w:tcPr>
          <w:p>
            <w:pPr>
              <w:pStyle w:val="TableText"/>
              <w:keepNext w:val="0"/>
              <w:widowControl/>
            </w:pPr>
            <w:r>
              <w:rPr>
                <w:sz w:val="20"/>
              </w:rPr>
              <w:t>New renderer with old backend</w:t>
            </w:r>
          </w:p>
        </w:tc>
        <w:tc>
          <w:tcPr>
            <w:tcW w:type="dxa" w:w="6235"/>
            <w:vAlign w:val="center"/>
            <w:shd w:fill="F5F6F7"/>
          </w:tcPr>
          <w:p>
            <w:pPr>
              <w:pStyle w:val="TableText"/>
              <w:keepNext w:val="0"/>
              <w:widowControl/>
            </w:pPr>
            <w:r>
              <w:rPr>
                <w:sz w:val="20"/>
              </w:rPr>
              <w:t>Use validated legacy metadata or report unsupported feature</w:t>
            </w:r>
          </w:p>
        </w:tc>
      </w:tr>
      <w:tr>
        <w:trPr>
          <w:cantSplit/>
        </w:trPr>
        <w:tc>
          <w:tcPr>
            <w:tcW w:type="dxa" w:w="3917"/>
            <w:vAlign w:val="center"/>
          </w:tcPr>
          <w:p>
            <w:pPr>
              <w:pStyle w:val="TableText"/>
              <w:keepNext w:val="0"/>
              <w:widowControl/>
            </w:pPr>
            <w:r>
              <w:rPr>
                <w:sz w:val="20"/>
              </w:rPr>
              <w:t>Open form during compatible backend change</w:t>
            </w:r>
          </w:p>
        </w:tc>
        <w:tc>
          <w:tcPr>
            <w:tcW w:type="dxa" w:w="6235"/>
            <w:vAlign w:val="center"/>
          </w:tcPr>
          <w:p>
            <w:pPr>
              <w:pStyle w:val="TableText"/>
              <w:keepNext w:val="0"/>
              <w:widowControl/>
            </w:pPr>
            <w:r>
              <w:rPr>
                <w:sz w:val="20"/>
              </w:rPr>
              <w:t>Existing revision retention rules apply</w:t>
            </w:r>
          </w:p>
        </w:tc>
      </w:tr>
      <w:tr>
        <w:trPr>
          <w:cantSplit/>
        </w:trPr>
        <w:tc>
          <w:tcPr>
            <w:tcW w:type="dxa" w:w="3917"/>
            <w:vAlign w:val="center"/>
            <w:shd w:fill="F5F6F7"/>
          </w:tcPr>
          <w:p>
            <w:pPr>
              <w:pStyle w:val="TableText"/>
              <w:keepNext w:val="0"/>
              <w:widowControl/>
            </w:pPr>
            <w:r>
              <w:rPr>
                <w:sz w:val="20"/>
              </w:rPr>
              <w:t>Open form during incompatible change</w:t>
            </w:r>
          </w:p>
        </w:tc>
        <w:tc>
          <w:tcPr>
            <w:tcW w:type="dxa" w:w="6235"/>
            <w:vAlign w:val="center"/>
            <w:shd w:fill="F5F6F7"/>
          </w:tcPr>
          <w:p>
            <w:pPr>
              <w:pStyle w:val="TableText"/>
              <w:keepNext w:val="0"/>
              <w:widowControl/>
            </w:pPr>
            <w:r>
              <w:rPr>
                <w:sz w:val="20"/>
              </w:rPr>
              <w:t>No-effect stale refusal; preserve compatible draft values</w:t>
            </w:r>
          </w:p>
        </w:tc>
      </w:tr>
      <w:tr>
        <w:trPr>
          <w:cantSplit/>
        </w:trPr>
        <w:tc>
          <w:tcPr>
            <w:tcW w:type="dxa" w:w="3917"/>
            <w:vAlign w:val="center"/>
          </w:tcPr>
          <w:p>
            <w:pPr>
              <w:pStyle w:val="TableText"/>
              <w:keepNext w:val="0"/>
              <w:widowControl/>
            </w:pPr>
            <w:r>
              <w:rPr>
                <w:sz w:val="20"/>
              </w:rPr>
              <w:t>Unknown keyed attempt during backend upgrade</w:t>
            </w:r>
          </w:p>
        </w:tc>
        <w:tc>
          <w:tcPr>
            <w:tcW w:type="dxa" w:w="6235"/>
            <w:vAlign w:val="center"/>
          </w:tcPr>
          <w:p>
            <w:pPr>
              <w:pStyle w:val="TableText"/>
              <w:keepNext w:val="0"/>
              <w:widowControl/>
            </w:pPr>
            <w:r>
              <w:rPr>
                <w:sz w:val="20"/>
              </w:rPr>
              <w:t>Do not replay against another operation version</w:t>
            </w:r>
          </w:p>
        </w:tc>
      </w:tr>
      <w:tr>
        <w:trPr>
          <w:cantSplit/>
        </w:trPr>
        <w:tc>
          <w:tcPr>
            <w:tcW w:type="dxa" w:w="3917"/>
            <w:vAlign w:val="center"/>
            <w:shd w:fill="F5F6F7"/>
          </w:tcPr>
          <w:p>
            <w:pPr>
              <w:pStyle w:val="TableText"/>
              <w:keepNext w:val="0"/>
              <w:widowControl/>
            </w:pPr>
            <w:r>
              <w:rPr>
                <w:sz w:val="20"/>
              </w:rPr>
              <w:t>Older backend after a fenced schema change</w:t>
            </w:r>
          </w:p>
        </w:tc>
        <w:tc>
          <w:tcPr>
            <w:tcW w:type="dxa" w:w="6235"/>
            <w:vAlign w:val="center"/>
            <w:shd w:fill="F5F6F7"/>
          </w:tcPr>
          <w:p>
            <w:pPr>
              <w:pStyle w:val="TableText"/>
              <w:keepNext w:val="0"/>
              <w:widowControl/>
            </w:pPr>
            <w:r>
              <w:rPr>
                <w:sz w:val="20"/>
              </w:rPr>
              <w:t>Existing schema fence prevents incompatible writes</w:t>
            </w:r>
          </w:p>
        </w:tc>
      </w:tr>
    </w:tbl>
    <w:p>
      <w:pPr>
        <w:spacing w:after="40" w:before="0" w:line="40" w:lineRule="exact"/>
      </w:pPr>
      <w:r>
        <w:rPr>
          <w:sz w:val="4"/>
        </w:rPr>
      </w:r>
    </w:p>
    <w:p>
      <w:r>
        <w:t xml:space="preserve">A retained interaction revision is evidence of structural acceptance, not automatic proof of unchanged business meaning. Keep semantic compatibility review in the release process. </w:t>
      </w:r>
      <w:hyperlink w:anchor="R5" w:history="1">
        <w:r>
          <w:rPr>
            <w:rFonts w:ascii="Arial" w:hAnsi="Arial"/>
            <w:color w:val="24587A"/>
          </w:rPr>
          <w:t xml:space="preserve">[R5]</w:t>
        </w:r>
      </w:hyperlink>
      <w:r>
        <w:t xml:space="preserve"> </w:t>
      </w:r>
      <w:hyperlink w:anchor="R14" w:history="1">
        <w:r>
          <w:rPr>
            <w:rFonts w:ascii="Arial" w:hAnsi="Arial"/>
            <w:color w:val="24587A"/>
          </w:rPr>
          <w:t xml:space="preserve">[R14]</w:t>
        </w:r>
      </w:hyperlink>
    </w:p>
    <w:p>
      <w:pPr>
        <w:pStyle w:val="Heading2"/>
      </w:pPr>
      <w:r>
        <w:t>Reference demonstration</w:t>
      </w:r>
    </w:p>
    <w:p>
      <w:r>
        <w:t>Use a support application and an equipment-maintenance application. Each installs its own Rust or intent app definitions, policies, operations, and views. Both use the exact same default frontend asset digest.</w:t>
      </w:r>
    </w:p>
    <w:p>
      <w:r>
        <w:t>For this demonstration, build one shared fixture bundle containing the standard renderer and all custom components required by either fixture. Both applications use that exact bundle. The custom components are ordinary registered extensions; the generic renderer contains no domain branches. Real application bundles may differ when they install different extension packages, while retaining the same unmodified renderer packages and controller behavior.</w:t>
      </w:r>
    </w:p>
    <w:p>
      <w:r>
        <w:t>The support application contains accounts, cases, and users with a non-owner staff role. It demonstrates a case queue, related account lookup, a detail view, an Assign operation that takes input, and an export job. The maintenance application contains assets, work orders, and technicians and demonstrates a different record workspace and command.</w:t>
      </w:r>
    </w:p>
    <w:p>
      <w:r>
        <w:t>Seed at least 10,000 primary records and more than 100 related choices in each application. Also run the empty-database case. Record the asset digest, backend commit, schema state, fixtures, browser version, machine profile, and results for the relevant acceptance IDs.</w:t>
      </w:r>
    </w:p>
    <w:p>
      <w:r>
        <w:t>Keep this as a focused release demonstration. Do not rebuild the pilot into a full CRM or maintenance product merely to validate the framework.</w:t>
      </w:r>
    </w:p>
    <w:p>
      <w:pPr>
        <w:pStyle w:val="Heading1"/>
      </w:pPr>
      <w:bookmarkStart w:id="23" w:name="section_13"/>
      <w:r>
        <w:t>13 Follow on capabilities</w:t>
      </w:r>
      <w:bookmarkEnd w:id="23"/>
    </w:p>
    <w:p>
      <w:pPr>
        <w:pStyle w:val="Heading2"/>
      </w:pPr>
      <w:r>
        <w:t>Queues boards and dashboards</w:t>
      </w:r>
    </w:p>
    <w:p>
      <w:r>
        <w:t>A queue is a collection with saved filters, priority/order semantics supplied by a read operation, and relevant actions. A board adds an explicit grouping contract and transition actions. Dragging a card invokes a domain command with its precondition; it never silently patches a state field.</w:t>
      </w:r>
    </w:p>
    <w:p>
      <w:r>
        <w:t>Dashboard panels bind to scoped aggregate read operations and declare refresh policy. Counts and summaries are authorized data. Add these view kinds only after collection/record controllers are proven.</w:t>
      </w:r>
    </w:p>
    <w:p>
      <w:pPr>
        <w:pStyle w:val="Heading2"/>
      </w:pPr>
      <w:r>
        <w:t>History and application inspection</w:t>
      </w:r>
    </w:p>
    <w:p>
      <w:r>
        <w:t>Build a reusable optional history app over explicit redacted events recorded in the domain transaction. Capability packages decide which events to publish and how to describe them. The generic timeline renders those approved event contracts.</w:t>
      </w:r>
    </w:p>
    <w:p>
      <w:r>
        <w:t>An application inspector can use existing registry and migration introspection to show installed apps, operations, contracts, views, required features, and work status. Protect it as an operator surface. Clearly distinguish declared effects, observed events, and validated evidence.</w:t>
      </w:r>
    </w:p>
    <w:p>
      <w:pPr>
        <w:pStyle w:val="Heading2"/>
      </w:pPr>
      <w:r>
        <w:t>Files import and exports</w:t>
      </w:r>
    </w:p>
    <w:p>
      <w:r>
        <w:t>Files require an explicit storage and authorization contract, scanning/processing policy where relevant, and an authorized download operation. An import workflow requires a schema mapping step, validation preview, a defined commit command, and per-item or atomic outcomes.</w:t>
      </w:r>
    </w:p>
    <w:p>
      <w:r>
        <w:t>These can reuse forms, durable work, and result presentation. They are separate capabilities with real operating requirements; file URLs and arbitrary uploads do not become generic fields merely because a renderer can display a control.</w:t>
      </w:r>
    </w:p>
    <w:p>
      <w:pPr>
        <w:pStyle w:val="Heading2"/>
      </w:pPr>
      <w:r>
        <w:t>Proseware and edition maintenance</w:t>
      </w:r>
    </w:p>
    <w:p>
      <w:r>
        <w:t>Proseware should compile approved declarations into IntentDoc, installed apps, view definitions, and validated presentation overrides. It must use the same registry, contracts, and executor as handwritten applications.</w:t>
      </w:r>
    </w:p>
    <w:p>
      <w:r>
        <w:t>Forkware can record capability versions, view revisions, overrides, renderer build identities, and acceptance evidence for each edition. Compatible updates preserve stable customizations; conflicting updates produce a reviewable change. Automatic descriptor rendering does not remove release, migration, or frontend component compatibility work.</w:t>
      </w:r>
    </w:p>
    <w:p>
      <w:pPr>
        <w:pStyle w:val="Heading1"/>
      </w:pPr>
      <w:bookmarkStart w:id="24" w:name="section_14"/>
      <w:r>
        <w:t>14 Decisions and completion checklist</w:t>
      </w:r>
      <w:bookmarkEnd w:id="24"/>
    </w:p>
    <w:p>
      <w:pPr>
        <w:pStyle w:val="Heading2"/>
      </w:pPr>
      <w:r>
        <w:t>Decisions made by this handoff</w:t>
      </w:r>
    </w:p>
    <w:p>
      <w:pPr>
        <w:pStyle w:val="ListBullet"/>
      </w:pPr>
      <w:r>
        <w:t>Extend the current Trestle resource and interaction architecture.</w:t>
      </w:r>
    </w:p>
    <w:p>
      <w:pPr>
        <w:pStyle w:val="ListBullet"/>
      </w:pPr>
      <w:r>
        <w:t>Use a separate trestle.views protocol and preserve legacy descriptor revisions.</w:t>
      </w:r>
    </w:p>
    <w:p>
      <w:pPr>
        <w:pStyle w:val="ListBullet"/>
      </w:pPr>
      <w:r>
        <w:t>Retain the existing renderer and portable validation semantics.</w:t>
      </w:r>
    </w:p>
    <w:p>
      <w:pPr>
        <w:pStyle w:val="ListBullet"/>
      </w:pPr>
      <w:r>
        <w:t>Make forms and buttons share one invocation controller.</w:t>
      </w:r>
    </w:p>
    <w:p>
      <w:pPr>
        <w:pStyle w:val="ListBullet"/>
      </w:pPr>
      <w:r>
        <w:t>Use explicit record precondition targets for commands with different result contracts.</w:t>
      </w:r>
    </w:p>
    <w:p>
      <w:pPr>
        <w:pStyle w:val="ListBullet"/>
      </w:pPr>
      <w:r>
        <w:t>Keep unknown outcomes unresolved until authoritative evidence is available.</w:t>
      </w:r>
    </w:p>
    <w:p>
      <w:pPr>
        <w:pStyle w:val="ListBullet"/>
      </w:pPr>
      <w:r>
        <w:t>Derive input forms from operation contracts and enforce disclosure through read operations.</w:t>
      </w:r>
    </w:p>
    <w:p>
      <w:pPr>
        <w:pStyle w:val="ListBullet"/>
      </w:pPr>
      <w:r>
        <w:t>Ship compiled frontend extensions under stable local component keys.</w:t>
      </w:r>
    </w:p>
    <w:p>
      <w:pPr>
        <w:pStyle w:val="ListBullet"/>
      </w:pPr>
      <w:r>
        <w:t>Begin with collection, record, and operation views and validate them in two applications.</w:t>
      </w:r>
    </w:p>
    <w:p>
      <w:pPr>
        <w:pStyle w:val="Heading2"/>
      </w:pPr>
      <w:r>
        <w:t>Implementation decisions to record during P0</w:t>
      </w:r>
    </w:p>
    <w:p>
      <w:r>
        <w:t>Engineering should finalize the exact Rust generic signatures, component package export names, route-naming conventions, and canonical JSON encoding fixtures during P0. These are bounded implementation choices and do not reopen the architecture.</w:t>
      </w:r>
    </w:p>
    <w:p>
      <w:r>
        <w:t>The first release exposes operation-specific read-only reconciliation where the application supplies it. Generic receipt-only recovery and durable cross-session attempt status require separate contracts and acceptance gates; neither is enabled by merely adding an idempotency key.</w:t>
      </w:r>
    </w:p>
    <w:p>
      <w:r>
        <w:t>Select any table, router, or accessible-control dependency through a small integration proof against the existing renderer. Record the choice without making an external library's schema the Trestle protocol.</w:t>
      </w:r>
    </w:p>
    <w:p>
      <w:pPr>
        <w:pStyle w:val="Heading2"/>
      </w:pPr>
      <w:r>
        <w:t>Handoff completion</w:t>
      </w:r>
    </w:p>
    <w:p>
      <w:r>
        <w:t>Implementation is complete when the selected phase exits and acceptance IDs pass, existing snapshots remain intentional, the default host and an external package consumer build, both reference apps run on the same renderer, and mixed-version behavior is documented.</w:t>
      </w:r>
    </w:p>
    <w:p>
      <w:r>
        <w:t>Engineering should deliver the code, new and amended ADRs, complete shared protocol fixtures, package and scaffold documentation, the focused browser evidence, and migration/rollback instructions. A screen that renders correctly is only one part of completion; authority, contracts, concurrency, and recovery must match the defined behavior.</w:t>
      </w:r>
    </w:p>
    <w:p>
      <w:pPr>
        <w:pStyle w:val="Heading1"/>
      </w:pPr>
      <w:bookmarkStart w:id="25" w:name="section_15"/>
      <w:r>
        <w:t>15 Source register</w:t>
      </w:r>
      <w:bookmarkEnd w:id="25"/>
    </w:p>
    <w:p>
      <w:r>
        <w:t>All repository references below are pinned to the implementation baseline. Requirements and proposed interfaces elsewhere in the document are the design described by this handoff.</w:t>
      </w:r>
    </w:p>
    <w:p>
      <w:pPr>
        <w:pStyle w:val="Source"/>
      </w:pPr>
      <w:bookmarkStart w:id="26" w:name="R1"/>
      <w:bookmarkEnd w:id="26"/>
      <w:hyperlink r:id="rId13" w:history="1">
        <w:r>
          <w:rPr>
            <w:rFonts w:ascii="Arial" w:hAnsi="Arial"/>
            <w:color w:val="24587A"/>
            <w:sz w:val="20"/>
          </w:rPr>
          <w:t xml:space="preserve">R1 Resource registration and AdminView</w:t>
        </w:r>
      </w:hyperlink>
    </w:p>
    <w:p>
      <w:pPr>
        <w:pStyle w:val="Source"/>
      </w:pPr>
      <w:bookmarkStart w:id="27" w:name="R2"/>
      <w:bookmarkEnd w:id="27"/>
      <w:hyperlink r:id="rId14" w:history="1">
        <w:r>
          <w:rPr>
            <w:rFonts w:ascii="Arial" w:hAnsi="Arial"/>
            <w:color w:val="24587A"/>
            <w:sz w:val="20"/>
          </w:rPr>
          <w:t xml:space="preserve">R2 Admin support for intent applications</w:t>
        </w:r>
      </w:hyperlink>
    </w:p>
    <w:p>
      <w:pPr>
        <w:pStyle w:val="Source"/>
      </w:pPr>
      <w:bookmarkStart w:id="28" w:name="R3"/>
      <w:bookmarkEnd w:id="28"/>
      <w:hyperlink r:id="rId15" w:history="1">
        <w:r>
          <w:rPr>
            <w:rFonts w:ascii="Arial" w:hAnsi="Arial"/>
            <w:color w:val="24587A"/>
            <w:sz w:val="20"/>
          </w:rPr>
          <w:t xml:space="preserve">R3 Existing React operation form</w:t>
        </w:r>
      </w:hyperlink>
    </w:p>
    <w:p>
      <w:pPr>
        <w:pStyle w:val="Source"/>
      </w:pPr>
      <w:bookmarkStart w:id="29" w:name="R4"/>
      <w:bookmarkEnd w:id="29"/>
      <w:hyperlink r:id="rId16" w:history="1">
        <w:r>
          <w:rPr>
            <w:rFonts w:ascii="Arial" w:hAnsi="Arial"/>
            <w:color w:val="24587A"/>
            <w:sz w:val="20"/>
          </w:rPr>
          <w:t xml:space="preserve">R4 Existing browser descriptor decoder</w:t>
        </w:r>
      </w:hyperlink>
    </w:p>
    <w:p>
      <w:pPr>
        <w:pStyle w:val="Source"/>
      </w:pPr>
      <w:bookmarkStart w:id="30" w:name="R5"/>
      <w:bookmarkEnd w:id="30"/>
      <w:hyperlink r:id="rId17" w:history="1">
        <w:r>
          <w:rPr>
            <w:rFonts w:ascii="Arial" w:hAnsi="Arial"/>
            <w:color w:val="24587A"/>
            <w:sz w:val="20"/>
          </w:rPr>
          <w:t xml:space="preserve">R5 Interaction compatibility and revision rules</w:t>
        </w:r>
      </w:hyperlink>
    </w:p>
    <w:p>
      <w:pPr>
        <w:pStyle w:val="Source"/>
      </w:pPr>
      <w:bookmarkStart w:id="31" w:name="R6"/>
      <w:bookmarkEnd w:id="31"/>
      <w:hyperlink r:id="rId18" w:history="1">
        <w:r>
          <w:rPr>
            <w:rFonts w:ascii="Arial" w:hAnsi="Arial"/>
            <w:color w:val="24587A"/>
            <w:sz w:val="20"/>
          </w:rPr>
          <w:t xml:space="preserve">R6 Intent as a public value</w:t>
        </w:r>
      </w:hyperlink>
    </w:p>
    <w:p>
      <w:pPr>
        <w:pStyle w:val="Source"/>
      </w:pPr>
      <w:bookmarkStart w:id="32" w:name="R7"/>
      <w:bookmarkEnd w:id="32"/>
      <w:hyperlink r:id="rId19" w:history="1">
        <w:r>
          <w:rPr>
            <w:rFonts w:ascii="Arial" w:hAnsi="Arial"/>
            <w:color w:val="24587A"/>
            <w:sz w:val="20"/>
          </w:rPr>
          <w:t xml:space="preserve">R7 Rust operations sharing intent machinery</w:t>
        </w:r>
      </w:hyperlink>
    </w:p>
    <w:p>
      <w:pPr>
        <w:pStyle w:val="Source"/>
      </w:pPr>
      <w:bookmarkStart w:id="33" w:name="R8"/>
      <w:bookmarkEnd w:id="33"/>
      <w:hyperlink r:id="rId20" w:history="1">
        <w:r>
          <w:rPr>
            <w:rFonts w:ascii="Arial" w:hAnsi="Arial"/>
            <w:color w:val="24587A"/>
            <w:sz w:val="20"/>
          </w:rPr>
          <w:t xml:space="preserve">R8 Current admin host</w:t>
        </w:r>
      </w:hyperlink>
    </w:p>
    <w:p>
      <w:pPr>
        <w:pStyle w:val="Source"/>
      </w:pPr>
      <w:bookmarkStart w:id="34" w:name="R9"/>
      <w:bookmarkEnd w:id="34"/>
      <w:hyperlink r:id="rId21" w:history="1">
        <w:r>
          <w:rPr>
            <w:rFonts w:ascii="Arial" w:hAnsi="Arial"/>
            <w:color w:val="24587A"/>
            <w:sz w:val="20"/>
          </w:rPr>
          <w:t xml:space="preserve">R9 Existing widgets and relation picker</w:t>
        </w:r>
      </w:hyperlink>
    </w:p>
    <w:p>
      <w:pPr>
        <w:pStyle w:val="Source"/>
      </w:pPr>
      <w:bookmarkStart w:id="35" w:name="R10"/>
      <w:bookmarkEnd w:id="35"/>
      <w:hyperlink r:id="rId22" w:history="1">
        <w:r>
          <w:rPr>
            <w:rFonts w:ascii="Arial" w:hAnsi="Arial"/>
            <w:color w:val="24587A"/>
            <w:sz w:val="20"/>
          </w:rPr>
          <w:t xml:space="preserve">R10 Current continuous integration workflow</w:t>
        </w:r>
      </w:hyperlink>
    </w:p>
    <w:p>
      <w:pPr>
        <w:pStyle w:val="Source"/>
      </w:pPr>
      <w:bookmarkStart w:id="36" w:name="R11"/>
      <w:bookmarkEnd w:id="36"/>
      <w:hyperlink r:id="rId23" w:history="1">
        <w:r>
          <w:rPr>
            <w:rFonts w:ascii="Arial" w:hAnsi="Arial"/>
            <w:color w:val="24587A"/>
            <w:sz w:val="20"/>
          </w:rPr>
          <w:t xml:space="preserve">R11 Existing renderer package configuration</w:t>
        </w:r>
      </w:hyperlink>
    </w:p>
    <w:p>
      <w:pPr>
        <w:pStyle w:val="Source"/>
      </w:pPr>
      <w:bookmarkStart w:id="37" w:name="R12"/>
      <w:bookmarkEnd w:id="37"/>
      <w:hyperlink r:id="rId24" w:history="1">
        <w:r>
          <w:rPr>
            <w:rFonts w:ascii="Arial" w:hAnsi="Arial"/>
            <w:color w:val="24587A"/>
            <w:sz w:val="20"/>
          </w:rPr>
          <w:t xml:space="preserve">R12 Resource conventions and deferred context discovery</w:t>
        </w:r>
      </w:hyperlink>
    </w:p>
    <w:p>
      <w:pPr>
        <w:pStyle w:val="Source"/>
      </w:pPr>
      <w:bookmarkStart w:id="38" w:name="R13"/>
      <w:bookmarkEnd w:id="38"/>
      <w:hyperlink r:id="rId25" w:history="1">
        <w:r>
          <w:rPr>
            <w:rFonts w:ascii="Arial" w:hAnsi="Arial"/>
            <w:color w:val="24587A"/>
            <w:sz w:val="20"/>
          </w:rPr>
          <w:t xml:space="preserve">R13 Output contract validation before commit</w:t>
        </w:r>
      </w:hyperlink>
    </w:p>
    <w:p>
      <w:pPr>
        <w:pStyle w:val="Source"/>
      </w:pPr>
      <w:bookmarkStart w:id="39" w:name="R14"/>
      <w:bookmarkEnd w:id="39"/>
      <w:hyperlink r:id="rId26" w:history="1">
        <w:r>
          <w:rPr>
            <w:rFonts w:ascii="Arial" w:hAnsi="Arial"/>
            <w:color w:val="24587A"/>
            <w:sz w:val="20"/>
          </w:rPr>
          <w:t xml:space="preserve">R14 Schema fence and older writers</w:t>
        </w:r>
      </w:hyperlink>
    </w:p>
    <w:p>
      <w:pPr>
        <w:pStyle w:val="Source"/>
      </w:pPr>
      <w:bookmarkStart w:id="40" w:name="R15"/>
      <w:bookmarkEnd w:id="40"/>
      <w:hyperlink r:id="rId27" w:history="1">
        <w:r>
          <w:rPr>
            <w:rFonts w:ascii="Arial" w:hAnsi="Arial"/>
            <w:color w:val="24587A"/>
            <w:sz w:val="20"/>
          </w:rPr>
          <w:t xml:space="preserve">R15 Declared effects and read enforcement</w:t>
        </w:r>
      </w:hyperlink>
    </w:p>
    <w:p>
      <w:pPr>
        <w:pStyle w:val="Source"/>
      </w:pPr>
      <w:bookmarkStart w:id="41" w:name="R16"/>
      <w:bookmarkEnd w:id="41"/>
      <w:hyperlink r:id="rId28" w:history="1">
        <w:r>
          <w:rPr>
            <w:rFonts w:ascii="Arial" w:hAnsi="Arial"/>
            <w:color w:val="24587A"/>
            <w:sz w:val="20"/>
          </w:rPr>
          <w:t xml:space="preserve">R16 Idempotency receipts and client limitations</w:t>
        </w:r>
      </w:hyperlink>
    </w:p>
    <w:p>
      <w:pPr>
        <w:pStyle w:val="Source"/>
      </w:pPr>
      <w:bookmarkStart w:id="42" w:name="R17"/>
      <w:bookmarkEnd w:id="42"/>
      <w:hyperlink r:id="rId29" w:history="1">
        <w:r>
          <w:rPr>
            <w:rFonts w:ascii="Arial" w:hAnsi="Arial"/>
            <w:color w:val="24587A"/>
            <w:sz w:val="20"/>
          </w:rPr>
          <w:t xml:space="preserve">R17 Durable job execution</w:t>
        </w:r>
      </w:hyperlink>
    </w:p>
    <w:p>
      <w:pPr>
        <w:pStyle w:val="Source"/>
      </w:pPr>
      <w:bookmarkStart w:id="43" w:name="R18"/>
      <w:bookmarkEnd w:id="43"/>
      <w:hyperlink r:id="rId30" w:history="1">
        <w:r>
          <w:rPr>
            <w:rFonts w:ascii="Arial" w:hAnsi="Arial"/>
            <w:color w:val="24587A"/>
            <w:sz w:val="20"/>
          </w:rPr>
          <w:t xml:space="preserve">R18 Intent parity and business audit limitations</w:t>
        </w:r>
      </w:hyperlink>
    </w:p>
    <w:p>
      <w:pPr>
        <w:pStyle w:val="Source"/>
      </w:pPr>
      <w:bookmarkStart w:id="44" w:name="R19"/>
      <w:bookmarkEnd w:id="44"/>
      <w:hyperlink r:id="rId31" w:history="1">
        <w:r>
          <w:rPr>
            <w:rFonts w:ascii="Arial" w:hAnsi="Arial"/>
            <w:color w:val="24587A"/>
            <w:sz w:val="20"/>
          </w:rPr>
          <w:t xml:space="preserve">R19 Renderer ownership decision</w:t>
        </w:r>
      </w:hyperlink>
    </w:p>
    <w:p>
      <w:pPr>
        <w:pStyle w:val="Source"/>
      </w:pPr>
      <w:bookmarkStart w:id="45" w:name="R20"/>
      <w:bookmarkEnd w:id="45"/>
      <w:hyperlink r:id="rId32" w:history="1">
        <w:r>
          <w:rPr>
            <w:rFonts w:ascii="Arial" w:hAnsi="Arial"/>
            <w:color w:val="24587A"/>
            <w:sz w:val="20"/>
          </w:rPr>
          <w:t xml:space="preserve">R20 Browser identity and deployment origin</w:t>
        </w:r>
      </w:hyperlink>
    </w:p>
    <w:p>
      <w:pPr>
        <w:pStyle w:val="Source"/>
      </w:pPr>
      <w:bookmarkStart w:id="46" w:name="R21"/>
      <w:bookmarkEnd w:id="46"/>
      <w:hyperlink r:id="rId33" w:history="1">
        <w:r>
          <w:rPr>
            <w:rFonts w:ascii="Arial" w:hAnsi="Arial"/>
            <w:color w:val="24587A"/>
            <w:sz w:val="20"/>
          </w:rPr>
          <w:t xml:space="preserve">R21 Original framework design and invariants</w:t>
        </w:r>
      </w:hyperlink>
    </w:p>
    <w:p>
      <w:pPr>
        <w:pStyle w:val="Source"/>
      </w:pPr>
      <w:bookmarkStart w:id="47" w:name="R22"/>
      <w:bookmarkEnd w:id="47"/>
      <w:hyperlink r:id="rId34" w:history="1">
        <w:r>
          <w:rPr>
            <w:rFonts w:ascii="Arial" w:hAnsi="Arial"/>
            <w:color w:val="24587A"/>
            <w:sz w:val="20"/>
          </w:rPr>
          <w:t xml:space="preserve">R22 Query implementation</w:t>
        </w:r>
      </w:hyperlink>
    </w:p>
    <w:p>
      <w:pPr>
        <w:pStyle w:val="Source"/>
      </w:pPr>
      <w:bookmarkStart w:id="48" w:name="R23"/>
      <w:bookmarkEnd w:id="48"/>
      <w:hyperlink r:id="rId35" w:history="1">
        <w:r>
          <w:rPr>
            <w:rFonts w:ascii="Arial" w:hAnsi="Arial"/>
            <w:color w:val="24587A"/>
            <w:sz w:val="20"/>
          </w:rPr>
          <w:t xml:space="preserve">R23 Existing browser session adapter</w:t>
        </w:r>
      </w:hyperlink>
    </w:p>
    <w:p>
      <w:pPr>
        <w:pStyle w:val="Source"/>
      </w:pPr>
      <w:bookmarkStart w:id="49" w:name="R24"/>
      <w:bookmarkEnd w:id="49"/>
      <w:hyperlink r:id="rId36" w:history="1">
        <w:r>
          <w:rPr>
            <w:rFonts w:ascii="Arial" w:hAnsi="Arial"/>
            <w:color w:val="24587A"/>
            <w:sz w:val="20"/>
          </w:rPr>
          <w:t xml:space="preserve">R24 Intent admin generation and validation tests</w:t>
        </w:r>
      </w:hyperlink>
    </w:p>
    <w:p>
      <w:pPr>
        <w:pStyle w:val="Source"/>
      </w:pPr>
      <w:bookmarkStart w:id="50" w:name="R25"/>
      <w:bookmarkEnd w:id="50"/>
      <w:hyperlink r:id="rId37" w:history="1">
        <w:r>
          <w:rPr>
            <w:rFonts w:ascii="Arial" w:hAnsi="Arial"/>
            <w:color w:val="24587A"/>
            <w:sz w:val="20"/>
          </w:rPr>
          <w:t xml:space="preserve">R25 Pilot resource and form registration</w:t>
        </w:r>
      </w:hyperlink>
    </w:p>
    <w:sectPr w:rsidR="00FC693F" w:rsidRPr="0006063C" w:rsidSect="00034616">
      <w:headerReference w:type="default" r:id="rId9"/>
      <w:footerReference w:type="default" r:id="rId10"/>
      <w:pgSz w:w="12240" w:h="15840"/>
      <w:pgMar w:top="979" w:right="1044" w:bottom="950" w:left="1044"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52" w:val="right"/>
      </w:tabs>
    </w:pPr>
    <w:r>
      <w:rPr>
        <w:rFonts w:ascii="Arial" w:hAnsi="Arial" w:eastAsia="Arial"/>
        <w:color w:val="555555"/>
        <w:sz w:val="17"/>
      </w:rPr>
      <w:t>18 October 2026  •  Version 1.0</w:t>
      <w:tab/>
    </w:r>
    <w:r>
      <w:rPr>
        <w:rFonts w:ascii="Arial" w:hAnsi="Arial" w:eastAsia="Arial"/>
        <w:color w:val="555555"/>
        <w:sz w:val="17"/>
      </w:rPr>
      <w:fldChar w:fldCharType="begin"/>
      <w:instrText xml:space="preserve"> PAGE </w:instrText>
      <w:fldChar w:fldCharType="separate"/>
      <w:t>1</w:t>
      <w:fldChar w:fldCharType="end"/>
    </w:r>
    <w:r>
      <w:rPr>
        <w:rFonts w:ascii="Arial" w:hAnsi="Arial" w:eastAsia="Arial"/>
        <w:color w:val="555555"/>
        <w:sz w:val="17"/>
      </w:rPr>
      <w:t xml:space="preserve"> / </w:t>
    </w:r>
    <w:r>
      <w:rPr>
        <w:rFonts w:ascii="Arial" w:hAnsi="Arial" w:eastAsia="Arial"/>
        <w:color w:val="555555"/>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t>TRESTLE  |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s="Arial"/>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eastAsia="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Arial" w:hAnsi="Arial" w:eastAsia="Arial" w:cs="Arial"/>
      <w:b w:val="0"/>
      <w:i w:val="0"/>
      <w:iCs/>
      <w:color w:val="22222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ind w:left="216" w:hanging="216"/>
      <w:contextualSpacing/>
    </w:pPr>
    <w:rPr>
      <w:rFonts w:ascii="Arial" w:hAnsi="Arial" w:eastAsia="Arial" w:cs="Arial"/>
      <w:b w:val="0"/>
      <w:color w:val="11111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Arial" w:hAnsi="Arial" w:eastAsia="Arial" w:cs="Arial"/>
      <w:b w:val="0"/>
      <w:bCs/>
      <w:i/>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5" w:lineRule="auto"/>
    </w:pPr>
    <w:rPr>
      <w:rFonts w:ascii="Arial" w:hAnsi="Arial" w:eastAsia="Arial" w:cs="Arial"/>
      <w:b w:val="0"/>
      <w:color w:val="111111"/>
      <w:sz w:val="20"/>
    </w:rPr>
  </w:style>
  <w:style w:type="paragraph" w:customStyle="1" w:styleId="Code">
    <w:name w:val="Code"/>
    <w:pPr>
      <w:spacing w:after="0" w:line="210" w:lineRule="exact"/>
      <w:ind w:left="144" w:right="115"/>
    </w:pPr>
    <w:rPr>
      <w:rFonts w:ascii="Arial" w:hAnsi="Arial" w:eastAsia="Arial" w:cs="Arial"/>
      <w:b w:val="0"/>
      <w:color w:val="111111"/>
      <w:sz w:val="18"/>
    </w:rPr>
  </w:style>
  <w:style w:type="paragraph" w:customStyle="1" w:styleId="Source">
    <w:name w:val="Source"/>
    <w:pPr>
      <w:spacing w:after="100" w:line="245" w:lineRule="auto"/>
    </w:pPr>
    <w:rPr>
      <w:rFonts w:ascii="Arial" w:hAnsi="Arial" w:eastAsia="Arial" w:cs="Arial"/>
      <w:b w:val="0"/>
      <w:color w:val="1111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sonduncan/trestle/tree/bc372db40f082d72f3587a7340245e63c681eace" TargetMode="External"/><Relationship Id="rId12" Type="http://schemas.openxmlformats.org/officeDocument/2006/relationships/image" Target="media/image1.png"/><Relationship Id="rId13" Type="http://schemas.openxmlformats.org/officeDocument/2006/relationships/hyperlink" Target="https://github.com/jasonduncan/trestle/blob/bc372db40f082d72f3587a7340245e63c681eace/crates/trestle-core/src/registry/resource.rs" TargetMode="External"/><Relationship Id="rId14" Type="http://schemas.openxmlformats.org/officeDocument/2006/relationships/hyperlink" Target="https://github.com/jasonduncan/trestle/blob/bc372db40f082d72f3587a7340245e63c681eace/docs/adr/029-intent-admin-views.md" TargetMode="External"/><Relationship Id="rId15" Type="http://schemas.openxmlformats.org/officeDocument/2006/relationships/hyperlink" Target="https://github.com/jasonduncan/trestle/blob/bc372db40f082d72f3587a7340245e63c681eace/frontend/interaction-react/src/OperationForm.tsx" TargetMode="External"/><Relationship Id="rId16" Type="http://schemas.openxmlformats.org/officeDocument/2006/relationships/hyperlink" Target="https://github.com/jasonduncan/trestle/blob/bc372db40f082d72f3587a7340245e63c681eace/frontend/interaction-react/src/protocol.ts" TargetMode="External"/><Relationship Id="rId17" Type="http://schemas.openxmlformats.org/officeDocument/2006/relationships/hyperlink" Target="https://github.com/jasonduncan/trestle/blob/bc372db40f082d72f3587a7340245e63c681eace/docs/adr/004-interaction-protocol-and-compatibility.md" TargetMode="External"/><Relationship Id="rId18" Type="http://schemas.openxmlformats.org/officeDocument/2006/relationships/hyperlink" Target="https://github.com/jasonduncan/trestle/blob/bc372db40f082d72f3587a7340245e63c681eace/docs/adr/030-intent-as-a-value.md" TargetMode="External"/><Relationship Id="rId19" Type="http://schemas.openxmlformats.org/officeDocument/2006/relationships/hyperlink" Target="https://github.com/jasonduncan/trestle/blob/bc372db40f082d72f3587a7340245e63c681eace/docs/adr/031-rust-operations-in-intent-projects.md" TargetMode="External"/><Relationship Id="rId20" Type="http://schemas.openxmlformats.org/officeDocument/2006/relationships/hyperlink" Target="https://github.com/jasonduncan/trestle/blob/bc372db40f082d72f3587a7340245e63c681eace/frontend/admin/src/App.tsx" TargetMode="External"/><Relationship Id="rId21" Type="http://schemas.openxmlformats.org/officeDocument/2006/relationships/hyperlink" Target="https://github.com/jasonduncan/trestle/blob/bc372db40f082d72f3587a7340245e63c681eace/frontend/interaction-react/src/widgets.tsx" TargetMode="External"/><Relationship Id="rId22" Type="http://schemas.openxmlformats.org/officeDocument/2006/relationships/hyperlink" Target="https://github.com/jasonduncan/trestle/blob/bc372db40f082d72f3587a7340245e63c681eace/.github/workflows/ci.yml" TargetMode="External"/><Relationship Id="rId23" Type="http://schemas.openxmlformats.org/officeDocument/2006/relationships/hyperlink" Target="https://github.com/jasonduncan/trestle/blob/bc372db40f082d72f3587a7340245e63c681eace/frontend/interaction-react/package.json" TargetMode="External"/><Relationship Id="rId24" Type="http://schemas.openxmlformats.org/officeDocument/2006/relationships/hyperlink" Target="https://github.com/jasonduncan/trestle/blob/bc372db40f082d72f3587a7340245e63c681eace/docs/adr/008-resource-abstraction-and-axum-boundary.md" TargetMode="External"/><Relationship Id="rId25" Type="http://schemas.openxmlformats.org/officeDocument/2006/relationships/hyperlink" Target="https://github.com/jasonduncan/trestle/blob/bc372db40f082d72f3587a7340245e63c681eace/docs/adr/012-output-contracts-before-commit.md" TargetMode="External"/><Relationship Id="rId26" Type="http://schemas.openxmlformats.org/officeDocument/2006/relationships/hyperlink" Target="https://github.com/jasonduncan/trestle/blob/bc372db40f082d72f3587a7340245e63c681eace/docs/adr/017-schema-fence.md" TargetMode="External"/><Relationship Id="rId27" Type="http://schemas.openxmlformats.org/officeDocument/2006/relationships/hyperlink" Target="https://github.com/jasonduncan/trestle/blob/bc372db40f082d72f3587a7340245e63c681eace/docs/adr/018-declared-effects.md" TargetMode="External"/><Relationship Id="rId28" Type="http://schemas.openxmlformats.org/officeDocument/2006/relationships/hyperlink" Target="https://github.com/jasonduncan/trestle/blob/bc372db40f082d72f3587a7340245e63c681eace/docs/adr/016-idempotency-keys.md" TargetMode="External"/><Relationship Id="rId29" Type="http://schemas.openxmlformats.org/officeDocument/2006/relationships/hyperlink" Target="https://github.com/jasonduncan/trestle/blob/bc372db40f082d72f3587a7340245e63c681eace/docs/adr/015-durable-jobs.md" TargetMode="External"/><Relationship Id="rId30" Type="http://schemas.openxmlformats.org/officeDocument/2006/relationships/hyperlink" Target="https://github.com/jasonduncan/trestle/blob/bc372db40f082d72f3587a7340245e63c681eace/docs/guide/intent-parity.md" TargetMode="External"/><Relationship Id="rId31" Type="http://schemas.openxmlformats.org/officeDocument/2006/relationships/hyperlink" Target="https://github.com/jasonduncan/trestle/blob/bc372db40f082d72f3587a7340245e63c681eace/docs/adr/007-react-rendering-engine.md" TargetMode="External"/><Relationship Id="rId32" Type="http://schemas.openxmlformats.org/officeDocument/2006/relationships/hyperlink" Target="https://github.com/jasonduncan/trestle/blob/bc372db40f082d72f3587a7340245e63c681eace/docs/adr/005-browser-identity-and-deployment-origin.md" TargetMode="External"/><Relationship Id="rId33" Type="http://schemas.openxmlformats.org/officeDocument/2006/relationships/hyperlink" Target="https://github.com/jasonduncan/trestle/blob/bc372db40f082d72f3587a7340245e63c681eace/docs/design/Rustjango_API_First_Technical_Design_v0.2.md" TargetMode="External"/><Relationship Id="rId34" Type="http://schemas.openxmlformats.org/officeDocument/2006/relationships/hyperlink" Target="https://github.com/jasonduncan/trestle/blob/bc372db40f082d72f3587a7340245e63c681eace/crates/trestle-core/src/query.rs" TargetMode="External"/><Relationship Id="rId35" Type="http://schemas.openxmlformats.org/officeDocument/2006/relationships/hyperlink" Target="https://github.com/jasonduncan/trestle/blob/bc372db40f082d72f3587a7340245e63c681eace/frontend/interaction-react/src/session.ts" TargetMode="External"/><Relationship Id="rId36" Type="http://schemas.openxmlformats.org/officeDocument/2006/relationships/hyperlink" Target="https://github.com/jasonduncan/trestle/blob/bc372db40f082d72f3587a7340245e63c681eace/crates/trestle/tests/intent_admin.rs" TargetMode="External"/><Relationship Id="rId37" Type="http://schemas.openxmlformats.org/officeDocument/2006/relationships/hyperlink" Target="https://github.com/jasonduncan/trestle/blob/bc372db40f082d72f3587a7340245e63c681eace/examples/pilot/src/lessons/mod.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Trestle Admin and Application Views</dc:title>
  <dc:subject>Engineering handoff for reusable admin and application views</dc:subject>
  <dc:creator>Trestle</dc:creator>
  <cp:keywords>Trestle, admin, application views, engineering, technical design</cp:keywords>
  <dc:description>Repository baseline bc372db40f082d72f3587a7340245e63c681eace</dc:description>
  <cp:lastModifiedBy/>
  <cp:revision>1</cp:revision>
  <dcterms:created xsi:type="dcterms:W3CDTF">2013-12-23T23:15:00Z</dcterms:created>
  <dcterms:modified xsi:type="dcterms:W3CDTF">2013-12-23T23:15:00Z</dcterms:modified>
  <cp:category/>
</cp:coreProperties>
</file>