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2E7D5B" w:sz="6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6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34"/>
                <w:szCs w:val="34"/>
              </w:rPr>
              <w:t xml:space="preserve">BUDGET D'EXPLOITATION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4"/>
                <w:szCs w:val="24"/>
              </w:rPr>
              <w:t xml:space="preserve">My Home CI — synthèse</w:t>
            </w:r>
          </w:p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15 août 2026 — hébergement, stores et services cloud — 1 USD = 600 FCFA</w:t>
            </w:r>
          </w:p>
        </w:tc>
      </w:tr>
    </w:tbl>
    <w:p>
      <w:pPr>
        <w:pBdr>
          <w:bottom w:val="single" w:color="2E7D5B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Combien ça coûte, par mois</w:t>
      </w:r>
    </w:p>
    <w:tbl>
      <w:tblPr>
        <w:tblW w:type="pct" w:w="100%"/>
        <w:tblBorders>
          <w:top w:val="single" w:color="D5DDD8" w:sz="2"/>
          <w:left w:val="single" w:color="D5DDD8" w:sz="2"/>
          <w:bottom w:val="single" w:color="D5DDD8" w:sz="2"/>
          <w:right w:val="single" w:color="D5DDD8" w:sz="2"/>
          <w:insideH w:val="single" w:color="E4EAE6" w:sz="1"/>
          <w:insideV w:val="single" w:color="E4EAE6" w:sz="1"/>
        </w:tblBorders>
      </w:tblPr>
      <w:tblGrid>
        <w:gridCol w:w="4400"/>
        <w:gridCol w:w="1600"/>
        <w:gridCol w:w="1700"/>
        <w:gridCol w:w="1700"/>
      </w:tblGrid>
      <w:tr>
        <w:trPr>
          <w:tblHeader/>
        </w:trPr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Mois 1 à 3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Mois 4 à 12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Année 2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Firebase (base, photos, notifications, SMS)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13 800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79 200 F</w:t>
            </w:r>
          </w:p>
        </w:tc>
      </w:tr>
      <w:tr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Hébergement back-office et site web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3 000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3 000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12 000 F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Google Maps (géocodage des adresses)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12 000 F</w:t>
            </w:r>
          </w:p>
        </w:tc>
      </w:tr>
      <w:tr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Emails transactionnels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9 000 F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Nom de domaine .ci (amorti)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1 800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1 800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1 800 F</w:t>
            </w:r>
          </w:p>
        </w:tc>
      </w:tr>
      <w:tr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Compilation iOS (Codemagic, offre gratuite)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0 F</w:t>
            </w:r>
          </w:p>
        </w:tc>
      </w:tr>
      <w:tr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mensuel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4 800 F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18 600 F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114 000 F</w:t>
            </w:r>
          </w:p>
        </w:tc>
      </w:tr>
      <w:tr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mensuel optimisé (voir page 2)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58 200 F</w:t>
            </w:r>
          </w:p>
        </w:tc>
      </w:tr>
    </w:tbl>
    <w:p>
      <w:pPr>
        <w:spacing w:after="50" w:before="50"/>
        <w:jc w:val="both"/>
      </w:pPr>
      <w:r>
        <w:rPr>
          <w:rFonts w:ascii="Calibri" w:cs="Calibri" w:eastAsia="Calibri" w:hAnsi="Calibri"/>
          <w:b w:val="false"/>
          <w:bCs w:val="false"/>
          <w:color w:val="6B7280"/>
          <w:sz w:val="17"/>
          <w:szCs w:val="17"/>
        </w:rPr>
        <w:t xml:space="preserve">Hypothèses : moins de 500 inscrits sur les trois premiers mois, 5 000 en fin de première année, 20 000 en année 2. Les trois premiers mois sont couverts par les 300 $ de crédits Firebase offerts au démarrage.</w:t>
      </w:r>
    </w:p>
    <w:p>
      <w:pPr>
        <w:pBdr>
          <w:bottom w:val="single" w:color="2E7D5B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Combien ça coûte, sur l'année</w:t>
      </w:r>
    </w:p>
    <w:tbl>
      <w:tblPr>
        <w:tblW w:type="pct" w:w="100%"/>
        <w:tblBorders>
          <w:top w:val="single" w:color="D5DDD8" w:sz="2"/>
          <w:left w:val="single" w:color="D5DDD8" w:sz="2"/>
          <w:bottom w:val="single" w:color="D5DDD8" w:sz="2"/>
          <w:right w:val="single" w:color="D5DDD8" w:sz="2"/>
          <w:insideH w:val="single" w:color="E4EAE6" w:sz="1"/>
          <w:insideV w:val="single" w:color="E4EAE6" w:sz="1"/>
        </w:tblBorders>
      </w:tblPr>
      <w:tblGrid>
        <w:gridCol w:w="5400"/>
        <w:gridCol w:w="2000"/>
        <w:gridCol w:w="2000"/>
      </w:tblGrid>
      <w:tr>
        <w:trPr>
          <w:tblHeader/>
        </w:trPr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Année 1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Année 2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Infrastructure et hébergement (12 mois)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181 800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1 368 000 F</w:t>
            </w:r>
          </w:p>
        </w:tc>
      </w:tr>
      <w:tr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Prépaiement Firebase (une seule fois)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18 000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Compte Google Play (une seule fois, à vie)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15 000 F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Compte Apple Developer (à renouveler chaque année)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59 400 F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59 400 F</w:t>
            </w:r>
          </w:p>
        </w:tc>
      </w:tr>
      <w:tr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274 200 F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1 427 400 F</w:t>
            </w:r>
          </w:p>
        </w:tc>
      </w:tr>
      <w:tr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 optimisé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757 800 F</w:t>
            </w:r>
          </w:p>
        </w:tc>
      </w:tr>
    </w:tbl>
    <w:p>
      <w:pPr>
        <w:spacing w:after="60" w:before="60"/>
      </w:pPr>
    </w:p>
    <w:tbl>
      <w:tblPr>
        <w:tblW w:type="pct" w:w="100%"/>
        <w:tblBorders>
          <w:top w:val="single" w:color="F5A623" w:sz="2"/>
          <w:left w:val="single" w:color="F5A623" w:sz="12"/>
          <w:bottom w:val="single" w:color="F5A623" w:sz="2"/>
          <w:right w:val="single" w:color="F5A623" w:sz="2"/>
          <w:insideH w:val="none"/>
          <w:insideV w:val="none"/>
        </w:tblBorders>
      </w:tblPr>
      <w:tblGrid>
        <w:gridCol w:w="100"/>
      </w:tblGrid>
      <w:tr>
        <w:tc>
          <w:tcPr>
            <w:shd w:fill="FDF3E3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9"/>
                <w:szCs w:val="19"/>
              </w:rPr>
              <w:t xml:space="preserve">Seuil de rentabilité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 Pack Pro vendus par mois (15 000 F l'unité) suffisent à couvrir la totalité des coûts d'infrastructure en année 2 — ou 23 mises en avant d'annonce à 5 000 F. L'infrastructure n'est pas un frein économique : le seul vrai enjeu est l'acquisition d'utilisateurs.</w:t>
            </w:r>
          </w:p>
        </w:tc>
      </w:tr>
    </w:tbl>
    <w:p>
      <w:r>
        <w:br w:type="page"/>
      </w:r>
    </w:p>
    <w:p>
      <w:pPr>
        <w:pBdr>
          <w:bottom w:val="single" w:color="2E7D5B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Ce qui fait réellement la facture</w:t>
      </w:r>
    </w:p>
    <w:p>
      <w:pPr>
        <w:spacing w:after="50" w:before="50"/>
        <w:jc w:val="both"/>
      </w:pPr>
      <w:r>
        <w:rPr>
          <w:rFonts w:ascii="Calibri" w:cs="Calibri" w:eastAsia="Calibri" w:hAnsi="Calibri"/>
          <w:b w:val="false"/>
          <w:bCs w:val="false"/>
          <w:color w:val="1A1A2E"/>
          <w:sz w:val="19"/>
          <w:szCs w:val="19"/>
        </w:rPr>
        <w:t xml:space="preserve">En année 2, deux postes représentent 98 % de la dépense Firebase : le téléchargement des photos d'annonces (54 $ par mois) et les SMS de vérification à l'inscription (75 $ par mois). Tout le reste — base de données, notifications push, logique serveur, statistiques, rapports de plantage — coûte moins de 4 $ par mois cumulés. Ces deux postes sont maîtrisables par des décisions techniques à prendre une seule fois.</w:t>
      </w:r>
    </w:p>
    <w:tbl>
      <w:tblPr>
        <w:tblW w:type="pct" w:w="100%"/>
        <w:tblBorders>
          <w:top w:val="single" w:color="D5DDD8" w:sz="2"/>
          <w:left w:val="single" w:color="D5DDD8" w:sz="2"/>
          <w:bottom w:val="single" w:color="D5DDD8" w:sz="2"/>
          <w:right w:val="single" w:color="D5DDD8" w:sz="2"/>
          <w:insideH w:val="single" w:color="E4EAE6" w:sz="1"/>
          <w:insideV w:val="single" w:color="E4EAE6" w:sz="1"/>
        </w:tblBorders>
      </w:tblPr>
      <w:tblGrid>
        <w:gridCol w:w="1900"/>
        <w:gridCol w:w="4600"/>
        <w:gridCol w:w="1200"/>
        <w:gridCol w:w="1500"/>
      </w:tblGrid>
      <w:tr>
        <w:trPr>
          <w:tblHeader/>
        </w:trPr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Levier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ça change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shd w:fill="2E7D5B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Économie / an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Miniatures des photos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Les listes chargent une vignette de 150 Ko au lieu de la photo entière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Faible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309 600 F</w:t>
            </w:r>
          </w:p>
        </w:tc>
      </w:tr>
      <w:tr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Moins de SMS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Inscription par email ou Google mise en avant ; numéro vérifié seulement à la publication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Moyen</w:t>
            </w:r>
          </w:p>
        </w:tc>
        <w:tc>
          <w:tcPr>
            <w:shd w:fill="FAFBFA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360 000 F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Hébergement Firebase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Le back-office passe sur l'hébergement Firebase déjà inclus, au lieu d'un service payant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Faible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144 000 F</w:t>
            </w:r>
          </w:p>
        </w:tc>
      </w:tr>
      <w:tr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shd w:fill="F0F4F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813 600 F</w:t>
            </w:r>
          </w:p>
        </w:tc>
      </w:tr>
    </w:tbl>
    <w:p>
      <w:pPr>
        <w:pBdr>
          <w:bottom w:val="single" w:color="2E7D5B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Points de vigilance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 compte Apple est un abonnement annuel, pas un achat.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Un oubli de renouvellement retire l'application de l'App Store, et sa remise en ligne impose de repasser toute la revue Apple. À inscrire au calendrier avec une alerte à 30 jours.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Les crédits Firebase expirent au bout de 90 jours.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Le compteur démarre à l'activation de la facturation, pas à la publication : n'activer le plan payant qu'à l'approche réelle de la mise en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Les clés Google Maps doivent être restreintes.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Une clé non restreinte peut être extraite de l'application et utilisée par un tiers à vos frais. Restriction par application et plafond quotidien obligatoires.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L'envoi de SMS peut être attaqué.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Des envois déclenchés massivement coûtent plusieurs centaines de dollars en une nuit. La protection App Check doit être activée en mode strict avant l'ouverture au public.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 plan Firebase ne se coupe pas tout seul.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Des alertes de budget à 50 %, 90 % et 100 % doivent être posées avant le déploiement, pas après.</w:t>
      </w:r>
    </w:p>
    <w:p>
      <w:pPr>
        <w:pBdr>
          <w:bottom w:val="single" w:color="2E7D5B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À faire avant la mise en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Restreindre les clés Google Maps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et poser un plafond de requêtes quotidien.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Configurer les alertes de budget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Firebase et Google Cloud aux trois seuils.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Activer App Check en mode strict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sur la base de données, le stockage et les fonctions serveur.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Faire confirmer par écrit le taux de commission GeniusPay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et l'existence éventuelle de frais fixes par transaction : sur une mise en avant à 5 000 F, un frais fixe pèse plus lourd qu'un pourcentage.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Mettre en place les miniatures de photos </w:t>
      </w:r>
      <w:r>
        <w:rPr>
          <w:rFonts w:ascii="Calibri" w:cs="Calibri" w:eastAsia="Calibri" w:hAnsi="Calibri"/>
          <w:color w:val="1A1A2E"/>
          <w:sz w:val="19"/>
          <w:szCs w:val="19"/>
        </w:rPr>
        <w:t xml:space="preserve">dès les premiers mois, tant que le volume à traiter est faible.</w:t>
      </w:r>
    </w:p>
    <w:p>
      <w:pPr>
        <w:spacing w:after="60" w:before="140"/>
      </w:pPr>
    </w:p>
    <w:p>
      <w:pPr>
        <w:spacing w:after="50" w:before="50"/>
        <w:jc w:val="both"/>
      </w:pPr>
      <w:r>
        <w:rPr>
          <w:rFonts w:ascii="Calibri" w:cs="Calibri" w:eastAsia="Calibri" w:hAnsi="Calibri"/>
          <w:b w:val="false"/>
          <w:bCs w:val="false"/>
          <w:color w:val="6B7280"/>
          <w:sz w:val="17"/>
          <w:szCs w:val="17"/>
        </w:rPr>
        <w:t xml:space="preserve">Réserves — Deux montants restent à confirmer : la commission GeniusPay (3 % retenus en hypothèse) et le prix d'un domaine .ci (30 000 à 35 000 F par an selon le bureau d'enregistrement). Les tarifs cloud sont ceux publiés au 15 août 2026 ; une marge de 15 % est conseillée sur les projections de long terme. Le détail complet des calculs figure dans le document BUDGET_MY_HOME_CI.docx.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00a09e0a7eeb36b89cfbb4676554bcde104c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d'exploitation - synthese - My Home CI</dc:title>
  <dc:creator>My Home CI</dc:creator>
  <dc:description>Synthese budgetaire deux pages - My Home CI</dc:description>
  <cp:lastModifiedBy>Un-named</cp:lastModifiedBy>
  <cp:revision>1</cp:revision>
  <dcterms:created xsi:type="dcterms:W3CDTF">2026-08-15T11:07:59.926Z</dcterms:created>
  <dcterms:modified xsi:type="dcterms:W3CDTF">2026-08-15T11:07:59.932Z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