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46"/>
      </w:tblGrid>
      <w:tr>
        <w:tc>
          <w:tcPr>
            <w:tcW w:type="dxa" w:w="9216"/>
            <w:shd w:val="clear" w:color="auto" w:fill="0F2240"/>
            <w:tcMar>
              <w:top w:w="120" w:type="dxa"/>
              <w:bottom w:w="120" w:type="dxa"/>
              <w:start w:w="160" w:type="dxa"/>
              <w:end w:w="160" w:type="dxa"/>
            </w:tcMar>
          </w:tcPr>
          <w:p>
            <w:pPr>
              <w:jc w:val="center"/>
            </w:pPr>
            <w:r>
              <w:rPr>
                <w:b/>
                <w:color w:val="FFFFFF"/>
                <w:sz w:val="40"/>
              </w:rPr>
              <w:t>PAA-TRAVERSE</w:t>
            </w:r>
          </w:p>
          <w:p>
            <w:pPr>
              <w:jc w:val="center"/>
            </w:pPr>
            <w:r>
              <w:rPr>
                <w:color w:val="CFDDEE"/>
                <w:sz w:val="22"/>
              </w:rPr>
              <w:t>Guide de présentation devant les autorités portuaires</w:t>
            </w:r>
          </w:p>
        </w:tc>
      </w:tr>
    </w:tbl>
    <w:p>
      <w:pPr>
        <w:spacing w:after="240"/>
      </w:pPr>
    </w:p>
    <w:p>
      <w:pPr>
        <w:spacing w:after="80" w:before="0"/>
        <w:jc w:val="center"/>
      </w:pPr>
      <w:r>
        <w:rPr>
          <w:b w:val="0"/>
          <w:i/>
          <w:color w:val="1B3A63"/>
          <w:sz w:val="26"/>
        </w:rPr>
        <w:t>« Préparer le parcours de l’application pour le grand jour »</w:t>
      </w:r>
    </w:p>
    <w:p>
      <w:pPr>
        <w:spacing w:after="240" w:before="0"/>
        <w:jc w:val="center"/>
      </w:pPr>
      <w:r>
        <w:rPr>
          <w:b w:val="0"/>
          <w:i w:val="0"/>
          <w:color w:val="505050"/>
          <w:sz w:val="20"/>
        </w:rPr>
        <w:t>Document interne de préparation — Équipe HACKHATONIA</w:t>
      </w:r>
    </w:p>
    <w:p>
      <w:pPr>
        <w:pStyle w:val="Heading1"/>
      </w:pPr>
      <w:r>
        <w:t>1. Objectif et état d’esprit</w:t>
      </w:r>
    </w:p>
    <w:p>
      <w:pPr>
        <w:spacing w:after="100" w:before="0"/>
      </w:pPr>
      <w:r>
        <w:rPr>
          <w:b w:val="0"/>
          <w:i w:val="0"/>
          <w:sz w:val="21"/>
        </w:rPr>
        <w:t>Ce guide sert à préparer et répéter la présentation de PAA-Traverse devant le jury et les autorités du Port Autonome d’Abidjan. L’objectif n’est pas de tout montrer, mais de raconter une histoire claire et de faire vivre une démonstration qui tourne.</w:t>
      </w:r>
    </w:p>
    <w:tbl>
      <w:tblPr>
        <w:tblStyle w:val="TableGrid"/>
        <w:tblW w:type="auto" w:w="0"/>
        <w:jc w:val="center"/>
        <w:tblLook w:firstColumn="1" w:firstRow="1" w:lastColumn="0" w:lastRow="0" w:noHBand="0" w:noVBand="1" w:val="04A0"/>
      </w:tblPr>
      <w:tblGrid>
        <w:gridCol w:w="9746"/>
      </w:tblGrid>
      <w:tr>
        <w:tc>
          <w:tcPr>
            <w:tcW w:type="dxa" w:w="9216"/>
            <w:shd w:val="clear" w:color="auto" w:fill="EAF0F7"/>
            <w:tcMar>
              <w:top w:w="110" w:type="dxa"/>
              <w:bottom w:w="110" w:type="dxa"/>
              <w:start w:w="150" w:type="dxa"/>
              <w:end w:w="150" w:type="dxa"/>
            </w:tcMar>
          </w:tcPr>
          <w:p>
            <w:r>
              <w:rPr>
                <w:b/>
                <w:color w:val="1E5F9E"/>
                <w:sz w:val="20"/>
              </w:rPr>
              <w:t>La règle d’or du jour J</w:t>
            </w:r>
          </w:p>
          <w:p>
            <w:r>
              <w:rPr>
                <w:sz w:val="20"/>
              </w:rPr>
              <w:t>Toujours garder une démo qui fonctionne. Mieux vaut montrer 4 écrans nets et convaincants qu’un système ambitieux qui ne s’affiche pas. On raconte d’abord le problème humain (un camion bloqué, des heures perdues), puis on montre la solution qui l’évite.</w:t>
            </w:r>
          </w:p>
        </w:tc>
      </w:tr>
    </w:tbl>
    <w:p>
      <w:pPr>
        <w:spacing w:after="40"/>
      </w:pPr>
    </w:p>
    <w:p>
      <w:pPr>
        <w:spacing w:after="100" w:before="0"/>
      </w:pPr>
      <w:r>
        <w:rPr>
          <w:b w:val="0"/>
          <w:i w:val="0"/>
          <w:sz w:val="21"/>
        </w:rPr>
        <w:t>Le pitch est noté sur 10 % de la grille officielle (clarté, storytelling, gestion du temps, réponses au jury), mais une bonne démonstration renforce aussi la pertinence (20 %), l’utilisabilité (20 %) et l’impact décisionnel (15 %). Soigner ce moment, c’est marquer sur plusieurs critères à la fois.</w:t>
      </w:r>
    </w:p>
    <w:p>
      <w:pPr>
        <w:pStyle w:val="Heading1"/>
      </w:pPr>
      <w:r>
        <w:t>2. Le fil narratif en 4 temps</w:t>
      </w:r>
    </w:p>
    <w:p>
      <w:pPr>
        <w:spacing w:after="100" w:before="0"/>
      </w:pPr>
      <w:r>
        <w:rPr>
          <w:b w:val="0"/>
          <w:i w:val="0"/>
          <w:sz w:val="21"/>
        </w:rPr>
        <w:t>Structurer le récit exactement comme la présentation PowerPoint :</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val="clear" w:color="auto" w:fill="0F2240"/>
            <w:tcMar>
              <w:top w:w="60" w:type="dxa"/>
              <w:bottom w:w="60" w:type="dxa"/>
              <w:start w:w="110" w:type="dxa"/>
              <w:end w:w="110" w:type="dxa"/>
            </w:tcMar>
          </w:tcPr>
          <w:p>
            <w:r>
              <w:rPr>
                <w:b/>
                <w:color w:val="FFFFFF"/>
                <w:sz w:val="19"/>
              </w:rPr>
              <w:t>Temps</w:t>
            </w:r>
          </w:p>
        </w:tc>
        <w:tc>
          <w:tcPr>
            <w:tcW w:type="dxa" w:w="5328"/>
            <w:shd w:val="clear" w:color="auto" w:fill="0F2240"/>
            <w:tcMar>
              <w:top w:w="60" w:type="dxa"/>
              <w:bottom w:w="60" w:type="dxa"/>
              <w:start w:w="110" w:type="dxa"/>
              <w:end w:w="110" w:type="dxa"/>
            </w:tcMar>
          </w:tcPr>
          <w:p>
            <w:r>
              <w:rPr>
                <w:b/>
                <w:color w:val="FFFFFF"/>
                <w:sz w:val="19"/>
              </w:rPr>
              <w:t>Message</w:t>
            </w:r>
          </w:p>
        </w:tc>
        <w:tc>
          <w:tcPr>
            <w:tcW w:type="dxa" w:w="1440"/>
            <w:shd w:val="clear" w:color="auto" w:fill="0F2240"/>
            <w:tcMar>
              <w:top w:w="60" w:type="dxa"/>
              <w:bottom w:w="60" w:type="dxa"/>
              <w:start w:w="110" w:type="dxa"/>
              <w:end w:w="110" w:type="dxa"/>
            </w:tcMar>
          </w:tcPr>
          <w:p>
            <w:r>
              <w:rPr>
                <w:b/>
                <w:color w:val="FFFFFF"/>
                <w:sz w:val="19"/>
              </w:rPr>
              <w:t>Durée cible</w:t>
            </w:r>
          </w:p>
        </w:tc>
      </w:tr>
      <w:tr>
        <w:tc>
          <w:tcPr>
            <w:tcW w:type="dxa" w:w="3168"/>
            <w:tcMar>
              <w:top w:w="60" w:type="dxa"/>
              <w:bottom w:w="60" w:type="dxa"/>
              <w:start w:w="110" w:type="dxa"/>
              <w:end w:w="110" w:type="dxa"/>
            </w:tcMar>
          </w:tcPr>
          <w:p>
            <w:r>
              <w:rPr>
                <w:b/>
                <w:color w:val="1B3A63"/>
                <w:sz w:val="19"/>
              </w:rPr>
              <w:t>1. Contexte &amp; problématique</w:t>
            </w:r>
          </w:p>
        </w:tc>
        <w:tc>
          <w:tcPr>
            <w:tcW w:type="dxa" w:w="5328"/>
            <w:tcMar>
              <w:top w:w="60" w:type="dxa"/>
              <w:bottom w:w="60" w:type="dxa"/>
              <w:start w:w="110" w:type="dxa"/>
              <w:end w:w="110" w:type="dxa"/>
            </w:tcMar>
          </w:tcPr>
          <w:p>
            <w:r>
              <w:rPr>
                <w:sz w:val="19"/>
              </w:rPr>
              <w:t>Le temps de traversée est un indicateur clé du Contrat de Performance ; sa mesure était manuelle et fragile.</w:t>
            </w:r>
          </w:p>
        </w:tc>
        <w:tc>
          <w:tcPr>
            <w:tcW w:type="dxa" w:w="1440"/>
            <w:tcMar>
              <w:top w:w="60" w:type="dxa"/>
              <w:bottom w:w="60" w:type="dxa"/>
              <w:start w:w="110" w:type="dxa"/>
              <w:end w:w="110" w:type="dxa"/>
            </w:tcMar>
          </w:tcPr>
          <w:p>
            <w:r>
              <w:rPr>
                <w:sz w:val="19"/>
              </w:rPr>
              <w:t>≈ 1 min 30</w:t>
            </w:r>
          </w:p>
        </w:tc>
      </w:tr>
      <w:tr>
        <w:tc>
          <w:tcPr>
            <w:tcW w:type="dxa" w:w="3168"/>
            <w:tcMar>
              <w:top w:w="60" w:type="dxa"/>
              <w:bottom w:w="60" w:type="dxa"/>
              <w:start w:w="110" w:type="dxa"/>
              <w:end w:w="110" w:type="dxa"/>
            </w:tcMar>
            <w:shd w:val="clear" w:color="auto" w:fill="F4F7FB"/>
          </w:tcPr>
          <w:p>
            <w:r>
              <w:rPr>
                <w:b/>
                <w:color w:val="1B3A63"/>
                <w:sz w:val="19"/>
              </w:rPr>
              <w:t>2. Problèmes humains &amp; solutions</w:t>
            </w:r>
          </w:p>
        </w:tc>
        <w:tc>
          <w:tcPr>
            <w:tcW w:type="dxa" w:w="5328"/>
            <w:tcMar>
              <w:top w:w="60" w:type="dxa"/>
              <w:bottom w:w="60" w:type="dxa"/>
              <w:start w:w="110" w:type="dxa"/>
              <w:end w:w="110" w:type="dxa"/>
            </w:tcMar>
            <w:shd w:val="clear" w:color="auto" w:fill="F4F7FB"/>
          </w:tcPr>
          <w:p>
            <w:r>
              <w:rPr>
                <w:sz w:val="19"/>
              </w:rPr>
              <w:t>Pour chaque acteur (transporteur, gestionnaire, décideur), un problème concret et la fonctionnalité qui le résout.</w:t>
            </w:r>
          </w:p>
        </w:tc>
        <w:tc>
          <w:tcPr>
            <w:tcW w:type="dxa" w:w="1440"/>
            <w:tcMar>
              <w:top w:w="60" w:type="dxa"/>
              <w:bottom w:w="60" w:type="dxa"/>
              <w:start w:w="110" w:type="dxa"/>
              <w:end w:w="110" w:type="dxa"/>
            </w:tcMar>
            <w:shd w:val="clear" w:color="auto" w:fill="F4F7FB"/>
          </w:tcPr>
          <w:p>
            <w:r>
              <w:rPr>
                <w:sz w:val="19"/>
              </w:rPr>
              <w:t>≈ 2 min 30</w:t>
            </w:r>
          </w:p>
        </w:tc>
      </w:tr>
      <w:tr>
        <w:tc>
          <w:tcPr>
            <w:tcW w:type="dxa" w:w="3168"/>
            <w:tcMar>
              <w:top w:w="60" w:type="dxa"/>
              <w:bottom w:w="60" w:type="dxa"/>
              <w:start w:w="110" w:type="dxa"/>
              <w:end w:w="110" w:type="dxa"/>
            </w:tcMar>
          </w:tcPr>
          <w:p>
            <w:r>
              <w:rPr>
                <w:b/>
                <w:color w:val="1B3A63"/>
                <w:sz w:val="19"/>
              </w:rPr>
              <w:t>3. Ajouts &amp; surplus</w:t>
            </w:r>
          </w:p>
        </w:tc>
        <w:tc>
          <w:tcPr>
            <w:tcW w:type="dxa" w:w="5328"/>
            <w:tcMar>
              <w:top w:w="60" w:type="dxa"/>
              <w:bottom w:w="60" w:type="dxa"/>
              <w:start w:w="110" w:type="dxa"/>
              <w:end w:w="110" w:type="dxa"/>
            </w:tcMar>
          </w:tcPr>
          <w:p>
            <w:r>
              <w:rPr>
                <w:sz w:val="19"/>
              </w:rPr>
              <w:t>Ce qui approfondit la solution — surtout les tronçons codifiés qui localisent la congestion.</w:t>
            </w:r>
          </w:p>
        </w:tc>
        <w:tc>
          <w:tcPr>
            <w:tcW w:type="dxa" w:w="1440"/>
            <w:tcMar>
              <w:top w:w="60" w:type="dxa"/>
              <w:bottom w:w="60" w:type="dxa"/>
              <w:start w:w="110" w:type="dxa"/>
              <w:end w:w="110" w:type="dxa"/>
            </w:tcMar>
          </w:tcPr>
          <w:p>
            <w:r>
              <w:rPr>
                <w:sz w:val="19"/>
              </w:rPr>
              <w:t>≈ 1 min 30</w:t>
            </w:r>
          </w:p>
        </w:tc>
      </w:tr>
      <w:tr>
        <w:tc>
          <w:tcPr>
            <w:tcW w:type="dxa" w:w="3168"/>
            <w:tcMar>
              <w:top w:w="60" w:type="dxa"/>
              <w:bottom w:w="60" w:type="dxa"/>
              <w:start w:w="110" w:type="dxa"/>
              <w:end w:w="110" w:type="dxa"/>
            </w:tcMar>
            <w:shd w:val="clear" w:color="auto" w:fill="F4F7FB"/>
          </w:tcPr>
          <w:p>
            <w:r>
              <w:rPr>
                <w:b/>
                <w:color w:val="1B3A63"/>
                <w:sz w:val="19"/>
              </w:rPr>
              <w:t>4. Conclusion</w:t>
            </w:r>
          </w:p>
        </w:tc>
        <w:tc>
          <w:tcPr>
            <w:tcW w:type="dxa" w:w="5328"/>
            <w:tcMar>
              <w:top w:w="60" w:type="dxa"/>
              <w:bottom w:w="60" w:type="dxa"/>
              <w:start w:w="110" w:type="dxa"/>
              <w:end w:w="110" w:type="dxa"/>
            </w:tcMar>
            <w:shd w:val="clear" w:color="auto" w:fill="F4F7FB"/>
          </w:tcPr>
          <w:p>
            <w:r>
              <w:rPr>
                <w:sz w:val="19"/>
              </w:rPr>
              <w:t>Conformité DEESP, l’application EST le système d’alerte temps réel recommandé, puis les liens.</w:t>
            </w:r>
          </w:p>
        </w:tc>
        <w:tc>
          <w:tcPr>
            <w:tcW w:type="dxa" w:w="1440"/>
            <w:tcMar>
              <w:top w:w="60" w:type="dxa"/>
              <w:bottom w:w="60" w:type="dxa"/>
              <w:start w:w="110" w:type="dxa"/>
              <w:end w:w="110" w:type="dxa"/>
            </w:tcMar>
            <w:shd w:val="clear" w:color="auto" w:fill="F4F7FB"/>
          </w:tcPr>
          <w:p>
            <w:r>
              <w:rPr>
                <w:sz w:val="19"/>
              </w:rPr>
              <w:t>≈ 1 min</w:t>
            </w:r>
          </w:p>
        </w:tc>
      </w:tr>
    </w:tbl>
    <w:p>
      <w:pPr>
        <w:spacing w:after="40"/>
      </w:pPr>
    </w:p>
    <w:p>
      <w:pPr>
        <w:spacing w:after="80" w:before="0"/>
      </w:pPr>
      <w:r>
        <w:rPr>
          <w:b w:val="0"/>
          <w:i w:val="0"/>
          <w:sz w:val="21"/>
        </w:rPr>
        <w:t>Total visé : 6 à 7 minutes de parole, en gardant ~1 minute de marge pour la démonstration live et les transitions.</w:t>
      </w:r>
    </w:p>
    <w:p>
      <w:pPr>
        <w:pStyle w:val="Heading1"/>
      </w:pPr>
      <w:r>
        <w:t>3. Chronométrage recommandé (7 minutes)</w:t>
      </w:r>
    </w:p>
    <w:tbl>
      <w:tblPr>
        <w:tblStyle w:val="TableGrid"/>
        <w:tblW w:type="auto" w:w="0"/>
        <w:jc w:val="center"/>
        <w:tblLook w:firstColumn="1" w:firstRow="1" w:lastColumn="0" w:lastRow="0" w:noHBand="0" w:noVBand="1" w:val="04A0"/>
      </w:tblPr>
      <w:tblGrid>
        <w:gridCol w:w="3249"/>
        <w:gridCol w:w="3249"/>
        <w:gridCol w:w="3249"/>
      </w:tblGrid>
      <w:tr>
        <w:tc>
          <w:tcPr>
            <w:tcW w:type="dxa" w:w="2016"/>
            <w:shd w:val="clear" w:color="auto" w:fill="0F2240"/>
            <w:tcMar>
              <w:top w:w="60" w:type="dxa"/>
              <w:bottom w:w="60" w:type="dxa"/>
              <w:start w:w="110" w:type="dxa"/>
              <w:end w:w="110" w:type="dxa"/>
            </w:tcMar>
          </w:tcPr>
          <w:p>
            <w:r>
              <w:rPr>
                <w:b/>
                <w:color w:val="FFFFFF"/>
                <w:sz w:val="19"/>
              </w:rPr>
              <w:t>Minute</w:t>
            </w:r>
          </w:p>
        </w:tc>
        <w:tc>
          <w:tcPr>
            <w:tcW w:type="dxa" w:w="5184"/>
            <w:shd w:val="clear" w:color="auto" w:fill="0F2240"/>
            <w:tcMar>
              <w:top w:w="60" w:type="dxa"/>
              <w:bottom w:w="60" w:type="dxa"/>
              <w:start w:w="110" w:type="dxa"/>
              <w:end w:w="110" w:type="dxa"/>
            </w:tcMar>
          </w:tcPr>
          <w:p>
            <w:r>
              <w:rPr>
                <w:b/>
                <w:color w:val="FFFFFF"/>
                <w:sz w:val="19"/>
              </w:rPr>
              <w:t>Contenu</w:t>
            </w:r>
          </w:p>
        </w:tc>
        <w:tc>
          <w:tcPr>
            <w:tcW w:type="dxa" w:w="2736"/>
            <w:shd w:val="clear" w:color="auto" w:fill="0F2240"/>
            <w:tcMar>
              <w:top w:w="60" w:type="dxa"/>
              <w:bottom w:w="60" w:type="dxa"/>
              <w:start w:w="110" w:type="dxa"/>
              <w:end w:w="110" w:type="dxa"/>
            </w:tcMar>
          </w:tcPr>
          <w:p>
            <w:r>
              <w:rPr>
                <w:b/>
                <w:color w:val="FFFFFF"/>
                <w:sz w:val="19"/>
              </w:rPr>
              <w:t>Support</w:t>
            </w:r>
          </w:p>
        </w:tc>
      </w:tr>
      <w:tr>
        <w:tc>
          <w:tcPr>
            <w:tcW w:type="dxa" w:w="2016"/>
            <w:tcMar>
              <w:top w:w="60" w:type="dxa"/>
              <w:bottom w:w="60" w:type="dxa"/>
              <w:start w:w="110" w:type="dxa"/>
              <w:end w:w="110" w:type="dxa"/>
            </w:tcMar>
          </w:tcPr>
          <w:p>
            <w:r>
              <w:rPr>
                <w:b/>
                <w:color w:val="1B3A63"/>
                <w:sz w:val="19"/>
              </w:rPr>
              <w:t>0:00 – 1:30</w:t>
            </w:r>
          </w:p>
        </w:tc>
        <w:tc>
          <w:tcPr>
            <w:tcW w:type="dxa" w:w="5184"/>
            <w:tcMar>
              <w:top w:w="60" w:type="dxa"/>
              <w:bottom w:w="60" w:type="dxa"/>
              <w:start w:w="110" w:type="dxa"/>
              <w:end w:w="110" w:type="dxa"/>
            </w:tcMar>
          </w:tcPr>
          <w:p>
            <w:r>
              <w:rPr>
                <w:sz w:val="19"/>
              </w:rPr>
              <w:t>Accroche + contexte + problématique</w:t>
            </w:r>
          </w:p>
        </w:tc>
        <w:tc>
          <w:tcPr>
            <w:tcW w:type="dxa" w:w="2736"/>
            <w:tcMar>
              <w:top w:w="60" w:type="dxa"/>
              <w:bottom w:w="60" w:type="dxa"/>
              <w:start w:w="110" w:type="dxa"/>
              <w:end w:w="110" w:type="dxa"/>
            </w:tcMar>
          </w:tcPr>
          <w:p>
            <w:r>
              <w:rPr>
                <w:sz w:val="19"/>
              </w:rPr>
              <w:t>Slides 1 à 6</w:t>
            </w:r>
          </w:p>
        </w:tc>
      </w:tr>
      <w:tr>
        <w:tc>
          <w:tcPr>
            <w:tcW w:type="dxa" w:w="2016"/>
            <w:tcMar>
              <w:top w:w="60" w:type="dxa"/>
              <w:bottom w:w="60" w:type="dxa"/>
              <w:start w:w="110" w:type="dxa"/>
              <w:end w:w="110" w:type="dxa"/>
            </w:tcMar>
            <w:shd w:val="clear" w:color="auto" w:fill="F4F7FB"/>
          </w:tcPr>
          <w:p>
            <w:r>
              <w:rPr>
                <w:b/>
                <w:color w:val="1B3A63"/>
                <w:sz w:val="19"/>
              </w:rPr>
              <w:t>1:30 – 4:00</w:t>
            </w:r>
          </w:p>
        </w:tc>
        <w:tc>
          <w:tcPr>
            <w:tcW w:type="dxa" w:w="5184"/>
            <w:tcMar>
              <w:top w:w="60" w:type="dxa"/>
              <w:bottom w:w="60" w:type="dxa"/>
              <w:start w:w="110" w:type="dxa"/>
              <w:end w:w="110" w:type="dxa"/>
            </w:tcMar>
            <w:shd w:val="clear" w:color="auto" w:fill="F4F7FB"/>
          </w:tcPr>
          <w:p>
            <w:r>
              <w:rPr>
                <w:sz w:val="19"/>
              </w:rPr>
              <w:t>Problèmes humains → solutions + démo carte</w:t>
            </w:r>
          </w:p>
        </w:tc>
        <w:tc>
          <w:tcPr>
            <w:tcW w:type="dxa" w:w="2736"/>
            <w:tcMar>
              <w:top w:w="60" w:type="dxa"/>
              <w:bottom w:w="60" w:type="dxa"/>
              <w:start w:w="110" w:type="dxa"/>
              <w:end w:w="110" w:type="dxa"/>
            </w:tcMar>
            <w:shd w:val="clear" w:color="auto" w:fill="F4F7FB"/>
          </w:tcPr>
          <w:p>
            <w:r>
              <w:rPr>
                <w:sz w:val="19"/>
              </w:rPr>
              <w:t>Slides 8 à 11 + application</w:t>
            </w:r>
          </w:p>
        </w:tc>
      </w:tr>
      <w:tr>
        <w:tc>
          <w:tcPr>
            <w:tcW w:type="dxa" w:w="2016"/>
            <w:tcMar>
              <w:top w:w="60" w:type="dxa"/>
              <w:bottom w:w="60" w:type="dxa"/>
              <w:start w:w="110" w:type="dxa"/>
              <w:end w:w="110" w:type="dxa"/>
            </w:tcMar>
          </w:tcPr>
          <w:p>
            <w:r>
              <w:rPr>
                <w:b/>
                <w:color w:val="1B3A63"/>
                <w:sz w:val="19"/>
              </w:rPr>
              <w:t>4:00 – 5:30</w:t>
            </w:r>
          </w:p>
        </w:tc>
        <w:tc>
          <w:tcPr>
            <w:tcW w:type="dxa" w:w="5184"/>
            <w:tcMar>
              <w:top w:w="60" w:type="dxa"/>
              <w:bottom w:w="60" w:type="dxa"/>
              <w:start w:w="110" w:type="dxa"/>
              <w:end w:w="110" w:type="dxa"/>
            </w:tcMar>
          </w:tcPr>
          <w:p>
            <w:r>
              <w:rPr>
                <w:sz w:val="19"/>
              </w:rPr>
              <w:t>Ajouts (tronçons codifiés en vedette) + démo</w:t>
            </w:r>
          </w:p>
        </w:tc>
        <w:tc>
          <w:tcPr>
            <w:tcW w:type="dxa" w:w="2736"/>
            <w:tcMar>
              <w:top w:w="60" w:type="dxa"/>
              <w:bottom w:w="60" w:type="dxa"/>
              <w:start w:w="110" w:type="dxa"/>
              <w:end w:w="110" w:type="dxa"/>
            </w:tcMar>
          </w:tcPr>
          <w:p>
            <w:r>
              <w:rPr>
                <w:sz w:val="19"/>
              </w:rPr>
              <w:t>Slides 14 à 17 + application</w:t>
            </w:r>
          </w:p>
        </w:tc>
      </w:tr>
      <w:tr>
        <w:tc>
          <w:tcPr>
            <w:tcW w:type="dxa" w:w="2016"/>
            <w:tcMar>
              <w:top w:w="60" w:type="dxa"/>
              <w:bottom w:w="60" w:type="dxa"/>
              <w:start w:w="110" w:type="dxa"/>
              <w:end w:w="110" w:type="dxa"/>
            </w:tcMar>
            <w:shd w:val="clear" w:color="auto" w:fill="F4F7FB"/>
          </w:tcPr>
          <w:p>
            <w:r>
              <w:rPr>
                <w:b/>
                <w:color w:val="1B3A63"/>
                <w:sz w:val="19"/>
              </w:rPr>
              <w:t>5:30 – 6:30</w:t>
            </w:r>
          </w:p>
        </w:tc>
        <w:tc>
          <w:tcPr>
            <w:tcW w:type="dxa" w:w="5184"/>
            <w:tcMar>
              <w:top w:w="60" w:type="dxa"/>
              <w:bottom w:w="60" w:type="dxa"/>
              <w:start w:w="110" w:type="dxa"/>
              <w:end w:w="110" w:type="dxa"/>
            </w:tcMar>
            <w:shd w:val="clear" w:color="auto" w:fill="F4F7FB"/>
          </w:tcPr>
          <w:p>
            <w:r>
              <w:rPr>
                <w:sz w:val="19"/>
              </w:rPr>
              <w:t>Conformité DEESP + impact</w:t>
            </w:r>
          </w:p>
        </w:tc>
        <w:tc>
          <w:tcPr>
            <w:tcW w:type="dxa" w:w="2736"/>
            <w:tcMar>
              <w:top w:w="60" w:type="dxa"/>
              <w:bottom w:w="60" w:type="dxa"/>
              <w:start w:w="110" w:type="dxa"/>
              <w:end w:w="110" w:type="dxa"/>
            </w:tcMar>
            <w:shd w:val="clear" w:color="auto" w:fill="F4F7FB"/>
          </w:tcPr>
          <w:p>
            <w:r>
              <w:rPr>
                <w:sz w:val="19"/>
              </w:rPr>
              <w:t>Slides 19 à 20</w:t>
            </w:r>
          </w:p>
        </w:tc>
      </w:tr>
      <w:tr>
        <w:tc>
          <w:tcPr>
            <w:tcW w:type="dxa" w:w="2016"/>
            <w:tcMar>
              <w:top w:w="60" w:type="dxa"/>
              <w:bottom w:w="60" w:type="dxa"/>
              <w:start w:w="110" w:type="dxa"/>
              <w:end w:w="110" w:type="dxa"/>
            </w:tcMar>
          </w:tcPr>
          <w:p>
            <w:r>
              <w:rPr>
                <w:b/>
                <w:color w:val="1B3A63"/>
                <w:sz w:val="19"/>
              </w:rPr>
              <w:t>6:30 – 7:00</w:t>
            </w:r>
          </w:p>
        </w:tc>
        <w:tc>
          <w:tcPr>
            <w:tcW w:type="dxa" w:w="5184"/>
            <w:tcMar>
              <w:top w:w="60" w:type="dxa"/>
              <w:bottom w:w="60" w:type="dxa"/>
              <w:start w:w="110" w:type="dxa"/>
              <w:end w:w="110" w:type="dxa"/>
            </w:tcMar>
          </w:tcPr>
          <w:p>
            <w:r>
              <w:rPr>
                <w:sz w:val="19"/>
              </w:rPr>
              <w:t>Conclusion + liens + remerciements</w:t>
            </w:r>
          </w:p>
        </w:tc>
        <w:tc>
          <w:tcPr>
            <w:tcW w:type="dxa" w:w="2736"/>
            <w:tcMar>
              <w:top w:w="60" w:type="dxa"/>
              <w:bottom w:w="60" w:type="dxa"/>
              <w:start w:w="110" w:type="dxa"/>
              <w:end w:w="110" w:type="dxa"/>
            </w:tcMar>
          </w:tcPr>
          <w:p>
            <w:r>
              <w:rPr>
                <w:sz w:val="19"/>
              </w:rPr>
              <w:t>Slide 21</w:t>
            </w:r>
          </w:p>
        </w:tc>
      </w:tr>
    </w:tbl>
    <w:p>
      <w:pPr>
        <w:spacing w:after="40"/>
      </w:pPr>
    </w:p>
    <w:p>
      <w:pPr>
        <w:pStyle w:val="Heading1"/>
      </w:pPr>
      <w:r>
        <w:t>4. Le parcours de démonstration de l’application</w:t>
      </w:r>
    </w:p>
    <w:p>
      <w:pPr>
        <w:spacing w:after="100" w:before="0"/>
      </w:pPr>
      <w:r>
        <w:rPr>
          <w:b w:val="0"/>
          <w:i w:val="0"/>
          <w:sz w:val="21"/>
        </w:rPr>
        <w:t>Enchaînement recommandé, écran par écran. Pour chaque étape : ce qu’on montre et ce qu’on dit. Répéter cet enchaînement jusqu’à le faire de mémoire, sans hésitation.</w:t>
      </w:r>
    </w:p>
    <w:p>
      <w:pPr>
        <w:pStyle w:val="Heading3"/>
      </w:pPr>
      <w:r>
        <w:t>Étape 0 — Connexion</w:t>
      </w:r>
    </w:p>
    <w:p>
      <w:pPr>
        <w:spacing w:after="100" w:before="0"/>
      </w:pPr>
      <w:r>
        <w:rPr>
          <w:b/>
          <w:i w:val="0"/>
          <w:color w:val="1E5F9E"/>
          <w:sz w:val="21"/>
        </w:rPr>
        <w:t xml:space="preserve">À montrer :  </w:t>
      </w:r>
      <w:r>
        <w:rPr>
          <w:b w:val="0"/>
          <w:i w:val="0"/>
          <w:sz w:val="21"/>
        </w:rPr>
        <w:t>Saisir le mot de passe (niveau lecture pour la démo), laisser passer l’écran de démarrage HACKATONIA.</w:t>
      </w:r>
    </w:p>
    <w:p>
      <w:pPr>
        <w:spacing w:after="160" w:before="0"/>
      </w:pPr>
      <w:r>
        <w:rPr>
          <w:b/>
          <w:i w:val="0"/>
          <w:color w:val="157F3C"/>
          <w:sz w:val="21"/>
        </w:rPr>
        <w:t xml:space="preserve">À dire :  </w:t>
      </w:r>
      <w:r>
        <w:rPr>
          <w:b w:val="0"/>
          <w:i w:val="0"/>
          <w:sz w:val="21"/>
        </w:rPr>
        <w:t>« L’accès est protégé par deux niveaux : lecture pour consulter, écriture pour administrer. »</w:t>
      </w:r>
    </w:p>
    <w:p>
      <w:pPr>
        <w:pStyle w:val="Heading3"/>
      </w:pPr>
      <w:r>
        <w:t>Étape 1 — Carte d’accueil — la vue d’ensemble</w:t>
      </w:r>
    </w:p>
    <w:p>
      <w:pPr>
        <w:spacing w:after="100" w:before="0"/>
      </w:pPr>
      <w:r>
        <w:rPr>
          <w:b/>
          <w:i w:val="0"/>
          <w:color w:val="1E5F9E"/>
          <w:sz w:val="21"/>
        </w:rPr>
        <w:t xml:space="preserve">À montrer :  </w:t>
      </w:r>
      <w:r>
        <w:rPr>
          <w:b w:val="0"/>
          <w:i w:val="0"/>
          <w:sz w:val="21"/>
        </w:rPr>
        <w:t>La carte s’ouvre en zoomant automatiquement sur le point chaud. Montrer les tronçons colorés, le panneau latéral (compteurs, point chaud, liste triée) et le toggle satellite.</w:t>
      </w:r>
    </w:p>
    <w:p>
      <w:pPr>
        <w:spacing w:after="160" w:before="0"/>
      </w:pPr>
      <w:r>
        <w:rPr>
          <w:b/>
          <w:i w:val="0"/>
          <w:color w:val="157F3C"/>
          <w:sz w:val="21"/>
        </w:rPr>
        <w:t xml:space="preserve">À dire :  </w:t>
      </w:r>
      <w:r>
        <w:rPr>
          <w:b w:val="0"/>
          <w:i w:val="0"/>
          <w:sz w:val="21"/>
        </w:rPr>
        <w:t>« En un coup d’œil, le gestionnaire voit l’état des 6 axes : ce qui est fluide en vert, congestionné en rouge. Tout se met à jour en direct, sans action de sa part. »</w:t>
      </w:r>
    </w:p>
    <w:p>
      <w:pPr>
        <w:pStyle w:val="Heading3"/>
      </w:pPr>
      <w:r>
        <w:t>Étape 2 — Cliquer un tronçon</w:t>
      </w:r>
    </w:p>
    <w:p>
      <w:pPr>
        <w:spacing w:after="100" w:before="0"/>
      </w:pPr>
      <w:r>
        <w:rPr>
          <w:b/>
          <w:i w:val="0"/>
          <w:color w:val="1E5F9E"/>
          <w:sz w:val="21"/>
        </w:rPr>
        <w:t xml:space="preserve">À montrer :  </w:t>
      </w:r>
      <w:r>
        <w:rPr>
          <w:b w:val="0"/>
          <w:i w:val="0"/>
          <w:sz w:val="21"/>
        </w:rPr>
        <w:t>Cliquer un tronçon dans le panneau : les marqueurs vert (départ) et rouge (arrivée) apparaissent sur la carte, avec le temps actuel de traversée.</w:t>
      </w:r>
    </w:p>
    <w:p>
      <w:pPr>
        <w:spacing w:after="160" w:before="0"/>
      </w:pPr>
      <w:r>
        <w:rPr>
          <w:b/>
          <w:i w:val="0"/>
          <w:color w:val="157F3C"/>
          <w:sz w:val="21"/>
        </w:rPr>
        <w:t xml:space="preserve">À dire :  </w:t>
      </w:r>
      <w:r>
        <w:rPr>
          <w:b w:val="0"/>
          <w:i w:val="0"/>
          <w:sz w:val="21"/>
        </w:rPr>
        <w:t>« Chaque axe est mesuré dans les deux sens, avec son temps réel et son écart au temps de référence de 50 km/h. »</w:t>
      </w:r>
    </w:p>
    <w:p>
      <w:pPr>
        <w:pStyle w:val="Heading3"/>
      </w:pPr>
      <w:r>
        <w:t>Étape 3 — Page Indicateurs</w:t>
      </w:r>
    </w:p>
    <w:p>
      <w:pPr>
        <w:spacing w:after="100" w:before="0"/>
      </w:pPr>
      <w:r>
        <w:rPr>
          <w:b/>
          <w:i w:val="0"/>
          <w:color w:val="1E5F9E"/>
          <w:sz w:val="21"/>
        </w:rPr>
        <w:t xml:space="preserve">À montrer :  </w:t>
      </w:r>
      <w:r>
        <w:rPr>
          <w:b w:val="0"/>
          <w:i w:val="0"/>
          <w:sz w:val="21"/>
        </w:rPr>
        <w:t>Changer la période (24 h → 7 j → 30 j). Montrer les KPI (temps moyen/min/max, taux de congestion) et la courbe de la journée.</w:t>
      </w:r>
    </w:p>
    <w:p>
      <w:pPr>
        <w:spacing w:after="160" w:before="0"/>
      </w:pPr>
      <w:r>
        <w:rPr>
          <w:b/>
          <w:i w:val="0"/>
          <w:color w:val="157F3C"/>
          <w:sz w:val="21"/>
        </w:rPr>
        <w:t xml:space="preserve">À dire :  </w:t>
      </w:r>
      <w:r>
        <w:rPr>
          <w:b w:val="0"/>
          <w:i w:val="0"/>
          <w:sz w:val="21"/>
        </w:rPr>
        <w:t>« On passe du temps réel à l’analyse : sur 7 ou 30 jours, quel est le taux de congestion, quand sont les pics ? Et on exporte tout en un clic (CSV/Excel). »</w:t>
      </w:r>
    </w:p>
    <w:p>
      <w:pPr>
        <w:pStyle w:val="Heading3"/>
      </w:pPr>
      <w:r>
        <w:t>Étape 4 — Page Rapport DEESP</w:t>
      </w:r>
    </w:p>
    <w:p>
      <w:pPr>
        <w:spacing w:after="100" w:before="0"/>
      </w:pPr>
      <w:r>
        <w:rPr>
          <w:b/>
          <w:i w:val="0"/>
          <w:color w:val="1E5F9E"/>
          <w:sz w:val="21"/>
        </w:rPr>
        <w:t xml:space="preserve">À montrer :  </w:t>
      </w:r>
      <w:r>
        <w:rPr>
          <w:b w:val="0"/>
          <w:i w:val="0"/>
          <w:sz w:val="21"/>
        </w:rPr>
        <w:t>Faire défiler les tableaux officiels, puis cliquer « Télécharger le PDF » du Tableau 16 (zones congestionnées).</w:t>
      </w:r>
    </w:p>
    <w:p>
      <w:pPr>
        <w:spacing w:after="160" w:before="0"/>
      </w:pPr>
      <w:r>
        <w:rPr>
          <w:b/>
          <w:i w:val="0"/>
          <w:color w:val="157F3C"/>
          <w:sz w:val="21"/>
        </w:rPr>
        <w:t xml:space="preserve">À dire :  </w:t>
      </w:r>
      <w:r>
        <w:rPr>
          <w:b w:val="0"/>
          <w:i w:val="0"/>
          <w:sz w:val="21"/>
        </w:rPr>
        <w:t>« L’application reconstitue automatiquement le rapport DEESP : les mêmes tableaux et graphiques qu’avant, mais générés tout seuls, à jour, et téléchargeables en PDF. »</w:t>
      </w:r>
    </w:p>
    <w:p>
      <w:pPr>
        <w:pStyle w:val="Heading3"/>
      </w:pPr>
      <w:r>
        <w:t>Étape 5 — Tronçons codifiés — LE moment fort</w:t>
      </w:r>
    </w:p>
    <w:p>
      <w:pPr>
        <w:spacing w:after="100" w:before="0"/>
      </w:pPr>
      <w:r>
        <w:rPr>
          <w:b/>
          <w:i w:val="0"/>
          <w:color w:val="1E5F9E"/>
          <w:sz w:val="21"/>
        </w:rPr>
        <w:t xml:space="preserve">À montrer :  </w:t>
      </w:r>
      <w:r>
        <w:rPr>
          <w:b w:val="0"/>
          <w:i w:val="0"/>
          <w:sz w:val="21"/>
        </w:rPr>
        <w:t>Aller dans Administration → onglet Tronçons codifiés. Montrer d’abord le sélecteur « Axe parent » avec ses deux groupes distincts (── Axes officiels DEESP ── / ── Tronçons supplémentaires ──). Choisir un axe, puis faire défiler la table « Tronçons existants » : elle liste à la fois les T1A / T1B / T1C de l’axe sélectionné et les tronçons supplémentaires (les deux derniers ajoutés y figurent).</w:t>
      </w:r>
    </w:p>
    <w:p>
      <w:pPr>
        <w:spacing w:after="160" w:before="0"/>
      </w:pPr>
      <w:r>
        <w:rPr>
          <w:b/>
          <w:i w:val="0"/>
          <w:color w:val="157F3C"/>
          <w:sz w:val="21"/>
        </w:rPr>
        <w:t xml:space="preserve">À dire :  </w:t>
      </w:r>
      <w:r>
        <w:rPr>
          <w:b w:val="0"/>
          <w:i w:val="0"/>
          <w:sz w:val="21"/>
        </w:rPr>
        <w:t>« Voici notre valeur ajoutée : on peut découper un axe en tronçons codifiés — T1A, T1B, T1C. On ne dit plus seulement que l’axe est bloqué : on identifie EXACTEMENT le pont ou le carrefour en cause. C’est la donnée qui dit où investir. Le sélecteur distingue clairement axes officiels DEESP et tronçons supplémentaires, et le tableau les affiche côte à côte. Tout ajout est immédiat, sans redéploiement. »</w:t>
      </w:r>
    </w:p>
    <w:p>
      <w:pPr>
        <w:pStyle w:val="Heading3"/>
      </w:pPr>
      <w:r>
        <w:t>Étape 6 — Page Incidents</w:t>
      </w:r>
    </w:p>
    <w:p>
      <w:pPr>
        <w:spacing w:after="100" w:before="0"/>
      </w:pPr>
      <w:r>
        <w:rPr>
          <w:b/>
          <w:i w:val="0"/>
          <w:color w:val="1E5F9E"/>
          <w:sz w:val="21"/>
        </w:rPr>
        <w:t xml:space="preserve">À montrer :  </w:t>
      </w:r>
      <w:r>
        <w:rPr>
          <w:b w:val="0"/>
          <w:i w:val="0"/>
          <w:sz w:val="21"/>
        </w:rPr>
        <w:t>Montrer la carte des incidents et le journal filtrable ; signaler le badge compteur dans la navigation.</w:t>
      </w:r>
    </w:p>
    <w:p>
      <w:pPr>
        <w:spacing w:after="160" w:before="0"/>
      </w:pPr>
      <w:r>
        <w:rPr>
          <w:b/>
          <w:i w:val="0"/>
          <w:color w:val="157F3C"/>
          <w:sz w:val="21"/>
        </w:rPr>
        <w:t xml:space="preserve">À dire :  </w:t>
      </w:r>
      <w:r>
        <w:rPr>
          <w:b w:val="0"/>
          <w:i w:val="0"/>
          <w:sz w:val="21"/>
        </w:rPr>
        <w:t>« Un robot surveille la presse toutes les 30 minutes et géolocalise les accidents et routes barrées de la zone portuaire. Le port est alerté sans rien faire. »</w:t>
      </w:r>
    </w:p>
    <w:p>
      <w:pPr>
        <w:pStyle w:val="Heading3"/>
      </w:pPr>
      <w:r>
        <w:t>Étape 7 — Page Heure optimale</w:t>
      </w:r>
    </w:p>
    <w:p>
      <w:pPr>
        <w:spacing w:after="100" w:before="0"/>
      </w:pPr>
      <w:r>
        <w:rPr>
          <w:b/>
          <w:i w:val="0"/>
          <w:color w:val="1E5F9E"/>
          <w:sz w:val="21"/>
        </w:rPr>
        <w:t xml:space="preserve">À montrer :  </w:t>
      </w:r>
      <w:r>
        <w:rPr>
          <w:b w:val="0"/>
          <w:i w:val="0"/>
          <w:sz w:val="21"/>
        </w:rPr>
        <w:t>Sélectionner un tronçon, montrer le top 3 des créneaux les plus rapides.</w:t>
      </w:r>
    </w:p>
    <w:p>
      <w:pPr>
        <w:spacing w:after="160" w:before="0"/>
      </w:pPr>
      <w:r>
        <w:rPr>
          <w:b/>
          <w:i w:val="0"/>
          <w:color w:val="157F3C"/>
          <w:sz w:val="21"/>
        </w:rPr>
        <w:t xml:space="preserve">À dire :  </w:t>
      </w:r>
      <w:r>
        <w:rPr>
          <w:b w:val="0"/>
          <w:i w:val="0"/>
          <w:sz w:val="21"/>
        </w:rPr>
        <w:t>« Pour le transporteur : voici les meilleures heures pour partir, par axe. La donnée devient une recommandation concrète. »</w:t>
      </w:r>
    </w:p>
    <w:p>
      <w:pPr>
        <w:pStyle w:val="Heading3"/>
      </w:pPr>
      <w:r>
        <w:t>Étape 8 — Page Fiabilité (si le temps le permet)</w:t>
      </w:r>
    </w:p>
    <w:p>
      <w:pPr>
        <w:spacing w:after="100" w:before="0"/>
      </w:pPr>
      <w:r>
        <w:rPr>
          <w:b/>
          <w:i w:val="0"/>
          <w:color w:val="1E5F9E"/>
          <w:sz w:val="21"/>
        </w:rPr>
        <w:t xml:space="preserve">À montrer :  </w:t>
      </w:r>
      <w:r>
        <w:rPr>
          <w:b w:val="0"/>
          <w:i w:val="0"/>
          <w:sz w:val="21"/>
        </w:rPr>
        <w:t>Montrer la carte des traces GPX et le tableau de calibration terrain / API.</w:t>
      </w:r>
    </w:p>
    <w:p>
      <w:pPr>
        <w:spacing w:after="160" w:before="0"/>
      </w:pPr>
      <w:r>
        <w:rPr>
          <w:b/>
          <w:i w:val="0"/>
          <w:color w:val="157F3C"/>
          <w:sz w:val="21"/>
        </w:rPr>
        <w:t xml:space="preserve">À dire :  </w:t>
      </w:r>
      <w:r>
        <w:rPr>
          <w:b w:val="0"/>
          <w:i w:val="0"/>
          <w:sz w:val="21"/>
        </w:rPr>
        <w:t>« On confronte nos mesures automatiques à de vrais relevés GPS parcourus en voiture : la mesure est vérifiable, donc défendable. »</w:t>
      </w:r>
    </w:p>
    <w:p>
      <w:pPr>
        <w:pStyle w:val="Heading3"/>
      </w:pPr>
      <w:r>
        <w:t>Étape 9 — Chatbot (bonus)</w:t>
      </w:r>
    </w:p>
    <w:p>
      <w:pPr>
        <w:spacing w:after="100" w:before="0"/>
      </w:pPr>
      <w:r>
        <w:rPr>
          <w:b/>
          <w:i w:val="0"/>
          <w:color w:val="1E5F9E"/>
          <w:sz w:val="21"/>
        </w:rPr>
        <w:t xml:space="preserve">À montrer :  </w:t>
      </w:r>
      <w:r>
        <w:rPr>
          <w:b w:val="0"/>
          <w:i w:val="0"/>
          <w:sz w:val="21"/>
        </w:rPr>
        <w:t>Ouvrir l’assistant flottant, poser une question simple (« quel axe est congestionné maintenant ? »).</w:t>
      </w:r>
    </w:p>
    <w:p>
      <w:pPr>
        <w:spacing w:after="160" w:before="0"/>
      </w:pPr>
      <w:r>
        <w:rPr>
          <w:b/>
          <w:i w:val="0"/>
          <w:color w:val="157F3C"/>
          <w:sz w:val="21"/>
        </w:rPr>
        <w:t xml:space="preserve">À dire :  </w:t>
      </w:r>
      <w:r>
        <w:rPr>
          <w:b w:val="0"/>
          <w:i w:val="0"/>
          <w:sz w:val="21"/>
        </w:rPr>
        <w:t>« Même un utilisateur non technique peut interroger l’application en langage naturel. »</w:t>
      </w:r>
    </w:p>
    <w:tbl>
      <w:tblPr>
        <w:tblStyle w:val="TableGrid"/>
        <w:tblW w:type="auto" w:w="0"/>
        <w:jc w:val="center"/>
        <w:tblLook w:firstColumn="1" w:firstRow="1" w:lastColumn="0" w:lastRow="0" w:noHBand="0" w:noVBand="1" w:val="04A0"/>
      </w:tblPr>
      <w:tblGrid>
        <w:gridCol w:w="9746"/>
      </w:tblGrid>
      <w:tr>
        <w:tc>
          <w:tcPr>
            <w:tcW w:type="dxa" w:w="9216"/>
            <w:shd w:val="clear" w:color="auto" w:fill="EAF0F7"/>
            <w:tcMar>
              <w:top w:w="110" w:type="dxa"/>
              <w:bottom w:w="110" w:type="dxa"/>
              <w:start w:w="150" w:type="dxa"/>
              <w:end w:w="150" w:type="dxa"/>
            </w:tcMar>
          </w:tcPr>
          <w:p>
            <w:r>
              <w:rPr>
                <w:b/>
                <w:color w:val="1E5F9E"/>
                <w:sz w:val="20"/>
              </w:rPr>
              <w:t>Astuce de démonstration</w:t>
            </w:r>
          </w:p>
          <w:p>
            <w:r>
              <w:rPr>
                <w:sz w:val="20"/>
              </w:rPr>
              <w:t>Préparer les onglets à l’avance et vérifier la connexion. Si le réseau est incertain le jour J, garder des captures d’écran de secours dans le PowerPoint (emplacements déjà prévus) pour dérouler le récit même sans connexion.</w:t>
            </w:r>
          </w:p>
        </w:tc>
      </w:tr>
    </w:tbl>
    <w:p>
      <w:pPr>
        <w:spacing w:after="40"/>
      </w:pPr>
    </w:p>
    <w:p>
      <w:pPr>
        <w:pStyle w:val="Heading1"/>
      </w:pPr>
      <w:r>
        <w:t>5. Les messages-clés à marteler</w:t>
      </w:r>
    </w:p>
    <w:p>
      <w:pPr>
        <w:pStyle w:val="ListBullet"/>
        <w:spacing w:after="60"/>
      </w:pPr>
      <w:r>
        <w:rPr>
          <w:sz w:val="21"/>
        </w:rPr>
        <w:t>On ne mesurait pas en continu — maintenant c’est automatique, 24 h/24, historisé.</w:t>
      </w:r>
    </w:p>
    <w:p>
      <w:pPr>
        <w:pStyle w:val="ListBullet"/>
        <w:spacing w:after="60"/>
      </w:pPr>
      <w:r>
        <w:rPr>
          <w:sz w:val="21"/>
        </w:rPr>
        <w:t>On ne savait pas où était la congestion — les tronçons codifiés la localisent au mètre près.</w:t>
      </w:r>
    </w:p>
    <w:p>
      <w:pPr>
        <w:pStyle w:val="ListBullet"/>
        <w:spacing w:after="60"/>
      </w:pPr>
      <w:r>
        <w:rPr>
          <w:sz w:val="21"/>
        </w:rPr>
        <w:t>Aucune donnée n’est inventée : en cas d’échec, un trou de mesure, jamais une valeur fausse.</w:t>
      </w:r>
    </w:p>
    <w:p>
      <w:pPr>
        <w:pStyle w:val="ListBullet"/>
        <w:spacing w:after="60"/>
      </w:pPr>
      <w:r>
        <w:rPr>
          <w:sz w:val="21"/>
        </w:rPr>
        <w:t>L’application EST la recommandation n°5 du rapport DEESP (système d’alerte temps réel).</w:t>
      </w:r>
    </w:p>
    <w:p>
      <w:pPr>
        <w:pStyle w:val="ListBullet"/>
        <w:spacing w:after="60"/>
      </w:pPr>
      <w:r>
        <w:rPr>
          <w:sz w:val="21"/>
        </w:rPr>
        <w:t>Tout est déployé et fonctionne réellement, accessible sur PC, tablette et mobile, en FR et EN.</w:t>
      </w:r>
    </w:p>
    <w:p>
      <w:pPr>
        <w:pStyle w:val="Heading1"/>
      </w:pPr>
      <w:r>
        <w:t>6. Questions probables du jury et réponses préparées</w:t>
      </w:r>
    </w:p>
    <w:tbl>
      <w:tblPr>
        <w:tblStyle w:val="TableGrid"/>
        <w:tblW w:type="auto" w:w="0"/>
        <w:jc w:val="center"/>
        <w:tblLook w:firstColumn="1" w:firstRow="1" w:lastColumn="0" w:lastRow="0" w:noHBand="0" w:noVBand="1" w:val="04A0"/>
      </w:tblPr>
      <w:tblGrid>
        <w:gridCol w:w="4873"/>
        <w:gridCol w:w="4873"/>
      </w:tblGrid>
      <w:tr>
        <w:tc>
          <w:tcPr>
            <w:tcW w:type="dxa" w:w="3744"/>
            <w:shd w:val="clear" w:color="auto" w:fill="0F2240"/>
            <w:tcMar>
              <w:top w:w="60" w:type="dxa"/>
              <w:bottom w:w="60" w:type="dxa"/>
              <w:start w:w="110" w:type="dxa"/>
              <w:end w:w="110" w:type="dxa"/>
            </w:tcMar>
          </w:tcPr>
          <w:p>
            <w:r>
              <w:rPr>
                <w:b/>
                <w:color w:val="FFFFFF"/>
                <w:sz w:val="19"/>
              </w:rPr>
              <w:t>Question probable</w:t>
            </w:r>
          </w:p>
        </w:tc>
        <w:tc>
          <w:tcPr>
            <w:tcW w:type="dxa" w:w="5472"/>
            <w:shd w:val="clear" w:color="auto" w:fill="0F2240"/>
            <w:tcMar>
              <w:top w:w="60" w:type="dxa"/>
              <w:bottom w:w="60" w:type="dxa"/>
              <w:start w:w="110" w:type="dxa"/>
              <w:end w:w="110" w:type="dxa"/>
            </w:tcMar>
          </w:tcPr>
          <w:p>
            <w:r>
              <w:rPr>
                <w:b/>
                <w:color w:val="FFFFFF"/>
                <w:sz w:val="19"/>
              </w:rPr>
              <w:t>Réponse à donner</w:t>
            </w:r>
          </w:p>
        </w:tc>
      </w:tr>
      <w:tr>
        <w:tc>
          <w:tcPr>
            <w:tcW w:type="dxa" w:w="3744"/>
            <w:tcMar>
              <w:top w:w="60" w:type="dxa"/>
              <w:bottom w:w="60" w:type="dxa"/>
              <w:start w:w="110" w:type="dxa"/>
              <w:end w:w="110" w:type="dxa"/>
            </w:tcMar>
          </w:tcPr>
          <w:p>
            <w:r>
              <w:rPr>
                <w:b/>
                <w:color w:val="1B3A63"/>
                <w:sz w:val="19"/>
              </w:rPr>
              <w:t>D’où viennent les temps réels ?</w:t>
            </w:r>
          </w:p>
        </w:tc>
        <w:tc>
          <w:tcPr>
            <w:tcW w:type="dxa" w:w="5472"/>
            <w:tcMar>
              <w:top w:w="60" w:type="dxa"/>
              <w:bottom w:w="60" w:type="dxa"/>
              <w:start w:w="110" w:type="dxa"/>
              <w:end w:w="110" w:type="dxa"/>
            </w:tcMar>
          </w:tcPr>
          <w:p>
            <w:r>
              <w:rPr>
                <w:sz w:val="19"/>
              </w:rPr>
              <w:t>De l’API Google Routes (données de trafic temps réel), une mesure par heure et par tronçon.</w:t>
            </w:r>
          </w:p>
        </w:tc>
      </w:tr>
      <w:tr>
        <w:tc>
          <w:tcPr>
            <w:tcW w:type="dxa" w:w="3744"/>
            <w:tcMar>
              <w:top w:w="60" w:type="dxa"/>
              <w:bottom w:w="60" w:type="dxa"/>
              <w:start w:w="110" w:type="dxa"/>
              <w:end w:w="110" w:type="dxa"/>
            </w:tcMar>
            <w:shd w:val="clear" w:color="auto" w:fill="F4F7FB"/>
          </w:tcPr>
          <w:p>
            <w:r>
              <w:rPr>
                <w:b/>
                <w:color w:val="1B3A63"/>
                <w:sz w:val="19"/>
              </w:rPr>
              <w:t>Et si Google est indisponible ?</w:t>
            </w:r>
          </w:p>
        </w:tc>
        <w:tc>
          <w:tcPr>
            <w:tcW w:type="dxa" w:w="5472"/>
            <w:tcMar>
              <w:top w:w="60" w:type="dxa"/>
              <w:bottom w:w="60" w:type="dxa"/>
              <w:start w:w="110" w:type="dxa"/>
              <w:end w:w="110" w:type="dxa"/>
            </w:tcMar>
            <w:shd w:val="clear" w:color="auto" w:fill="F4F7FB"/>
          </w:tcPr>
          <w:p>
            <w:r>
              <w:rPr>
                <w:sz w:val="19"/>
              </w:rPr>
              <w:t>Cascade à 3 niveaux : prédicteur interne, puis temps de référence 50 km/h. Si tout échoue, on enregistre un trou — on n’invente pas.</w:t>
            </w:r>
          </w:p>
        </w:tc>
      </w:tr>
      <w:tr>
        <w:tc>
          <w:tcPr>
            <w:tcW w:type="dxa" w:w="3744"/>
            <w:tcMar>
              <w:top w:w="60" w:type="dxa"/>
              <w:bottom w:w="60" w:type="dxa"/>
              <w:start w:w="110" w:type="dxa"/>
              <w:end w:w="110" w:type="dxa"/>
            </w:tcMar>
          </w:tcPr>
          <w:p>
            <w:r>
              <w:rPr>
                <w:b/>
                <w:color w:val="1B3A63"/>
                <w:sz w:val="19"/>
              </w:rPr>
              <w:t>Comment définissez-vous la congestion ?</w:t>
            </w:r>
          </w:p>
        </w:tc>
        <w:tc>
          <w:tcPr>
            <w:tcW w:type="dxa" w:w="5472"/>
            <w:tcMar>
              <w:top w:w="60" w:type="dxa"/>
              <w:bottom w:w="60" w:type="dxa"/>
              <w:start w:w="110" w:type="dxa"/>
              <w:end w:w="110" w:type="dxa"/>
            </w:tcMar>
          </w:tcPr>
          <w:p>
            <w:r>
              <w:rPr>
                <w:sz w:val="19"/>
              </w:rPr>
              <w:t>Par les couleurs de Google Maps (critère officiel DEESP) : rouge présent, ou orange sur ≥ 50 % du tronçon.</w:t>
            </w:r>
          </w:p>
        </w:tc>
      </w:tr>
      <w:tr>
        <w:tc>
          <w:tcPr>
            <w:tcW w:type="dxa" w:w="3744"/>
            <w:tcMar>
              <w:top w:w="60" w:type="dxa"/>
              <w:bottom w:w="60" w:type="dxa"/>
              <w:start w:w="110" w:type="dxa"/>
              <w:end w:w="110" w:type="dxa"/>
            </w:tcMar>
            <w:shd w:val="clear" w:color="auto" w:fill="F4F7FB"/>
          </w:tcPr>
          <w:p>
            <w:r>
              <w:rPr>
                <w:b/>
                <w:color w:val="1B3A63"/>
                <w:sz w:val="19"/>
              </w:rPr>
              <w:t>Pourquoi pas TomTom ?</w:t>
            </w:r>
          </w:p>
        </w:tc>
        <w:tc>
          <w:tcPr>
            <w:tcW w:type="dxa" w:w="5472"/>
            <w:tcMar>
              <w:top w:w="60" w:type="dxa"/>
              <w:bottom w:w="60" w:type="dxa"/>
              <w:start w:w="110" w:type="dxa"/>
              <w:end w:w="110" w:type="dxa"/>
            </w:tcMar>
            <w:shd w:val="clear" w:color="auto" w:fill="F4F7FB"/>
          </w:tcPr>
          <w:p>
            <w:r>
              <w:rPr>
                <w:sz w:val="19"/>
              </w:rPr>
              <w:t>Testé : la zone portuaire d’Abidjan n’est pas cartographiée (18/18 points en erreur). Retiré par honnêteté.</w:t>
            </w:r>
          </w:p>
        </w:tc>
      </w:tr>
      <w:tr>
        <w:tc>
          <w:tcPr>
            <w:tcW w:type="dxa" w:w="3744"/>
            <w:tcMar>
              <w:top w:w="60" w:type="dxa"/>
              <w:bottom w:w="60" w:type="dxa"/>
              <w:start w:w="110" w:type="dxa"/>
              <w:end w:w="110" w:type="dxa"/>
            </w:tcMar>
          </w:tcPr>
          <w:p>
            <w:r>
              <w:rPr>
                <w:b/>
                <w:color w:val="1B3A63"/>
                <w:sz w:val="19"/>
              </w:rPr>
              <w:t>Les mesures sont-elles fiables ?</w:t>
            </w:r>
          </w:p>
        </w:tc>
        <w:tc>
          <w:tcPr>
            <w:tcW w:type="dxa" w:w="5472"/>
            <w:tcMar>
              <w:top w:w="60" w:type="dxa"/>
              <w:bottom w:w="60" w:type="dxa"/>
              <w:start w:w="110" w:type="dxa"/>
              <w:end w:w="110" w:type="dxa"/>
            </w:tcMar>
          </w:tcPr>
          <w:p>
            <w:r>
              <w:rPr>
                <w:sz w:val="19"/>
              </w:rPr>
              <w:t>Oui, et vérifiables : la page Fiabilité confronte les mesures à de vrais relevés GPS terrain.</w:t>
            </w:r>
          </w:p>
        </w:tc>
      </w:tr>
      <w:tr>
        <w:tc>
          <w:tcPr>
            <w:tcW w:type="dxa" w:w="3744"/>
            <w:tcMar>
              <w:top w:w="60" w:type="dxa"/>
              <w:bottom w:w="60" w:type="dxa"/>
              <w:start w:w="110" w:type="dxa"/>
              <w:end w:w="110" w:type="dxa"/>
            </w:tcMar>
            <w:shd w:val="clear" w:color="auto" w:fill="F4F7FB"/>
          </w:tcPr>
          <w:p>
            <w:r>
              <w:rPr>
                <w:b/>
                <w:color w:val="1B3A63"/>
                <w:sz w:val="19"/>
              </w:rPr>
              <w:t>Peut-on ajouter un nouvel axe ?</w:t>
            </w:r>
          </w:p>
        </w:tc>
        <w:tc>
          <w:tcPr>
            <w:tcW w:type="dxa" w:w="5472"/>
            <w:tcMar>
              <w:top w:w="60" w:type="dxa"/>
              <w:bottom w:w="60" w:type="dxa"/>
              <w:start w:w="110" w:type="dxa"/>
              <w:end w:w="110" w:type="dxa"/>
            </w:tcMar>
            <w:shd w:val="clear" w:color="auto" w:fill="F4F7FB"/>
          </w:tcPr>
          <w:p>
            <w:r>
              <w:rPr>
                <w:sz w:val="19"/>
              </w:rPr>
              <w:t>Oui, via l’Administration, sans redéploiement — adopté immédiatement par toute la chaîne.</w:t>
            </w:r>
          </w:p>
        </w:tc>
      </w:tr>
      <w:tr>
        <w:tc>
          <w:tcPr>
            <w:tcW w:type="dxa" w:w="3744"/>
            <w:tcMar>
              <w:top w:w="60" w:type="dxa"/>
              <w:bottom w:w="60" w:type="dxa"/>
              <w:start w:w="110" w:type="dxa"/>
              <w:end w:w="110" w:type="dxa"/>
            </w:tcMar>
          </w:tcPr>
          <w:p>
            <w:r>
              <w:rPr>
                <w:b/>
                <w:color w:val="1B3A63"/>
                <w:sz w:val="19"/>
              </w:rPr>
              <w:t>Quelle différence entre « axe » et « tronçon » ?</w:t>
            </w:r>
          </w:p>
        </w:tc>
        <w:tc>
          <w:tcPr>
            <w:tcW w:type="dxa" w:w="5472"/>
            <w:tcMar>
              <w:top w:w="60" w:type="dxa"/>
              <w:bottom w:w="60" w:type="dxa"/>
              <w:start w:w="110" w:type="dxa"/>
              <w:end w:w="110" w:type="dxa"/>
            </w:tcMar>
          </w:tcPr>
          <w:p>
            <w:r>
              <w:rPr>
                <w:sz w:val="19"/>
              </w:rPr>
              <w:t>Un axe est un parcours officiel DEESP (les 6 initiaux + tout parcours créé avec le drapeau « axe »). Un tronçon supplémentaire est un parcours ajouté en complément. L’onglet « Tronçons codifiés » permet en plus de subdiviser un axe en T1A, T1B… — c’est la précision fine du point de congestion.</w:t>
            </w:r>
          </w:p>
        </w:tc>
      </w:tr>
      <w:tr>
        <w:tc>
          <w:tcPr>
            <w:tcW w:type="dxa" w:w="3744"/>
            <w:tcMar>
              <w:top w:w="60" w:type="dxa"/>
              <w:bottom w:w="60" w:type="dxa"/>
              <w:start w:w="110" w:type="dxa"/>
              <w:end w:w="110" w:type="dxa"/>
            </w:tcMar>
            <w:shd w:val="clear" w:color="auto" w:fill="F4F7FB"/>
          </w:tcPr>
          <w:p>
            <w:r>
              <w:rPr>
                <w:b/>
                <w:color w:val="1B3A63"/>
                <w:sz w:val="19"/>
              </w:rPr>
              <w:t>Quel est le coût ?</w:t>
            </w:r>
          </w:p>
        </w:tc>
        <w:tc>
          <w:tcPr>
            <w:tcW w:type="dxa" w:w="5472"/>
            <w:tcMar>
              <w:top w:w="60" w:type="dxa"/>
              <w:bottom w:w="60" w:type="dxa"/>
              <w:start w:w="110" w:type="dxa"/>
              <w:end w:w="110" w:type="dxa"/>
            </w:tcMar>
            <w:shd w:val="clear" w:color="auto" w:fill="F4F7FB"/>
          </w:tcPr>
          <w:p>
            <w:r>
              <w:rPr>
                <w:sz w:val="19"/>
              </w:rPr>
              <w:t>Briques majoritairement open source et gratuites ; l’API Google reste sous son quota gratuit (144 req/jour).</w:t>
            </w:r>
          </w:p>
        </w:tc>
      </w:tr>
      <w:tr>
        <w:tc>
          <w:tcPr>
            <w:tcW w:type="dxa" w:w="3744"/>
            <w:tcMar>
              <w:top w:w="60" w:type="dxa"/>
              <w:bottom w:w="60" w:type="dxa"/>
              <w:start w:w="110" w:type="dxa"/>
              <w:end w:w="110" w:type="dxa"/>
            </w:tcMar>
          </w:tcPr>
          <w:p>
            <w:r>
              <w:rPr>
                <w:b/>
                <w:color w:val="1B3A63"/>
                <w:sz w:val="19"/>
              </w:rPr>
              <w:t>Est-ce vraiment en production ?</w:t>
            </w:r>
          </w:p>
        </w:tc>
        <w:tc>
          <w:tcPr>
            <w:tcW w:type="dxa" w:w="5472"/>
            <w:tcMar>
              <w:top w:w="60" w:type="dxa"/>
              <w:bottom w:w="60" w:type="dxa"/>
              <w:start w:w="110" w:type="dxa"/>
              <w:end w:w="110" w:type="dxa"/>
            </w:tcMar>
          </w:tcPr>
          <w:p>
            <w:r>
              <w:rPr>
                <w:sz w:val="19"/>
              </w:rPr>
              <w:t>Oui : backend, base et frontend sont déployés sur le cloud, la collecte tourne 24 h/24.</w:t>
            </w:r>
          </w:p>
        </w:tc>
      </w:tr>
    </w:tbl>
    <w:p>
      <w:pPr>
        <w:spacing w:after="40"/>
      </w:pPr>
    </w:p>
    <w:p>
      <w:pPr>
        <w:pStyle w:val="Heading1"/>
      </w:pPr>
      <w:r>
        <w:t>7. Répartition des rôles pendant le pitch</w:t>
      </w: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0F2240"/>
            <w:tcMar>
              <w:top w:w="60" w:type="dxa"/>
              <w:bottom w:w="60" w:type="dxa"/>
              <w:start w:w="110" w:type="dxa"/>
              <w:end w:w="110" w:type="dxa"/>
            </w:tcMar>
          </w:tcPr>
          <w:p>
            <w:r>
              <w:rPr>
                <w:b/>
                <w:color w:val="FFFFFF"/>
                <w:sz w:val="19"/>
              </w:rPr>
              <w:t>Membre</w:t>
            </w:r>
          </w:p>
        </w:tc>
        <w:tc>
          <w:tcPr>
            <w:tcW w:type="dxa" w:w="5616"/>
            <w:shd w:val="clear" w:color="auto" w:fill="0F2240"/>
            <w:tcMar>
              <w:top w:w="60" w:type="dxa"/>
              <w:bottom w:w="60" w:type="dxa"/>
              <w:start w:w="110" w:type="dxa"/>
              <w:end w:w="110" w:type="dxa"/>
            </w:tcMar>
          </w:tcPr>
          <w:p>
            <w:r>
              <w:rPr>
                <w:b/>
                <w:color w:val="FFFFFF"/>
                <w:sz w:val="19"/>
              </w:rPr>
              <w:t>Pendant la présentation</w:t>
            </w:r>
          </w:p>
        </w:tc>
      </w:tr>
      <w:tr>
        <w:tc>
          <w:tcPr>
            <w:tcW w:type="dxa" w:w="3600"/>
            <w:tcMar>
              <w:top w:w="60" w:type="dxa"/>
              <w:bottom w:w="60" w:type="dxa"/>
              <w:start w:w="110" w:type="dxa"/>
              <w:end w:w="110" w:type="dxa"/>
            </w:tcMar>
          </w:tcPr>
          <w:p>
            <w:r>
              <w:rPr>
                <w:b/>
                <w:color w:val="1B3A63"/>
                <w:sz w:val="19"/>
              </w:rPr>
              <w:t>Chewo Helena (rapporteuse)</w:t>
            </w:r>
          </w:p>
        </w:tc>
        <w:tc>
          <w:tcPr>
            <w:tcW w:type="dxa" w:w="5616"/>
            <w:tcMar>
              <w:top w:w="60" w:type="dxa"/>
              <w:bottom w:w="60" w:type="dxa"/>
              <w:start w:w="110" w:type="dxa"/>
              <w:end w:w="110" w:type="dxa"/>
            </w:tcMar>
          </w:tcPr>
          <w:p>
            <w:r>
              <w:rPr>
                <w:sz w:val="19"/>
              </w:rPr>
              <w:t>Porte le récit : contexte, problématique, conclusion. Gère le temps.</w:t>
            </w:r>
          </w:p>
        </w:tc>
      </w:tr>
      <w:tr>
        <w:tc>
          <w:tcPr>
            <w:tcW w:type="dxa" w:w="3600"/>
            <w:tcMar>
              <w:top w:w="60" w:type="dxa"/>
              <w:bottom w:w="60" w:type="dxa"/>
              <w:start w:w="110" w:type="dxa"/>
              <w:end w:w="110" w:type="dxa"/>
            </w:tcMar>
            <w:shd w:val="clear" w:color="auto" w:fill="F4F7FB"/>
          </w:tcPr>
          <w:p>
            <w:r>
              <w:rPr>
                <w:b/>
                <w:color w:val="1B3A63"/>
                <w:sz w:val="19"/>
              </w:rPr>
              <w:t>Sakam Emmanuel (développeur)</w:t>
            </w:r>
          </w:p>
        </w:tc>
        <w:tc>
          <w:tcPr>
            <w:tcW w:type="dxa" w:w="5616"/>
            <w:tcMar>
              <w:top w:w="60" w:type="dxa"/>
              <w:bottom w:w="60" w:type="dxa"/>
              <w:start w:w="110" w:type="dxa"/>
              <w:end w:w="110" w:type="dxa"/>
            </w:tcMar>
            <w:shd w:val="clear" w:color="auto" w:fill="F4F7FB"/>
          </w:tcPr>
          <w:p>
            <w:r>
              <w:rPr>
                <w:sz w:val="19"/>
              </w:rPr>
              <w:t>Pilote la démonstration live de l’application et répond aux questions techniques.</w:t>
            </w:r>
          </w:p>
        </w:tc>
      </w:tr>
      <w:tr>
        <w:tc>
          <w:tcPr>
            <w:tcW w:type="dxa" w:w="3600"/>
            <w:tcMar>
              <w:top w:w="60" w:type="dxa"/>
              <w:bottom w:w="60" w:type="dxa"/>
              <w:start w:w="110" w:type="dxa"/>
              <w:end w:w="110" w:type="dxa"/>
            </w:tcMar>
          </w:tcPr>
          <w:p>
            <w:r>
              <w:rPr>
                <w:b/>
                <w:color w:val="1B3A63"/>
                <w:sz w:val="19"/>
              </w:rPr>
              <w:t>Assamoi Ruth (data analyst)</w:t>
            </w:r>
          </w:p>
        </w:tc>
        <w:tc>
          <w:tcPr>
            <w:tcW w:type="dxa" w:w="5616"/>
            <w:tcMar>
              <w:top w:w="60" w:type="dxa"/>
              <w:bottom w:w="60" w:type="dxa"/>
              <w:start w:w="110" w:type="dxa"/>
              <w:end w:w="110" w:type="dxa"/>
            </w:tcMar>
          </w:tcPr>
          <w:p>
            <w:r>
              <w:rPr>
                <w:sz w:val="19"/>
              </w:rPr>
              <w:t>Répond sur la méthode, les indicateurs et la qualité statistique.</w:t>
            </w:r>
          </w:p>
        </w:tc>
      </w:tr>
      <w:tr>
        <w:tc>
          <w:tcPr>
            <w:tcW w:type="dxa" w:w="3600"/>
            <w:tcMar>
              <w:top w:w="60" w:type="dxa"/>
              <w:bottom w:w="60" w:type="dxa"/>
              <w:start w:w="110" w:type="dxa"/>
              <w:end w:w="110" w:type="dxa"/>
            </w:tcMar>
            <w:shd w:val="clear" w:color="auto" w:fill="F4F7FB"/>
          </w:tcPr>
          <w:p>
            <w:r>
              <w:rPr>
                <w:b/>
                <w:color w:val="1B3A63"/>
                <w:sz w:val="19"/>
              </w:rPr>
              <w:t>Manga Wilfried (chef de projet)</w:t>
            </w:r>
          </w:p>
        </w:tc>
        <w:tc>
          <w:tcPr>
            <w:tcW w:type="dxa" w:w="5616"/>
            <w:tcMar>
              <w:top w:w="60" w:type="dxa"/>
              <w:bottom w:w="60" w:type="dxa"/>
              <w:start w:w="110" w:type="dxa"/>
              <w:end w:w="110" w:type="dxa"/>
            </w:tcMar>
            <w:shd w:val="clear" w:color="auto" w:fill="F4F7FB"/>
          </w:tcPr>
          <w:p>
            <w:r>
              <w:rPr>
                <w:sz w:val="19"/>
              </w:rPr>
              <w:t>Introduit l’équipe, cadre le propos, répond sur l’organisation et l’impact décisionnel.</w:t>
            </w:r>
          </w:p>
        </w:tc>
      </w:tr>
    </w:tbl>
    <w:p>
      <w:pPr>
        <w:spacing w:after="40"/>
      </w:pPr>
    </w:p>
    <w:p>
      <w:pPr>
        <w:pStyle w:val="Heading1"/>
      </w:pPr>
      <w:r>
        <w:t>8. Checklist du jour J</w:t>
      </w:r>
    </w:p>
    <w:p>
      <w:pPr>
        <w:pStyle w:val="ListBullet"/>
        <w:spacing w:after="60"/>
      </w:pPr>
      <w:r>
        <w:rPr>
          <w:sz w:val="21"/>
        </w:rPr>
        <w:t>Ordinateur chargé + chargeur ; adaptateur vidéo (HDMI / VGA) testé.</w:t>
      </w:r>
    </w:p>
    <w:p>
      <w:pPr>
        <w:pStyle w:val="ListBullet"/>
        <w:spacing w:after="60"/>
      </w:pPr>
      <w:r>
        <w:rPr>
          <w:sz w:val="21"/>
        </w:rPr>
        <w:t>Connexion internet vérifiée ; partage de connexion mobile en secours.</w:t>
      </w:r>
    </w:p>
    <w:p>
      <w:pPr>
        <w:pStyle w:val="ListBullet"/>
        <w:spacing w:after="60"/>
      </w:pPr>
      <w:r>
        <w:rPr>
          <w:sz w:val="21"/>
        </w:rPr>
        <w:t>Application ouverte et connectée à l’avance ; onglets préparés dans l’ordre du parcours.</w:t>
      </w:r>
    </w:p>
    <w:p>
      <w:pPr>
        <w:pStyle w:val="ListBullet"/>
        <w:spacing w:after="60"/>
      </w:pPr>
      <w:r>
        <w:rPr>
          <w:sz w:val="21"/>
        </w:rPr>
        <w:t>PowerPoint ouvert avec les captures d’écran de secours insérées.</w:t>
      </w:r>
    </w:p>
    <w:p>
      <w:pPr>
        <w:pStyle w:val="ListBullet"/>
        <w:spacing w:after="60"/>
      </w:pPr>
      <w:r>
        <w:rPr>
          <w:sz w:val="21"/>
        </w:rPr>
        <w:t>Mot de passe de démonstration (niveau lecture) noté et testé.</w:t>
      </w:r>
    </w:p>
    <w:p>
      <w:pPr>
        <w:pStyle w:val="ListBullet"/>
        <w:spacing w:after="60"/>
      </w:pPr>
      <w:r>
        <w:rPr>
          <w:sz w:val="21"/>
        </w:rPr>
        <w:t>Chronomètre ou minuteur discret pour tenir les 7 minutes.</w:t>
      </w:r>
    </w:p>
    <w:p>
      <w:pPr>
        <w:pStyle w:val="ListBullet"/>
        <w:spacing w:after="60"/>
      </w:pPr>
      <w:r>
        <w:rPr>
          <w:sz w:val="21"/>
        </w:rPr>
        <w:t>Répétition complète effectuée au moins deux fois, dont une chronométrée.</w:t>
      </w:r>
    </w:p>
    <w:p>
      <w:pPr>
        <w:pStyle w:val="ListBullet"/>
        <w:spacing w:after="60"/>
      </w:pPr>
      <w:r>
        <w:rPr>
          <w:sz w:val="21"/>
        </w:rPr>
        <w:t>Réponses aux 8 questions probables révisées par toute l’équipe.</w:t>
      </w:r>
    </w:p>
    <w:p>
      <w:pPr>
        <w:pStyle w:val="Heading1"/>
      </w:pPr>
      <w:r>
        <w:t>9. Ce qu’il ne faut PAS faire</w:t>
      </w:r>
    </w:p>
    <w:p>
      <w:pPr>
        <w:pStyle w:val="ListBullet"/>
        <w:spacing w:after="60"/>
      </w:pPr>
      <w:r>
        <w:rPr>
          <w:sz w:val="21"/>
        </w:rPr>
        <w:t>Ne pas lire les slides mot à mot — les slides illustrent, la parole raconte.</w:t>
      </w:r>
    </w:p>
    <w:p>
      <w:pPr>
        <w:pStyle w:val="ListBullet"/>
        <w:spacing w:after="60"/>
      </w:pPr>
      <w:r>
        <w:rPr>
          <w:sz w:val="21"/>
        </w:rPr>
        <w:t>Ne pas se perdre dans la technique avant d’avoir posé le problème humain.</w:t>
      </w:r>
    </w:p>
    <w:p>
      <w:pPr>
        <w:pStyle w:val="ListBullet"/>
        <w:spacing w:after="60"/>
      </w:pPr>
      <w:r>
        <w:rPr>
          <w:sz w:val="21"/>
        </w:rPr>
        <w:t>Ne pas ouvrir 10 pages sans fil conducteur — suivre le parcours des étapes 1 à 7.</w:t>
      </w:r>
    </w:p>
    <w:p>
      <w:pPr>
        <w:pStyle w:val="ListBullet"/>
        <w:spacing w:after="60"/>
      </w:pPr>
      <w:r>
        <w:rPr>
          <w:sz w:val="21"/>
        </w:rPr>
        <w:t>Ne pas prétendre que les relevés terrain sont tous réels — assumer la part de simulation, c’est plus crédible.</w:t>
      </w:r>
    </w:p>
    <w:p>
      <w:pPr>
        <w:pStyle w:val="ListBullet"/>
        <w:spacing w:after="60"/>
      </w:pPr>
      <w:r>
        <w:rPr>
          <w:sz w:val="21"/>
        </w:rPr>
        <w:t>Ne pas dépasser le temps : mieux vaut couper l’étape 8-9 que déborder.</w:t>
      </w:r>
    </w:p>
    <w:tbl>
      <w:tblPr>
        <w:tblStyle w:val="TableGrid"/>
        <w:tblW w:type="auto" w:w="0"/>
        <w:jc w:val="center"/>
        <w:tblLook w:firstColumn="1" w:firstRow="1" w:lastColumn="0" w:lastRow="0" w:noHBand="0" w:noVBand="1" w:val="04A0"/>
      </w:tblPr>
      <w:tblGrid>
        <w:gridCol w:w="9746"/>
      </w:tblGrid>
      <w:tr>
        <w:tc>
          <w:tcPr>
            <w:tcW w:type="dxa" w:w="9216"/>
            <w:shd w:val="clear" w:color="auto" w:fill="EAF0F7"/>
            <w:tcMar>
              <w:top w:w="110" w:type="dxa"/>
              <w:bottom w:w="110" w:type="dxa"/>
              <w:start w:w="150" w:type="dxa"/>
              <w:end w:w="150" w:type="dxa"/>
            </w:tcMar>
          </w:tcPr>
          <w:p>
            <w:r>
              <w:rPr>
                <w:b/>
                <w:color w:val="1E5F9E"/>
                <w:sz w:val="20"/>
              </w:rPr>
              <w:t>Dernier mot</w:t>
            </w:r>
          </w:p>
          <w:p>
            <w:r>
              <w:rPr>
                <w:sz w:val="20"/>
              </w:rPr>
              <w:t>L’application est solide, complète et déployée. La partie la plus difficile est faite. Le jour J, il ne reste qu’à la raconter avec clarté et à la montrer avec assurance. Bonne présentation à l’équipe HACKHATONIA.</w:t>
            </w:r>
          </w:p>
        </w:tc>
      </w:tr>
    </w:tbl>
    <w:p>
      <w:pPr>
        <w:spacing w:after="40"/>
      </w:pP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Guide de présentation — PAA-Traverse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224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B3A6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E5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22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