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746"/>
      </w:tblGrid>
      <w:tr>
        <w:tc>
          <w:tcPr>
            <w:tcW w:type="dxa" w:w="9216"/>
            <w:shd w:val="clear" w:color="auto" w:fill="0F2240"/>
            <w:tcMar>
              <w:top w:w="120" w:type="dxa"/>
              <w:bottom w:w="120" w:type="dxa"/>
              <w:start w:w="160" w:type="dxa"/>
              <w:end w:w="160" w:type="dxa"/>
            </w:tcMar>
          </w:tcPr>
          <w:p>
            <w:pPr>
              <w:jc w:val="center"/>
            </w:pPr>
            <w:r>
              <w:rPr>
                <w:b/>
                <w:color w:val="FFFFFF"/>
                <w:sz w:val="30"/>
              </w:rPr>
              <w:t>PORT AUTONOME D’ABIDJAN</w:t>
            </w:r>
          </w:p>
          <w:p>
            <w:pPr>
              <w:jc w:val="center"/>
            </w:pPr>
            <w:r>
              <w:rPr>
                <w:color w:val="CFDDEE"/>
                <w:sz w:val="19"/>
              </w:rPr>
              <w:t>Direction de l’Exploitation et des Études Spécialisées Portuaires (DEESP / DEEF)</w:t>
            </w:r>
          </w:p>
        </w:tc>
      </w:tr>
    </w:tbl>
    <w:p>
      <w:pPr>
        <w:spacing w:after="600"/>
      </w:pPr>
    </w:p>
    <w:p>
      <w:pPr>
        <w:spacing w:before="0" w:after="40"/>
        <w:jc w:val="center"/>
      </w:pPr>
      <w:r>
        <w:rPr>
          <w:b/>
          <w:i w:val="0"/>
          <w:color w:val="0F2240"/>
          <w:sz w:val="68"/>
        </w:rPr>
        <w:t>PAA-TRAVERSE</w:t>
      </w:r>
    </w:p>
    <w:p>
      <w:pPr>
        <w:spacing w:before="0" w:after="120"/>
        <w:jc w:val="center"/>
      </w:pPr>
      <w:r>
        <w:rPr>
          <w:b w:val="0"/>
          <w:i/>
          <w:color w:val="1B3A63"/>
          <w:sz w:val="26"/>
        </w:rPr>
        <w:t>Suivi et visualisation en temps réel des temps de traversée des axes routiers stratégiques de la zone portuaire d’Abidjan</w:t>
      </w:r>
    </w:p>
    <w:tbl>
      <w:tblPr>
        <w:tblStyle w:val="TableGrid"/>
        <w:tblW w:type="auto" w:w="0"/>
        <w:tblLook w:firstColumn="1" w:firstRow="1" w:lastColumn="0" w:lastRow="0" w:noHBand="0" w:noVBand="1" w:val="04A0"/>
      </w:tblPr>
      <w:tblGrid>
        <w:gridCol w:w="9746"/>
      </w:tblGrid>
      <w:tr>
        <w:tc>
          <w:tcPr>
            <w:tcW w:type="dxa" w:w="9216"/>
            <w:shd w:val="clear" w:color="auto" w:fill="1E5F9E"/>
          </w:tcPr>
          <w:p>
            <w:r>
              <w:rPr>
                <w:sz w:val="4"/>
              </w:rPr>
              <w:t xml:space="preserve"> </w:t>
            </w:r>
          </w:p>
        </w:tc>
      </w:tr>
    </w:tbl>
    <w:p>
      <w:pPr>
        <w:spacing w:after="400"/>
      </w:pPr>
    </w:p>
    <w:p>
      <w:pPr>
        <w:spacing w:before="0" w:after="40"/>
        <w:jc w:val="center"/>
      </w:pPr>
      <w:r>
        <w:rPr>
          <w:b/>
          <w:i w:val="0"/>
          <w:color w:val="1E5F9E"/>
          <w:sz w:val="32"/>
        </w:rPr>
        <w:t>RAPPORT D’ACTIVITÉ COMPLET</w:t>
      </w:r>
    </w:p>
    <w:p>
      <w:pPr>
        <w:spacing w:before="0" w:after="480"/>
        <w:jc w:val="center"/>
      </w:pPr>
      <w:r>
        <w:rPr>
          <w:b w:val="0"/>
          <w:i/>
          <w:color w:val="505050"/>
          <w:sz w:val="22"/>
        </w:rPr>
        <w:t>Du besoin métier à l’application déployée — contexte, conception, développement, difficultés et solutions</w:t>
      </w:r>
    </w:p>
    <w:tbl>
      <w:tblPr>
        <w:tblStyle w:val="TableGrid"/>
        <w:tblW w:type="auto" w:w="0"/>
        <w:jc w:val="center"/>
        <w:tblLook w:firstColumn="1" w:firstRow="1" w:lastColumn="0" w:lastRow="0" w:noHBand="0" w:noVBand="1" w:val="04A0"/>
      </w:tblPr>
      <w:tblGrid>
        <w:gridCol w:w="9746"/>
      </w:tblGrid>
      <w:tr>
        <w:tc>
          <w:tcPr>
            <w:tcW w:type="dxa" w:w="9072"/>
            <w:shd w:val="clear" w:color="auto" w:fill="E6EBF2"/>
            <w:tcMar>
              <w:top w:w="260" w:type="dxa"/>
              <w:bottom w:w="260" w:type="dxa"/>
              <w:start w:w="160" w:type="dxa"/>
              <w:end w:w="160" w:type="dxa"/>
            </w:tcMar>
          </w:tcPr>
          <w:p>
            <w:pPr>
              <w:jc w:val="center"/>
            </w:pPr>
            <w:r>
              <w:rPr>
                <w:b/>
                <w:color w:val="1B3A63"/>
                <w:sz w:val="20"/>
              </w:rPr>
              <w:t>▢  EMPLACEMENT CAPTURE D’ÉCRAN</w:t>
            </w:r>
          </w:p>
          <w:p>
            <w:pPr>
              <w:jc w:val="center"/>
            </w:pPr>
            <w:r>
              <w:rPr>
                <w:i/>
                <w:color w:val="505050"/>
                <w:sz w:val="19"/>
              </w:rPr>
              <w:t>Page d’accueil de l’application — carte temps réel des 6 tronçons (vue d’ensemble)</w:t>
            </w:r>
          </w:p>
          <w:p>
            <w:pPr>
              <w:jc w:val="center"/>
            </w:pPr>
            <w:r>
              <w:rPr>
                <w:i/>
                <w:color w:val="505050"/>
                <w:sz w:val="16"/>
              </w:rPr>
              <w:t>Capture recommandée en couverture : la carte principale avec le panneau latéral.</w:t>
            </w:r>
          </w:p>
        </w:tc>
      </w:tr>
    </w:tbl>
    <w:p>
      <w:pPr>
        <w:spacing w:after="40"/>
      </w:pPr>
    </w:p>
    <w:p>
      <w:pPr>
        <w:spacing w:after="200"/>
      </w:pPr>
    </w:p>
    <w:tbl>
      <w:tblPr>
        <w:tblStyle w:val="TableGrid"/>
        <w:tblW w:type="auto" w:w="0"/>
        <w:jc w:val="center"/>
        <w:tblLook w:firstColumn="1" w:firstRow="1" w:lastColumn="0" w:lastRow="0" w:noHBand="0" w:noVBand="1" w:val="04A0"/>
      </w:tblPr>
      <w:tblGrid>
        <w:gridCol w:w="4873"/>
        <w:gridCol w:w="4873"/>
      </w:tblGrid>
      <w:tr>
        <w:tc>
          <w:tcPr>
            <w:tcW w:type="dxa" w:w="2448"/>
            <w:shd w:val="clear" w:color="auto" w:fill="1B3A63"/>
            <w:tcMar>
              <w:top w:w="60" w:type="dxa"/>
              <w:bottom w:w="60" w:type="dxa"/>
              <w:start w:w="110" w:type="dxa"/>
              <w:end w:w="110" w:type="dxa"/>
            </w:tcMar>
          </w:tcPr>
          <w:p>
            <w:pPr>
              <w:jc w:val="left"/>
            </w:pPr>
            <w:r>
              <w:rPr>
                <w:b/>
                <w:color w:val="FFFFFF"/>
                <w:sz w:val="20"/>
              </w:rPr>
            </w:r>
          </w:p>
        </w:tc>
        <w:tc>
          <w:tcPr>
            <w:tcW w:type="dxa" w:w="6624"/>
            <w:shd w:val="clear" w:color="auto" w:fill="1B3A63"/>
            <w:tcMar>
              <w:top w:w="60" w:type="dxa"/>
              <w:bottom w:w="60" w:type="dxa"/>
              <w:start w:w="110" w:type="dxa"/>
              <w:end w:w="110" w:type="dxa"/>
            </w:tcMar>
          </w:tcPr>
          <w:p>
            <w:pPr>
              <w:jc w:val="left"/>
            </w:pPr>
            <w:r>
              <w:rPr>
                <w:b/>
                <w:color w:val="FFFFFF"/>
                <w:sz w:val="20"/>
              </w:rPr>
            </w:r>
          </w:p>
        </w:tc>
      </w:tr>
      <w:tr>
        <w:tc>
          <w:tcPr>
            <w:tcW w:type="dxa" w:w="2448"/>
            <w:tcMar>
              <w:top w:w="60" w:type="dxa"/>
              <w:bottom w:w="60" w:type="dxa"/>
              <w:start w:w="110" w:type="dxa"/>
              <w:end w:w="110" w:type="dxa"/>
            </w:tcMar>
          </w:tcPr>
          <w:p>
            <w:r>
              <w:rPr>
                <w:b/>
                <w:color w:val="1B3A63"/>
                <w:sz w:val="20"/>
              </w:rPr>
              <w:t>Maître d’ouvrage</w:t>
            </w:r>
          </w:p>
        </w:tc>
        <w:tc>
          <w:tcPr>
            <w:tcW w:type="dxa" w:w="6624"/>
            <w:tcMar>
              <w:top w:w="60" w:type="dxa"/>
              <w:bottom w:w="60" w:type="dxa"/>
              <w:start w:w="110" w:type="dxa"/>
              <w:end w:w="110" w:type="dxa"/>
            </w:tcMar>
          </w:tcPr>
          <w:p>
            <w:r>
              <w:rPr>
                <w:sz w:val="20"/>
              </w:rPr>
              <w:t>Port Autonome d’Abidjan (PAA) — DEESP / DEEF</w:t>
            </w:r>
          </w:p>
        </w:tc>
      </w:tr>
      <w:tr>
        <w:tc>
          <w:tcPr>
            <w:tcW w:type="dxa" w:w="2448"/>
            <w:tcMar>
              <w:top w:w="60" w:type="dxa"/>
              <w:bottom w:w="60" w:type="dxa"/>
              <w:start w:w="110" w:type="dxa"/>
              <w:end w:w="110" w:type="dxa"/>
            </w:tcMar>
            <w:shd w:val="clear" w:color="auto" w:fill="F4F7FB"/>
          </w:tcPr>
          <w:p>
            <w:r>
              <w:rPr>
                <w:b/>
                <w:color w:val="1B3A63"/>
                <w:sz w:val="20"/>
              </w:rPr>
              <w:t>Cadre</w:t>
            </w:r>
          </w:p>
        </w:tc>
        <w:tc>
          <w:tcPr>
            <w:tcW w:type="dxa" w:w="6624"/>
            <w:tcMar>
              <w:top w:w="60" w:type="dxa"/>
              <w:bottom w:w="60" w:type="dxa"/>
              <w:start w:w="110" w:type="dxa"/>
              <w:end w:w="110" w:type="dxa"/>
            </w:tcMar>
            <w:shd w:val="clear" w:color="auto" w:fill="F4F7FB"/>
          </w:tcPr>
          <w:p>
            <w:r>
              <w:rPr>
                <w:sz w:val="20"/>
              </w:rPr>
              <w:t>STAT-HACK’26 — Hackathon de la Division des Analystes Statisticiens (ENSEA)</w:t>
            </w:r>
          </w:p>
        </w:tc>
      </w:tr>
      <w:tr>
        <w:tc>
          <w:tcPr>
            <w:tcW w:type="dxa" w:w="2448"/>
            <w:tcMar>
              <w:top w:w="60" w:type="dxa"/>
              <w:bottom w:w="60" w:type="dxa"/>
              <w:start w:w="110" w:type="dxa"/>
              <w:end w:w="110" w:type="dxa"/>
            </w:tcMar>
          </w:tcPr>
          <w:p>
            <w:r>
              <w:rPr>
                <w:b/>
                <w:color w:val="1B3A63"/>
                <w:sz w:val="20"/>
              </w:rPr>
              <w:t>Défi</w:t>
            </w:r>
          </w:p>
        </w:tc>
        <w:tc>
          <w:tcPr>
            <w:tcW w:type="dxa" w:w="6624"/>
            <w:tcMar>
              <w:top w:w="60" w:type="dxa"/>
              <w:bottom w:w="60" w:type="dxa"/>
              <w:start w:w="110" w:type="dxa"/>
              <w:end w:w="110" w:type="dxa"/>
            </w:tcMar>
          </w:tcPr>
          <w:p>
            <w:r>
              <w:rPr>
                <w:sz w:val="20"/>
              </w:rPr>
              <w:t>Défi 1 — Port Autonome d’Abidjan (Transport &amp; Logistique)</w:t>
            </w:r>
          </w:p>
        </w:tc>
      </w:tr>
      <w:tr>
        <w:tc>
          <w:tcPr>
            <w:tcW w:type="dxa" w:w="2448"/>
            <w:tcMar>
              <w:top w:w="60" w:type="dxa"/>
              <w:bottom w:w="60" w:type="dxa"/>
              <w:start w:w="110" w:type="dxa"/>
              <w:end w:w="110" w:type="dxa"/>
            </w:tcMar>
            <w:shd w:val="clear" w:color="auto" w:fill="F4F7FB"/>
          </w:tcPr>
          <w:p>
            <w:r>
              <w:rPr>
                <w:b/>
                <w:color w:val="1B3A63"/>
                <w:sz w:val="20"/>
              </w:rPr>
              <w:t>Équipe</w:t>
            </w:r>
          </w:p>
        </w:tc>
        <w:tc>
          <w:tcPr>
            <w:tcW w:type="dxa" w:w="6624"/>
            <w:tcMar>
              <w:top w:w="60" w:type="dxa"/>
              <w:bottom w:w="60" w:type="dxa"/>
              <w:start w:w="110" w:type="dxa"/>
              <w:end w:w="110" w:type="dxa"/>
            </w:tcMar>
            <w:shd w:val="clear" w:color="auto" w:fill="F4F7FB"/>
          </w:tcPr>
          <w:p>
            <w:r>
              <w:rPr>
                <w:sz w:val="20"/>
              </w:rPr>
              <w:t>HACKHATONIA — Manga Wilfried, Assamoi Ruth, Sakam Emmanuel, Chewo Helena</w:t>
            </w:r>
          </w:p>
        </w:tc>
      </w:tr>
      <w:tr>
        <w:tc>
          <w:tcPr>
            <w:tcW w:type="dxa" w:w="2448"/>
            <w:tcMar>
              <w:top w:w="60" w:type="dxa"/>
              <w:bottom w:w="60" w:type="dxa"/>
              <w:start w:w="110" w:type="dxa"/>
              <w:end w:w="110" w:type="dxa"/>
            </w:tcMar>
          </w:tcPr>
          <w:p>
            <w:r>
              <w:rPr>
                <w:b/>
                <w:color w:val="1B3A63"/>
                <w:sz w:val="20"/>
              </w:rPr>
              <w:t>Nature du livrable</w:t>
            </w:r>
          </w:p>
        </w:tc>
        <w:tc>
          <w:tcPr>
            <w:tcW w:type="dxa" w:w="6624"/>
            <w:tcMar>
              <w:top w:w="60" w:type="dxa"/>
              <w:bottom w:w="60" w:type="dxa"/>
              <w:start w:w="110" w:type="dxa"/>
              <w:end w:w="110" w:type="dxa"/>
            </w:tcMar>
          </w:tcPr>
          <w:p>
            <w:r>
              <w:rPr>
                <w:sz w:val="20"/>
              </w:rPr>
              <w:t>Prototype web fonctionnel déployé en production (v1.0.0)</w:t>
            </w:r>
          </w:p>
        </w:tc>
      </w:tr>
      <w:tr>
        <w:tc>
          <w:tcPr>
            <w:tcW w:type="dxa" w:w="2448"/>
            <w:tcMar>
              <w:top w:w="60" w:type="dxa"/>
              <w:bottom w:w="60" w:type="dxa"/>
              <w:start w:w="110" w:type="dxa"/>
              <w:end w:w="110" w:type="dxa"/>
            </w:tcMar>
            <w:shd w:val="clear" w:color="auto" w:fill="F4F7FB"/>
          </w:tcPr>
          <w:p>
            <w:r>
              <w:rPr>
                <w:b/>
                <w:color w:val="1B3A63"/>
                <w:sz w:val="20"/>
              </w:rPr>
              <w:t>Date du rapport</w:t>
            </w:r>
          </w:p>
        </w:tc>
        <w:tc>
          <w:tcPr>
            <w:tcW w:type="dxa" w:w="6624"/>
            <w:tcMar>
              <w:top w:w="60" w:type="dxa"/>
              <w:bottom w:w="60" w:type="dxa"/>
              <w:start w:w="110" w:type="dxa"/>
              <w:end w:w="110" w:type="dxa"/>
            </w:tcMar>
            <w:shd w:val="clear" w:color="auto" w:fill="F4F7FB"/>
          </w:tcPr>
          <w:p>
            <w:r>
              <w:rPr>
                <w:sz w:val="20"/>
              </w:rPr>
              <w:t>Juillet 2026</w:t>
            </w:r>
          </w:p>
        </w:tc>
      </w:tr>
    </w:tbl>
    <w:p>
      <w:pPr>
        <w:spacing w:after="40"/>
      </w:pPr>
    </w:p>
    <w:p>
      <w:r>
        <w:br w:type="page"/>
      </w:r>
    </w:p>
    <w:p>
      <w:pPr>
        <w:pStyle w:val="Heading1"/>
      </w:pPr>
      <w:r>
        <w:t>Sommaire</w:t>
      </w:r>
    </w:p>
    <w:p>
      <w:pPr>
        <w:spacing w:before="0" w:after="160"/>
      </w:pPr>
      <w:r>
        <w:rPr>
          <w:b w:val="0"/>
          <w:i/>
          <w:color w:val="505050"/>
          <w:sz w:val="19"/>
        </w:rPr>
        <w:t>Le sommaire ci-dessous se met à jour automatiquement dans Microsoft Word : clic droit sur le sommaire → « Mettre à jour les champs » → « Mettre à jour toute la table » (ou touche F9).</w:t>
      </w:r>
    </w:p>
    <w:p>
      <w:r>
        <w:fldChar w:fldCharType="begin"/>
        <w:instrText xml:space="preserve">TOC \o "1-2" \h \z \u</w:instrText>
        <w:fldChar w:fldCharType="end"/>
      </w:r>
    </w:p>
    <w:p>
      <w:r>
        <w:br w:type="page"/>
      </w:r>
    </w:p>
    <w:p>
      <w:pPr>
        <w:pStyle w:val="Heading1"/>
      </w:pPr>
      <w:r>
        <w:t>1. Résumé exécutif</w:t>
      </w:r>
    </w:p>
    <w:p>
      <w:pPr>
        <w:spacing w:before="0" w:after="120"/>
      </w:pPr>
      <w:r>
        <w:rPr>
          <w:b w:val="0"/>
          <w:i w:val="0"/>
          <w:sz w:val="21"/>
        </w:rPr>
        <w:t>PAA-Traverse est une application web interactive conçue et développée pour le Port Autonome d’Abidjan (PAA) afin de mesurer, visualiser et analyser en temps réel les temps de traversée des axes routiers stratégiques de la zone portuaire. Elle répond directement à l’indicateur clé de performance « temps de traversée de la zone portuaire » retenu par le PAA dans le cadre de son Plan Stratégique et de son Contrat de Performance avec l’État de Côte d’Ivoire, et s’aligne sur la méthodologie officielle de la DEESP/DEEF (rapport provisoire d’octobre 2025).</w:t>
      </w:r>
    </w:p>
    <w:p>
      <w:pPr>
        <w:spacing w:before="0" w:after="120"/>
      </w:pPr>
      <w:r>
        <w:rPr>
          <w:b w:val="0"/>
          <w:i w:val="0"/>
          <w:sz w:val="21"/>
        </w:rPr>
        <w:t>Là où la production de cet indicateur reposait jusqu’ici sur des relevés manuels ponctuels et des consultations isolées de Google Maps, PAA-Traverse automatise entièrement la chaîne : collecte horaire des mesures, historisation fiable, qualification de la congestion selon le critère couleur DEESP, cartographie dynamique, tableaux et graphiques du rapport officiel, veille automatique des incidents de circulation et confrontation des mesures API avec des relevés terrain GPS.</w:t>
      </w:r>
    </w:p>
    <w:tbl>
      <w:tblPr>
        <w:tblStyle w:val="TableGrid"/>
        <w:tblW w:type="auto" w:w="0"/>
        <w:jc w:val="center"/>
        <w:tblLook w:firstColumn="1" w:firstRow="1" w:lastColumn="0" w:lastRow="0" w:noHBand="0" w:noVBand="1" w:val="04A0"/>
      </w:tblPr>
      <w:tblGrid>
        <w:gridCol w:w="9746"/>
      </w:tblGrid>
      <w:tr>
        <w:tc>
          <w:tcPr>
            <w:tcW w:type="dxa" w:w="9072"/>
            <w:shd w:val="clear" w:color="auto" w:fill="EAF0F7"/>
            <w:tcMar>
              <w:top w:w="110" w:type="dxa"/>
              <w:bottom w:w="110" w:type="dxa"/>
              <w:start w:w="150" w:type="dxa"/>
              <w:end w:w="150" w:type="dxa"/>
            </w:tcMar>
          </w:tcPr>
          <w:p>
            <w:r>
              <w:rPr>
                <w:b/>
                <w:color w:val="1E5F9E"/>
                <w:sz w:val="20"/>
              </w:rPr>
              <w:t>En une phrase</w:t>
            </w:r>
          </w:p>
          <w:p>
            <w:r>
              <w:rPr>
                <w:sz w:val="20"/>
              </w:rPr>
              <w:t>PAA-Traverse transforme une mesure manuelle, ponctuelle et fragile en un dispositif de pilotage continu, fiable et réactif — accessible sur ordinateur, tablette et mobile, en français comme en anglais.</w:t>
            </w:r>
          </w:p>
        </w:tc>
      </w:tr>
    </w:tbl>
    <w:p>
      <w:pPr>
        <w:spacing w:after="40"/>
      </w:pPr>
    </w:p>
    <w:p>
      <w:pPr>
        <w:pStyle w:val="Heading3"/>
      </w:pPr>
      <w:r>
        <w:t>Ce que l’application apporte concrètement</w:t>
      </w:r>
    </w:p>
    <w:p>
      <w:pPr>
        <w:pStyle w:val="ListBullet"/>
        <w:spacing w:after="60"/>
      </w:pPr>
      <w:r>
        <w:rPr>
          <w:b/>
          <w:color w:val="1B3A63"/>
          <w:sz w:val="21"/>
        </w:rPr>
        <w:t xml:space="preserve">Suivi continu 24 h/24 — </w:t>
      </w:r>
      <w:r>
        <w:rPr>
          <w:sz w:val="21"/>
        </w:rPr>
        <w:t>une mesure par heure et par tronçon, sans intervention humaine, avec conservation de l’historique.</w:t>
      </w:r>
    </w:p>
    <w:p>
      <w:pPr>
        <w:pStyle w:val="ListBullet"/>
        <w:spacing w:after="60"/>
      </w:pPr>
      <w:r>
        <w:rPr>
          <w:b/>
          <w:color w:val="1B3A63"/>
          <w:sz w:val="21"/>
        </w:rPr>
        <w:t xml:space="preserve">Cartographie temps réel — </w:t>
      </w:r>
      <w:r>
        <w:rPr>
          <w:sz w:val="21"/>
        </w:rPr>
        <w:t>les 6 tronçons colorés vert / rouge / gris selon leur état, zoom automatique sur le point chaud.</w:t>
      </w:r>
    </w:p>
    <w:p>
      <w:pPr>
        <w:pStyle w:val="ListBullet"/>
        <w:spacing w:after="60"/>
      </w:pPr>
      <w:r>
        <w:rPr>
          <w:b/>
          <w:color w:val="1B3A63"/>
          <w:sz w:val="21"/>
        </w:rPr>
        <w:t xml:space="preserve">Rapport DEESP automatisé — </w:t>
      </w:r>
      <w:r>
        <w:rPr>
          <w:sz w:val="21"/>
        </w:rPr>
        <w:t>reproduction fidèle des tableaux et graphiques officiels (temps min / moyen / max, zones congestionnées).</w:t>
      </w:r>
    </w:p>
    <w:p>
      <w:pPr>
        <w:pStyle w:val="ListBullet"/>
        <w:spacing w:after="60"/>
      </w:pPr>
      <w:r>
        <w:rPr>
          <w:b/>
          <w:color w:val="1B3A63"/>
          <w:sz w:val="21"/>
        </w:rPr>
        <w:t xml:space="preserve">Précision au tronçon codifié — </w:t>
      </w:r>
      <w:r>
        <w:rPr>
          <w:sz w:val="21"/>
        </w:rPr>
        <w:t>chaque axe peut être découpé en tronçons codifiés (T1A, T1B…) pour localiser exactement le point de congestion.</w:t>
      </w:r>
    </w:p>
    <w:p>
      <w:pPr>
        <w:pStyle w:val="ListBullet"/>
        <w:spacing w:after="60"/>
      </w:pPr>
      <w:r>
        <w:rPr>
          <w:b/>
          <w:color w:val="1B3A63"/>
          <w:sz w:val="21"/>
        </w:rPr>
        <w:t xml:space="preserve">Aide à la décision — </w:t>
      </w:r>
      <w:r>
        <w:rPr>
          <w:sz w:val="21"/>
        </w:rPr>
        <w:t>créneaux horaires optimaux, zones à fluidifier en priorité, alertes incidents, recommandations opérationnelles.</w:t>
      </w:r>
    </w:p>
    <w:p>
      <w:pPr>
        <w:pStyle w:val="ListBullet"/>
        <w:spacing w:after="60"/>
      </w:pPr>
      <w:r>
        <w:rPr>
          <w:b/>
          <w:color w:val="1B3A63"/>
          <w:sz w:val="21"/>
        </w:rPr>
        <w:t xml:space="preserve">Intégrité des données — </w:t>
      </w:r>
      <w:r>
        <w:rPr>
          <w:sz w:val="21"/>
        </w:rPr>
        <w:t>aucune valeur inventée : en cas d’échec des sources, un trou de mesure est enregistré, jamais une valeur interpolée.</w:t>
      </w:r>
    </w:p>
    <w:p>
      <w:pPr>
        <w:spacing w:before="0" w:after="80"/>
      </w:pPr>
      <w:r>
        <w:rPr>
          <w:b w:val="0"/>
          <w:i w:val="0"/>
          <w:sz w:val="21"/>
        </w:rPr>
        <w:t>L’application est déployée en production et fonctionne 24 h/24. Les liens d’accès (application en ligne, dépôt de code source, documentation interactive de l’API) figurent au chapitre 14.</w:t>
      </w:r>
    </w:p>
    <w:p>
      <w:r>
        <w:br w:type="page"/>
      </w:r>
    </w:p>
    <w:p>
      <w:pPr>
        <w:pStyle w:val="Heading1"/>
      </w:pPr>
      <w:r>
        <w:t>2. Contexte et enjeux</w:t>
      </w:r>
    </w:p>
    <w:p>
      <w:pPr>
        <w:pStyle w:val="Heading2"/>
      </w:pPr>
      <w:r>
        <w:t>2.1 Le Port d’Abidjan, un hub stratégique sous tension</w:t>
      </w:r>
    </w:p>
    <w:p>
      <w:pPr>
        <w:spacing w:before="0" w:after="120"/>
      </w:pPr>
      <w:r>
        <w:rPr>
          <w:b w:val="0"/>
          <w:i w:val="0"/>
          <w:sz w:val="21"/>
        </w:rPr>
        <w:t>Le Port Autonome d’Abidjan constitue la principale porte d’entrée maritime de l’Afrique de l’Ouest et la plaque tournante du commerce extérieur ivoirien. Il concentre l’essentiel des échanges nationaux et dessert directement les pays enclavés de l’hinterland — Burkina Faso, Mali, Niger — par voie routière. Sa performance logistique conditionne donc la compétitivité d’un corridor régional entier.</w:t>
      </w:r>
    </w:p>
    <w:p>
      <w:pPr>
        <w:spacing w:before="0" w:after="120"/>
      </w:pPr>
      <w:r>
        <w:rPr>
          <w:b w:val="0"/>
          <w:i w:val="0"/>
          <w:sz w:val="21"/>
        </w:rPr>
        <w:t>Cette centralité s’accompagne d’une pression croissante. La croissance continue du trafic, conjuguée à la géographie lagunaire d’Abidjan qui contraint les flux à un nombre limité de points de franchissement (ponts), génère des goulets d’étranglement aux heures de pointe. Pour le port, chaque minute perdue sur les axes d’accès se traduit en surestaries, en temps de rotation allongé des camions et en perte de compétitivité face aux ports concurrents de la sous-région.</w:t>
      </w:r>
    </w:p>
    <w:p>
      <w:pPr>
        <w:pStyle w:val="Heading2"/>
      </w:pPr>
      <w:r>
        <w:t>2.2 Le temps de traversée, indicateur clé de performance</w:t>
      </w:r>
    </w:p>
    <w:p>
      <w:pPr>
        <w:spacing w:before="0" w:after="120"/>
      </w:pPr>
      <w:r>
        <w:rPr>
          <w:b w:val="0"/>
          <w:i w:val="0"/>
          <w:sz w:val="21"/>
        </w:rPr>
        <w:t>Dans le cadre du suivi de son Plan Stratégique et du Contrat de Performance qui le lie à l’État de Côte d’Ivoire, le PAA a retenu le « temps de traversée de la zone portuaire » comme indicateur clé permettant d’apprécier le niveau de congestion et l’efficacité des mesures mises en œuvre pour améliorer la mobilité. Le suivi de cet indicateur ne se limite donc plus à une simple opération de mesure : il s’inscrit dans une démarche structurée de pilotage de la performance et de modernisation de la gestion de la mobilité portuaire.</w:t>
      </w:r>
    </w:p>
    <w:p>
      <w:pPr>
        <w:pStyle w:val="Heading2"/>
      </w:pPr>
      <w:r>
        <w:t>2.3 Les limites du dispositif existant</w:t>
      </w:r>
    </w:p>
    <w:p>
      <w:pPr>
        <w:spacing w:before="0" w:after="120"/>
      </w:pPr>
      <w:r>
        <w:rPr>
          <w:b w:val="0"/>
          <w:i w:val="0"/>
          <w:sz w:val="21"/>
        </w:rPr>
        <w:t>Jusqu’à présent, la production de l’indicateur reposait sur des données issues d’outils de géolocalisation (notamment Google Maps) complétées par des observations de terrain ponctuelles sur les différents tronçons. Cette approche, utile mais artisanale, présentait plusieurs limites structurelles :</w:t>
      </w:r>
    </w:p>
    <w:tbl>
      <w:tblPr>
        <w:tblStyle w:val="TableGrid"/>
        <w:tblW w:type="auto" w:w="0"/>
        <w:jc w:val="center"/>
        <w:tblLook w:firstColumn="1" w:firstRow="1" w:lastColumn="0" w:lastRow="0" w:noHBand="0" w:noVBand="1" w:val="04A0"/>
      </w:tblPr>
      <w:tblGrid>
        <w:gridCol w:w="4873"/>
        <w:gridCol w:w="4873"/>
      </w:tblGrid>
      <w:tr>
        <w:tc>
          <w:tcPr>
            <w:tcW w:type="dxa" w:w="4320"/>
            <w:shd w:val="clear" w:color="auto" w:fill="0F2240"/>
            <w:tcMar>
              <w:top w:w="60" w:type="dxa"/>
              <w:bottom w:w="60" w:type="dxa"/>
              <w:start w:w="110" w:type="dxa"/>
              <w:end w:w="110" w:type="dxa"/>
            </w:tcMar>
          </w:tcPr>
          <w:p>
            <w:pPr>
              <w:jc w:val="left"/>
            </w:pPr>
            <w:r>
              <w:rPr>
                <w:b/>
                <w:color w:val="FFFFFF"/>
                <w:sz w:val="19"/>
              </w:rPr>
              <w:t>Limite du dispositif existant</w:t>
            </w:r>
          </w:p>
        </w:tc>
        <w:tc>
          <w:tcPr>
            <w:tcW w:type="dxa" w:w="4752"/>
            <w:shd w:val="clear" w:color="auto" w:fill="0F2240"/>
            <w:tcMar>
              <w:top w:w="60" w:type="dxa"/>
              <w:bottom w:w="60" w:type="dxa"/>
              <w:start w:w="110" w:type="dxa"/>
              <w:end w:w="110" w:type="dxa"/>
            </w:tcMar>
          </w:tcPr>
          <w:p>
            <w:pPr>
              <w:jc w:val="left"/>
            </w:pPr>
            <w:r>
              <w:rPr>
                <w:b/>
                <w:color w:val="FFFFFF"/>
                <w:sz w:val="19"/>
              </w:rPr>
              <w:t>Conséquence opérationnelle</w:t>
            </w:r>
          </w:p>
        </w:tc>
      </w:tr>
      <w:tr>
        <w:tc>
          <w:tcPr>
            <w:tcW w:type="dxa" w:w="4320"/>
            <w:tcMar>
              <w:top w:w="60" w:type="dxa"/>
              <w:bottom w:w="60" w:type="dxa"/>
              <w:start w:w="110" w:type="dxa"/>
              <w:end w:w="110" w:type="dxa"/>
            </w:tcMar>
          </w:tcPr>
          <w:p>
            <w:r>
              <w:rPr>
                <w:b/>
                <w:color w:val="1B3A63"/>
                <w:sz w:val="18"/>
              </w:rPr>
              <w:t>Relevés manuels et ponctuels</w:t>
            </w:r>
          </w:p>
        </w:tc>
        <w:tc>
          <w:tcPr>
            <w:tcW w:type="dxa" w:w="4752"/>
            <w:tcMar>
              <w:top w:w="60" w:type="dxa"/>
              <w:bottom w:w="60" w:type="dxa"/>
              <w:start w:w="110" w:type="dxa"/>
              <w:end w:w="110" w:type="dxa"/>
            </w:tcMar>
          </w:tcPr>
          <w:p>
            <w:r>
              <w:rPr>
                <w:sz w:val="18"/>
              </w:rPr>
              <w:t>Pas de suivi continu ; l’état du trafic à un instant donné n’est pas connu.</w:t>
            </w:r>
          </w:p>
        </w:tc>
      </w:tr>
      <w:tr>
        <w:tc>
          <w:tcPr>
            <w:tcW w:type="dxa" w:w="4320"/>
            <w:tcMar>
              <w:top w:w="60" w:type="dxa"/>
              <w:bottom w:w="60" w:type="dxa"/>
              <w:start w:w="110" w:type="dxa"/>
              <w:end w:w="110" w:type="dxa"/>
            </w:tcMar>
            <w:shd w:val="clear" w:color="auto" w:fill="F4F7FB"/>
          </w:tcPr>
          <w:p>
            <w:r>
              <w:rPr>
                <w:b/>
                <w:color w:val="1B3A63"/>
                <w:sz w:val="18"/>
              </w:rPr>
              <w:t>Consultation isolée de Google Maps</w:t>
            </w:r>
          </w:p>
        </w:tc>
        <w:tc>
          <w:tcPr>
            <w:tcW w:type="dxa" w:w="4752"/>
            <w:tcMar>
              <w:top w:w="60" w:type="dxa"/>
              <w:bottom w:w="60" w:type="dxa"/>
              <w:start w:w="110" w:type="dxa"/>
              <w:end w:w="110" w:type="dxa"/>
            </w:tcMar>
            <w:shd w:val="clear" w:color="auto" w:fill="F4F7FB"/>
          </w:tcPr>
          <w:p>
            <w:r>
              <w:rPr>
                <w:sz w:val="18"/>
              </w:rPr>
              <w:t>Donnée non historisée, non reproductible, sensible à l’opérateur qui la relève.</w:t>
            </w:r>
          </w:p>
        </w:tc>
      </w:tr>
      <w:tr>
        <w:tc>
          <w:tcPr>
            <w:tcW w:type="dxa" w:w="4320"/>
            <w:tcMar>
              <w:top w:w="60" w:type="dxa"/>
              <w:bottom w:w="60" w:type="dxa"/>
              <w:start w:w="110" w:type="dxa"/>
              <w:end w:w="110" w:type="dxa"/>
            </w:tcMar>
          </w:tcPr>
          <w:p>
            <w:r>
              <w:rPr>
                <w:b/>
                <w:color w:val="1B3A63"/>
                <w:sz w:val="18"/>
              </w:rPr>
              <w:t>Absence de base de données horodatée</w:t>
            </w:r>
          </w:p>
        </w:tc>
        <w:tc>
          <w:tcPr>
            <w:tcW w:type="dxa" w:w="4752"/>
            <w:tcMar>
              <w:top w:w="60" w:type="dxa"/>
              <w:bottom w:w="60" w:type="dxa"/>
              <w:start w:w="110" w:type="dxa"/>
              <w:end w:w="110" w:type="dxa"/>
            </w:tcMar>
          </w:tcPr>
          <w:p>
            <w:r>
              <w:rPr>
                <w:sz w:val="18"/>
              </w:rPr>
              <w:t>Impossible de comparer objectivement deux périodes ou de mesurer une tendance.</w:t>
            </w:r>
          </w:p>
        </w:tc>
      </w:tr>
      <w:tr>
        <w:tc>
          <w:tcPr>
            <w:tcW w:type="dxa" w:w="4320"/>
            <w:tcMar>
              <w:top w:w="60" w:type="dxa"/>
              <w:bottom w:w="60" w:type="dxa"/>
              <w:start w:w="110" w:type="dxa"/>
              <w:end w:w="110" w:type="dxa"/>
            </w:tcMar>
            <w:shd w:val="clear" w:color="auto" w:fill="F4F7FB"/>
          </w:tcPr>
          <w:p>
            <w:r>
              <w:rPr>
                <w:b/>
                <w:color w:val="1B3A63"/>
                <w:sz w:val="18"/>
              </w:rPr>
              <w:t>Pas d’intégration des paramètres contextuels</w:t>
            </w:r>
          </w:p>
        </w:tc>
        <w:tc>
          <w:tcPr>
            <w:tcW w:type="dxa" w:w="4752"/>
            <w:tcMar>
              <w:top w:w="60" w:type="dxa"/>
              <w:bottom w:w="60" w:type="dxa"/>
              <w:start w:w="110" w:type="dxa"/>
              <w:end w:w="110" w:type="dxa"/>
            </w:tcMar>
            <w:shd w:val="clear" w:color="auto" w:fill="F4F7FB"/>
          </w:tcPr>
          <w:p>
            <w:r>
              <w:rPr>
                <w:sz w:val="18"/>
              </w:rPr>
              <w:t>Incidents, opérations logistiques et congestions ponctuelles échappent à la mesure.</w:t>
            </w:r>
          </w:p>
        </w:tc>
      </w:tr>
      <w:tr>
        <w:tc>
          <w:tcPr>
            <w:tcW w:type="dxa" w:w="4320"/>
            <w:tcMar>
              <w:top w:w="60" w:type="dxa"/>
              <w:bottom w:w="60" w:type="dxa"/>
              <w:start w:w="110" w:type="dxa"/>
              <w:end w:w="110" w:type="dxa"/>
            </w:tcMar>
          </w:tcPr>
          <w:p>
            <w:r>
              <w:rPr>
                <w:b/>
                <w:color w:val="1B3A63"/>
                <w:sz w:val="18"/>
              </w:rPr>
              <w:t>Restitution non cartographique</w:t>
            </w:r>
          </w:p>
        </w:tc>
        <w:tc>
          <w:tcPr>
            <w:tcW w:type="dxa" w:w="4752"/>
            <w:tcMar>
              <w:top w:w="60" w:type="dxa"/>
              <w:bottom w:w="60" w:type="dxa"/>
              <w:start w:w="110" w:type="dxa"/>
              <w:end w:w="110" w:type="dxa"/>
            </w:tcMar>
          </w:tcPr>
          <w:p>
            <w:r>
              <w:rPr>
                <w:sz w:val="18"/>
              </w:rPr>
              <w:t>Difficile d’identifier visuellement les zones de congestion récurrentes.</w:t>
            </w:r>
          </w:p>
        </w:tc>
      </w:tr>
    </w:tbl>
    <w:p>
      <w:pPr>
        <w:spacing w:after="40"/>
      </w:pPr>
    </w:p>
    <w:p>
      <w:pPr>
        <w:spacing w:before="0" w:after="80"/>
      </w:pPr>
      <w:r>
        <w:rPr>
          <w:b w:val="0"/>
          <w:i w:val="0"/>
          <w:sz w:val="21"/>
        </w:rPr>
        <w:t>C’est précisément dans cette optique — automatiser la collecte et le traitement pour assurer un suivi continu, plus fiable et plus rapide — que s’inscrit le projet PAA-Traverse.</w:t>
      </w:r>
    </w:p>
    <w:p>
      <w:r>
        <w:br w:type="page"/>
      </w:r>
    </w:p>
    <w:p>
      <w:pPr>
        <w:pStyle w:val="Heading1"/>
      </w:pPr>
      <w:r>
        <w:t>3. Problématique et objectifs</w:t>
      </w:r>
    </w:p>
    <w:p>
      <w:pPr>
        <w:pStyle w:val="Heading2"/>
      </w:pPr>
      <w:r>
        <w:t>3.1 Problématique centrale</w:t>
      </w:r>
    </w:p>
    <w:tbl>
      <w:tblPr>
        <w:tblStyle w:val="TableGrid"/>
        <w:tblW w:type="auto" w:w="0"/>
        <w:jc w:val="center"/>
        <w:tblLook w:firstColumn="1" w:firstRow="1" w:lastColumn="0" w:lastRow="0" w:noHBand="0" w:noVBand="1" w:val="04A0"/>
      </w:tblPr>
      <w:tblGrid>
        <w:gridCol w:w="9746"/>
      </w:tblGrid>
      <w:tr>
        <w:tc>
          <w:tcPr>
            <w:tcW w:type="dxa" w:w="9072"/>
            <w:shd w:val="clear" w:color="auto" w:fill="EAF0F7"/>
            <w:tcMar>
              <w:top w:w="110" w:type="dxa"/>
              <w:bottom w:w="110" w:type="dxa"/>
              <w:start w:w="150" w:type="dxa"/>
              <w:end w:w="150" w:type="dxa"/>
            </w:tcMar>
          </w:tcPr>
          <w:p>
            <w:r>
              <w:rPr>
                <w:b/>
                <w:color w:val="0F2240"/>
                <w:sz w:val="20"/>
              </w:rPr>
              <w:t>Problématique</w:t>
            </w:r>
          </w:p>
          <w:p>
            <w:r>
              <w:rPr>
                <w:sz w:val="20"/>
              </w:rPr>
              <w:t>Comment concevoir une application web capable de mesurer, visualiser et analyser en temps réel les temps de traversée des axes routiers stratégiques desservant le Port d’Abidjan, afin d’identifier les congestions, de produire des indicateurs d’aide à la décision et d’améliorer la fluidité des flux logistiques ?</w:t>
            </w:r>
          </w:p>
        </w:tc>
      </w:tr>
    </w:tbl>
    <w:p>
      <w:pPr>
        <w:spacing w:after="40"/>
      </w:pPr>
    </w:p>
    <w:p>
      <w:pPr>
        <w:pStyle w:val="Heading2"/>
      </w:pPr>
      <w:r>
        <w:t>3.2 Décomposition en sous-problématiques</w:t>
      </w:r>
    </w:p>
    <w:p>
      <w:pPr>
        <w:spacing w:before="0" w:after="120"/>
      </w:pPr>
      <w:r>
        <w:rPr>
          <w:b w:val="0"/>
          <w:i w:val="0"/>
          <w:sz w:val="21"/>
        </w:rPr>
        <w:t>Pour traiter cette question de manière rigoureuse, elle a été décomposée en neuf sous-problématiques. Pour chacune, nous avons vérifié s’il existait une solution éprouvée à réutiliser, et à défaut spécifié une implémentation propre. Cette grille a structuré toute la conception.</w:t>
      </w:r>
    </w:p>
    <w:tbl>
      <w:tblPr>
        <w:tblStyle w:val="TableGrid"/>
        <w:tblW w:type="auto" w:w="0"/>
        <w:jc w:val="center"/>
        <w:tblLook w:firstColumn="1" w:firstRow="1" w:lastColumn="0" w:lastRow="0" w:noHBand="0" w:noVBand="1" w:val="04A0"/>
      </w:tblPr>
      <w:tblGrid>
        <w:gridCol w:w="3249"/>
        <w:gridCol w:w="3249"/>
        <w:gridCol w:w="3249"/>
      </w:tblGrid>
      <w:tr>
        <w:tc>
          <w:tcPr>
            <w:tcW w:type="dxa" w:w="864"/>
            <w:shd w:val="clear" w:color="auto" w:fill="0F2240"/>
            <w:tcMar>
              <w:top w:w="60" w:type="dxa"/>
              <w:bottom w:w="60" w:type="dxa"/>
              <w:start w:w="110" w:type="dxa"/>
              <w:end w:w="110" w:type="dxa"/>
            </w:tcMar>
          </w:tcPr>
          <w:p>
            <w:pPr>
              <w:jc w:val="left"/>
            </w:pPr>
            <w:r>
              <w:rPr>
                <w:b/>
                <w:color w:val="FFFFFF"/>
                <w:sz w:val="19"/>
              </w:rPr>
              <w:t>Code</w:t>
            </w:r>
          </w:p>
        </w:tc>
        <w:tc>
          <w:tcPr>
            <w:tcW w:type="dxa" w:w="4752"/>
            <w:shd w:val="clear" w:color="auto" w:fill="0F2240"/>
            <w:tcMar>
              <w:top w:w="60" w:type="dxa"/>
              <w:bottom w:w="60" w:type="dxa"/>
              <w:start w:w="110" w:type="dxa"/>
              <w:end w:w="110" w:type="dxa"/>
            </w:tcMar>
          </w:tcPr>
          <w:p>
            <w:pPr>
              <w:jc w:val="left"/>
            </w:pPr>
            <w:r>
              <w:rPr>
                <w:b/>
                <w:color w:val="FFFFFF"/>
                <w:sz w:val="19"/>
              </w:rPr>
              <w:t>Sous-problématique</w:t>
            </w:r>
          </w:p>
        </w:tc>
        <w:tc>
          <w:tcPr>
            <w:tcW w:type="dxa" w:w="3456"/>
            <w:shd w:val="clear" w:color="auto" w:fill="0F2240"/>
            <w:tcMar>
              <w:top w:w="60" w:type="dxa"/>
              <w:bottom w:w="60" w:type="dxa"/>
              <w:start w:w="110" w:type="dxa"/>
              <w:end w:w="110" w:type="dxa"/>
            </w:tcMar>
          </w:tcPr>
          <w:p>
            <w:pPr>
              <w:jc w:val="left"/>
            </w:pPr>
            <w:r>
              <w:rPr>
                <w:b/>
                <w:color w:val="FFFFFF"/>
                <w:sz w:val="19"/>
              </w:rPr>
              <w:t>Traitement retenu</w:t>
            </w:r>
          </w:p>
        </w:tc>
      </w:tr>
      <w:tr>
        <w:tc>
          <w:tcPr>
            <w:tcW w:type="dxa" w:w="864"/>
            <w:tcMar>
              <w:top w:w="60" w:type="dxa"/>
              <w:bottom w:w="60" w:type="dxa"/>
              <w:start w:w="110" w:type="dxa"/>
              <w:end w:w="110" w:type="dxa"/>
            </w:tcMar>
          </w:tcPr>
          <w:p>
            <w:r>
              <w:rPr>
                <w:b/>
                <w:color w:val="1B3A63"/>
                <w:sz w:val="18"/>
              </w:rPr>
              <w:t>SP1</w:t>
            </w:r>
          </w:p>
        </w:tc>
        <w:tc>
          <w:tcPr>
            <w:tcW w:type="dxa" w:w="4752"/>
            <w:tcMar>
              <w:top w:w="60" w:type="dxa"/>
              <w:bottom w:w="60" w:type="dxa"/>
              <w:start w:w="110" w:type="dxa"/>
              <w:end w:w="110" w:type="dxa"/>
            </w:tcMar>
          </w:tcPr>
          <w:p>
            <w:r>
              <w:rPr>
                <w:sz w:val="18"/>
              </w:rPr>
              <w:t>Mesure temps réel des temps de parcours</w:t>
            </w:r>
          </w:p>
        </w:tc>
        <w:tc>
          <w:tcPr>
            <w:tcW w:type="dxa" w:w="3456"/>
            <w:tcMar>
              <w:top w:w="60" w:type="dxa"/>
              <w:bottom w:w="60" w:type="dxa"/>
              <w:start w:w="110" w:type="dxa"/>
              <w:end w:w="110" w:type="dxa"/>
            </w:tcMar>
          </w:tcPr>
          <w:p>
            <w:r>
              <w:rPr>
                <w:sz w:val="18"/>
              </w:rPr>
              <w:t>Google Routes API (réutilisé)</w:t>
            </w:r>
          </w:p>
        </w:tc>
      </w:tr>
      <w:tr>
        <w:tc>
          <w:tcPr>
            <w:tcW w:type="dxa" w:w="864"/>
            <w:tcMar>
              <w:top w:w="60" w:type="dxa"/>
              <w:bottom w:w="60" w:type="dxa"/>
              <w:start w:w="110" w:type="dxa"/>
              <w:end w:w="110" w:type="dxa"/>
            </w:tcMar>
            <w:shd w:val="clear" w:color="auto" w:fill="F4F7FB"/>
          </w:tcPr>
          <w:p>
            <w:r>
              <w:rPr>
                <w:b/>
                <w:color w:val="1B3A63"/>
                <w:sz w:val="18"/>
              </w:rPr>
              <w:t>SP2</w:t>
            </w:r>
          </w:p>
        </w:tc>
        <w:tc>
          <w:tcPr>
            <w:tcW w:type="dxa" w:w="4752"/>
            <w:tcMar>
              <w:top w:w="60" w:type="dxa"/>
              <w:bottom w:w="60" w:type="dxa"/>
              <w:start w:w="110" w:type="dxa"/>
              <w:end w:w="110" w:type="dxa"/>
            </w:tcMar>
            <w:shd w:val="clear" w:color="auto" w:fill="F4F7FB"/>
          </w:tcPr>
          <w:p>
            <w:r>
              <w:rPr>
                <w:sz w:val="18"/>
              </w:rPr>
              <w:t>Temps d’accès portuaire de bout en bout</w:t>
            </w:r>
          </w:p>
        </w:tc>
        <w:tc>
          <w:tcPr>
            <w:tcW w:type="dxa" w:w="3456"/>
            <w:tcMar>
              <w:top w:w="60" w:type="dxa"/>
              <w:bottom w:w="60" w:type="dxa"/>
              <w:start w:w="110" w:type="dxa"/>
              <w:end w:w="110" w:type="dxa"/>
            </w:tcMar>
            <w:shd w:val="clear" w:color="auto" w:fill="F4F7FB"/>
          </w:tcPr>
          <w:p>
            <w:r>
              <w:rPr>
                <w:sz w:val="18"/>
              </w:rPr>
              <w:t>Découpage en tronçons + geofencing horodaté (adapté)</w:t>
            </w:r>
          </w:p>
        </w:tc>
      </w:tr>
      <w:tr>
        <w:tc>
          <w:tcPr>
            <w:tcW w:type="dxa" w:w="864"/>
            <w:tcMar>
              <w:top w:w="60" w:type="dxa"/>
              <w:bottom w:w="60" w:type="dxa"/>
              <w:start w:w="110" w:type="dxa"/>
              <w:end w:w="110" w:type="dxa"/>
            </w:tcMar>
          </w:tcPr>
          <w:p>
            <w:r>
              <w:rPr>
                <w:b/>
                <w:color w:val="1B3A63"/>
                <w:sz w:val="18"/>
              </w:rPr>
              <w:t>SP3</w:t>
            </w:r>
          </w:p>
        </w:tc>
        <w:tc>
          <w:tcPr>
            <w:tcW w:type="dxa" w:w="4752"/>
            <w:tcMar>
              <w:top w:w="60" w:type="dxa"/>
              <w:bottom w:w="60" w:type="dxa"/>
              <w:start w:w="110" w:type="dxa"/>
              <w:end w:w="110" w:type="dxa"/>
            </w:tcMar>
          </w:tcPr>
          <w:p>
            <w:r>
              <w:rPr>
                <w:sz w:val="18"/>
              </w:rPr>
              <w:t>Cartographie dynamique + zoom intelligent</w:t>
            </w:r>
          </w:p>
        </w:tc>
        <w:tc>
          <w:tcPr>
            <w:tcW w:type="dxa" w:w="3456"/>
            <w:tcMar>
              <w:top w:w="60" w:type="dxa"/>
              <w:bottom w:w="60" w:type="dxa"/>
              <w:start w:w="110" w:type="dxa"/>
              <w:end w:w="110" w:type="dxa"/>
            </w:tcMar>
          </w:tcPr>
          <w:p>
            <w:r>
              <w:rPr>
                <w:sz w:val="18"/>
              </w:rPr>
              <w:t>Leaflet + OpenStreetMap (réutilisé)</w:t>
            </w:r>
          </w:p>
        </w:tc>
      </w:tr>
      <w:tr>
        <w:tc>
          <w:tcPr>
            <w:tcW w:type="dxa" w:w="864"/>
            <w:tcMar>
              <w:top w:w="60" w:type="dxa"/>
              <w:bottom w:w="60" w:type="dxa"/>
              <w:start w:w="110" w:type="dxa"/>
              <w:end w:w="110" w:type="dxa"/>
            </w:tcMar>
            <w:shd w:val="clear" w:color="auto" w:fill="F4F7FB"/>
          </w:tcPr>
          <w:p>
            <w:r>
              <w:rPr>
                <w:b/>
                <w:color w:val="1B3A63"/>
                <w:sz w:val="18"/>
              </w:rPr>
              <w:t>SP4</w:t>
            </w:r>
          </w:p>
        </w:tc>
        <w:tc>
          <w:tcPr>
            <w:tcW w:type="dxa" w:w="4752"/>
            <w:tcMar>
              <w:top w:w="60" w:type="dxa"/>
              <w:bottom w:w="60" w:type="dxa"/>
              <w:start w:w="110" w:type="dxa"/>
              <w:end w:w="110" w:type="dxa"/>
            </w:tcMar>
            <w:shd w:val="clear" w:color="auto" w:fill="F4F7FB"/>
          </w:tcPr>
          <w:p>
            <w:r>
              <w:rPr>
                <w:sz w:val="18"/>
              </w:rPr>
              <w:t>Analyse des niveaux de congestion</w:t>
            </w:r>
          </w:p>
        </w:tc>
        <w:tc>
          <w:tcPr>
            <w:tcW w:type="dxa" w:w="3456"/>
            <w:tcMar>
              <w:top w:w="60" w:type="dxa"/>
              <w:bottom w:w="60" w:type="dxa"/>
              <w:start w:w="110" w:type="dxa"/>
              <w:end w:w="110" w:type="dxa"/>
            </w:tcMar>
            <w:shd w:val="clear" w:color="auto" w:fill="F4F7FB"/>
          </w:tcPr>
          <w:p>
            <w:r>
              <w:rPr>
                <w:sz w:val="18"/>
              </w:rPr>
              <w:t>Critère couleur DEESP sur Google Maps (implémenté)</w:t>
            </w:r>
          </w:p>
        </w:tc>
      </w:tr>
      <w:tr>
        <w:tc>
          <w:tcPr>
            <w:tcW w:type="dxa" w:w="864"/>
            <w:tcMar>
              <w:top w:w="60" w:type="dxa"/>
              <w:bottom w:w="60" w:type="dxa"/>
              <w:start w:w="110" w:type="dxa"/>
              <w:end w:w="110" w:type="dxa"/>
            </w:tcMar>
          </w:tcPr>
          <w:p>
            <w:r>
              <w:rPr>
                <w:b/>
                <w:color w:val="1B3A63"/>
                <w:sz w:val="18"/>
              </w:rPr>
              <w:t>SP5</w:t>
            </w:r>
          </w:p>
        </w:tc>
        <w:tc>
          <w:tcPr>
            <w:tcW w:type="dxa" w:w="4752"/>
            <w:tcMar>
              <w:top w:w="60" w:type="dxa"/>
              <w:bottom w:w="60" w:type="dxa"/>
              <w:start w:w="110" w:type="dxa"/>
              <w:end w:w="110" w:type="dxa"/>
            </w:tcMar>
          </w:tcPr>
          <w:p>
            <w:r>
              <w:rPr>
                <w:sz w:val="18"/>
              </w:rPr>
              <w:t>Graphiques dynamiques + exports</w:t>
            </w:r>
          </w:p>
        </w:tc>
        <w:tc>
          <w:tcPr>
            <w:tcW w:type="dxa" w:w="3456"/>
            <w:tcMar>
              <w:top w:w="60" w:type="dxa"/>
              <w:bottom w:w="60" w:type="dxa"/>
              <w:start w:w="110" w:type="dxa"/>
              <w:end w:w="110" w:type="dxa"/>
            </w:tcMar>
          </w:tcPr>
          <w:p>
            <w:r>
              <w:rPr>
                <w:sz w:val="18"/>
              </w:rPr>
              <w:t>Recharts + exports CSV/Excel (réutilisé)</w:t>
            </w:r>
          </w:p>
        </w:tc>
      </w:tr>
      <w:tr>
        <w:tc>
          <w:tcPr>
            <w:tcW w:type="dxa" w:w="864"/>
            <w:tcMar>
              <w:top w:w="60" w:type="dxa"/>
              <w:bottom w:w="60" w:type="dxa"/>
              <w:start w:w="110" w:type="dxa"/>
              <w:end w:w="110" w:type="dxa"/>
            </w:tcMar>
            <w:shd w:val="clear" w:color="auto" w:fill="F4F7FB"/>
          </w:tcPr>
          <w:p>
            <w:r>
              <w:rPr>
                <w:b/>
                <w:color w:val="1B3A63"/>
                <w:sz w:val="18"/>
              </w:rPr>
              <w:t>SP6</w:t>
            </w:r>
          </w:p>
        </w:tc>
        <w:tc>
          <w:tcPr>
            <w:tcW w:type="dxa" w:w="4752"/>
            <w:tcMar>
              <w:top w:w="60" w:type="dxa"/>
              <w:bottom w:w="60" w:type="dxa"/>
              <w:start w:w="110" w:type="dxa"/>
              <w:end w:w="110" w:type="dxa"/>
            </w:tcMar>
            <w:shd w:val="clear" w:color="auto" w:fill="F4F7FB"/>
          </w:tcPr>
          <w:p>
            <w:r>
              <w:rPr>
                <w:sz w:val="18"/>
              </w:rPr>
              <w:t>Automatisation de la collecte</w:t>
            </w:r>
          </w:p>
        </w:tc>
        <w:tc>
          <w:tcPr>
            <w:tcW w:type="dxa" w:w="3456"/>
            <w:tcMar>
              <w:top w:w="60" w:type="dxa"/>
              <w:bottom w:w="60" w:type="dxa"/>
              <w:start w:w="110" w:type="dxa"/>
              <w:end w:w="110" w:type="dxa"/>
            </w:tcMar>
            <w:shd w:val="clear" w:color="auto" w:fill="F4F7FB"/>
          </w:tcPr>
          <w:p>
            <w:r>
              <w:rPr>
                <w:sz w:val="18"/>
              </w:rPr>
              <w:t>Orchestrateur APScheduler propre (implémenté)</w:t>
            </w:r>
          </w:p>
        </w:tc>
      </w:tr>
      <w:tr>
        <w:tc>
          <w:tcPr>
            <w:tcW w:type="dxa" w:w="864"/>
            <w:tcMar>
              <w:top w:w="60" w:type="dxa"/>
              <w:bottom w:w="60" w:type="dxa"/>
              <w:start w:w="110" w:type="dxa"/>
              <w:end w:w="110" w:type="dxa"/>
            </w:tcMar>
          </w:tcPr>
          <w:p>
            <w:r>
              <w:rPr>
                <w:b/>
                <w:color w:val="1B3A63"/>
                <w:sz w:val="18"/>
              </w:rPr>
              <w:t>SP7</w:t>
            </w:r>
          </w:p>
        </w:tc>
        <w:tc>
          <w:tcPr>
            <w:tcW w:type="dxa" w:w="4752"/>
            <w:tcMar>
              <w:top w:w="60" w:type="dxa"/>
              <w:bottom w:w="60" w:type="dxa"/>
              <w:start w:w="110" w:type="dxa"/>
              <w:end w:w="110" w:type="dxa"/>
            </w:tcMar>
          </w:tcPr>
          <w:p>
            <w:r>
              <w:rPr>
                <w:sz w:val="18"/>
              </w:rPr>
              <w:t>Indicateurs d’aide à la décision</w:t>
            </w:r>
          </w:p>
        </w:tc>
        <w:tc>
          <w:tcPr>
            <w:tcW w:type="dxa" w:w="3456"/>
            <w:tcMar>
              <w:top w:w="60" w:type="dxa"/>
              <w:bottom w:w="60" w:type="dxa"/>
              <w:start w:w="110" w:type="dxa"/>
              <w:end w:w="110" w:type="dxa"/>
            </w:tcMar>
          </w:tcPr>
          <w:p>
            <w:r>
              <w:rPr>
                <w:sz w:val="18"/>
              </w:rPr>
              <w:t>Indicateurs DEESP + créneaux optimaux (implémenté)</w:t>
            </w:r>
          </w:p>
        </w:tc>
      </w:tr>
      <w:tr>
        <w:tc>
          <w:tcPr>
            <w:tcW w:type="dxa" w:w="864"/>
            <w:tcMar>
              <w:top w:w="60" w:type="dxa"/>
              <w:bottom w:w="60" w:type="dxa"/>
              <w:start w:w="110" w:type="dxa"/>
              <w:end w:w="110" w:type="dxa"/>
            </w:tcMar>
            <w:shd w:val="clear" w:color="auto" w:fill="F4F7FB"/>
          </w:tcPr>
          <w:p>
            <w:r>
              <w:rPr>
                <w:b/>
                <w:color w:val="1B3A63"/>
                <w:sz w:val="18"/>
              </w:rPr>
              <w:t>SP8</w:t>
            </w:r>
          </w:p>
        </w:tc>
        <w:tc>
          <w:tcPr>
            <w:tcW w:type="dxa" w:w="4752"/>
            <w:tcMar>
              <w:top w:w="60" w:type="dxa"/>
              <w:bottom w:w="60" w:type="dxa"/>
              <w:start w:w="110" w:type="dxa"/>
              <w:end w:w="110" w:type="dxa"/>
            </w:tcMar>
            <w:shd w:val="clear" w:color="auto" w:fill="F4F7FB"/>
          </w:tcPr>
          <w:p>
            <w:r>
              <w:rPr>
                <w:sz w:val="18"/>
              </w:rPr>
              <w:t>Identification des zones critiques</w:t>
            </w:r>
          </w:p>
        </w:tc>
        <w:tc>
          <w:tcPr>
            <w:tcW w:type="dxa" w:w="3456"/>
            <w:tcMar>
              <w:top w:w="60" w:type="dxa"/>
              <w:bottom w:w="60" w:type="dxa"/>
              <w:start w:w="110" w:type="dxa"/>
              <w:end w:w="110" w:type="dxa"/>
            </w:tcMar>
            <w:shd w:val="clear" w:color="auto" w:fill="F4F7FB"/>
          </w:tcPr>
          <w:p>
            <w:r>
              <w:rPr>
                <w:sz w:val="18"/>
              </w:rPr>
              <w:t>Profils horaires + zones congestionnées (implémenté)</w:t>
            </w:r>
          </w:p>
        </w:tc>
      </w:tr>
      <w:tr>
        <w:tc>
          <w:tcPr>
            <w:tcW w:type="dxa" w:w="864"/>
            <w:tcMar>
              <w:top w:w="60" w:type="dxa"/>
              <w:bottom w:w="60" w:type="dxa"/>
              <w:start w:w="110" w:type="dxa"/>
              <w:end w:w="110" w:type="dxa"/>
            </w:tcMar>
          </w:tcPr>
          <w:p>
            <w:r>
              <w:rPr>
                <w:b/>
                <w:color w:val="1B3A63"/>
                <w:sz w:val="18"/>
              </w:rPr>
              <w:t>SP9</w:t>
            </w:r>
          </w:p>
        </w:tc>
        <w:tc>
          <w:tcPr>
            <w:tcW w:type="dxa" w:w="4752"/>
            <w:tcMar>
              <w:top w:w="60" w:type="dxa"/>
              <w:bottom w:w="60" w:type="dxa"/>
              <w:start w:w="110" w:type="dxa"/>
              <w:end w:w="110" w:type="dxa"/>
            </w:tcMar>
          </w:tcPr>
          <w:p>
            <w:r>
              <w:rPr>
                <w:sz w:val="18"/>
              </w:rPr>
              <w:t>Synergie technologie + terrain</w:t>
            </w:r>
          </w:p>
        </w:tc>
        <w:tc>
          <w:tcPr>
            <w:tcW w:type="dxa" w:w="3456"/>
            <w:tcMar>
              <w:top w:w="60" w:type="dxa"/>
              <w:bottom w:w="60" w:type="dxa"/>
              <w:start w:w="110" w:type="dxa"/>
              <w:end w:w="110" w:type="dxa"/>
            </w:tcMar>
          </w:tcPr>
          <w:p>
            <w:r>
              <w:rPr>
                <w:sz w:val="18"/>
              </w:rPr>
              <w:t>Calibration GPX / API mesurée (implémenté)</w:t>
            </w:r>
          </w:p>
        </w:tc>
      </w:tr>
    </w:tbl>
    <w:p>
      <w:pPr>
        <w:spacing w:after="40"/>
      </w:pPr>
    </w:p>
    <w:p>
      <w:pPr>
        <w:spacing w:before="0" w:after="120"/>
      </w:pPr>
      <w:r>
        <w:rPr>
          <w:b w:val="0"/>
          <w:i w:val="0"/>
          <w:sz w:val="21"/>
        </w:rPr>
        <w:t>La valeur ajoutée et l’originalité du projet se concentrent sur les couches conçues sur mesure (SP2, SP4, SP6, SP7, SP8, SP9), le cœur cartographique s’appuyant sur des briques matures pour sécuriser le délai.</w:t>
      </w:r>
    </w:p>
    <w:p>
      <w:pPr>
        <w:pStyle w:val="Heading2"/>
      </w:pPr>
      <w:r>
        <w:t>3.3 Objectifs et résultats attendus (Termes de référence)</w:t>
      </w:r>
    </w:p>
    <w:p>
      <w:pPr>
        <w:spacing w:before="0" w:after="120"/>
      </w:pPr>
      <w:r>
        <w:rPr>
          <w:b w:val="0"/>
          <w:i w:val="0"/>
          <w:sz w:val="21"/>
        </w:rPr>
        <w:t>Le projet répond aux objectifs spécifiques de l’article 2 des Termes de référence et produit les six résultats attendus de l’article 4 :</w:t>
      </w:r>
    </w:p>
    <w:tbl>
      <w:tblPr>
        <w:tblStyle w:val="TableGrid"/>
        <w:tblW w:type="auto" w:w="0"/>
        <w:jc w:val="center"/>
        <w:tblLook w:firstColumn="1" w:firstRow="1" w:lastColumn="0" w:lastRow="0" w:noHBand="0" w:noVBand="1" w:val="04A0"/>
      </w:tblPr>
      <w:tblGrid>
        <w:gridCol w:w="3249"/>
        <w:gridCol w:w="3249"/>
        <w:gridCol w:w="3249"/>
      </w:tblGrid>
      <w:tr>
        <w:tc>
          <w:tcPr>
            <w:tcW w:type="dxa" w:w="576"/>
            <w:shd w:val="clear" w:color="auto" w:fill="0F2240"/>
            <w:tcMar>
              <w:top w:w="60" w:type="dxa"/>
              <w:bottom w:w="60" w:type="dxa"/>
              <w:start w:w="110" w:type="dxa"/>
              <w:end w:w="110" w:type="dxa"/>
            </w:tcMar>
          </w:tcPr>
          <w:p>
            <w:pPr>
              <w:jc w:val="left"/>
            </w:pPr>
            <w:r>
              <w:rPr>
                <w:b/>
                <w:color w:val="FFFFFF"/>
                <w:sz w:val="19"/>
              </w:rPr>
              <w:t>N°</w:t>
            </w:r>
          </w:p>
        </w:tc>
        <w:tc>
          <w:tcPr>
            <w:tcW w:type="dxa" w:w="4896"/>
            <w:shd w:val="clear" w:color="auto" w:fill="0F2240"/>
            <w:tcMar>
              <w:top w:w="60" w:type="dxa"/>
              <w:bottom w:w="60" w:type="dxa"/>
              <w:start w:w="110" w:type="dxa"/>
              <w:end w:w="110" w:type="dxa"/>
            </w:tcMar>
          </w:tcPr>
          <w:p>
            <w:pPr>
              <w:jc w:val="left"/>
            </w:pPr>
            <w:r>
              <w:rPr>
                <w:b/>
                <w:color w:val="FFFFFF"/>
                <w:sz w:val="19"/>
              </w:rPr>
              <w:t>Résultat attendu (article 4 du cahier des charges)</w:t>
            </w:r>
          </w:p>
        </w:tc>
        <w:tc>
          <w:tcPr>
            <w:tcW w:type="dxa" w:w="3600"/>
            <w:shd w:val="clear" w:color="auto" w:fill="0F2240"/>
            <w:tcMar>
              <w:top w:w="60" w:type="dxa"/>
              <w:bottom w:w="60" w:type="dxa"/>
              <w:start w:w="110" w:type="dxa"/>
              <w:end w:w="110" w:type="dxa"/>
            </w:tcMar>
          </w:tcPr>
          <w:p>
            <w:pPr>
              <w:jc w:val="left"/>
            </w:pPr>
            <w:r>
              <w:rPr>
                <w:b/>
                <w:color w:val="FFFFFF"/>
                <w:sz w:val="19"/>
              </w:rPr>
              <w:t>Couverture par PAA-Traverse</w:t>
            </w:r>
          </w:p>
        </w:tc>
      </w:tr>
      <w:tr>
        <w:tc>
          <w:tcPr>
            <w:tcW w:type="dxa" w:w="576"/>
            <w:tcMar>
              <w:top w:w="60" w:type="dxa"/>
              <w:bottom w:w="60" w:type="dxa"/>
              <w:start w:w="110" w:type="dxa"/>
              <w:end w:w="110" w:type="dxa"/>
            </w:tcMar>
          </w:tcPr>
          <w:p>
            <w:r>
              <w:rPr>
                <w:b/>
                <w:color w:val="1B3A63"/>
                <w:sz w:val="18"/>
              </w:rPr>
              <w:t>1</w:t>
            </w:r>
          </w:p>
        </w:tc>
        <w:tc>
          <w:tcPr>
            <w:tcW w:type="dxa" w:w="4896"/>
            <w:tcMar>
              <w:top w:w="60" w:type="dxa"/>
              <w:bottom w:w="60" w:type="dxa"/>
              <w:start w:w="110" w:type="dxa"/>
              <w:end w:w="110" w:type="dxa"/>
            </w:tcMar>
          </w:tcPr>
          <w:p>
            <w:r>
              <w:rPr>
                <w:sz w:val="18"/>
              </w:rPr>
              <w:t>Base de données fiable des temps de traversée en temps réel</w:t>
            </w:r>
          </w:p>
        </w:tc>
        <w:tc>
          <w:tcPr>
            <w:tcW w:type="dxa" w:w="3600"/>
            <w:tcMar>
              <w:top w:w="60" w:type="dxa"/>
              <w:bottom w:w="60" w:type="dxa"/>
              <w:start w:w="110" w:type="dxa"/>
              <w:end w:w="110" w:type="dxa"/>
            </w:tcMar>
          </w:tcPr>
          <w:p>
            <w:r>
              <w:rPr>
                <w:sz w:val="18"/>
              </w:rPr>
              <w:t>Collecte horaire historisée en base PostgreSQL</w:t>
            </w:r>
          </w:p>
        </w:tc>
      </w:tr>
      <w:tr>
        <w:tc>
          <w:tcPr>
            <w:tcW w:type="dxa" w:w="576"/>
            <w:tcMar>
              <w:top w:w="60" w:type="dxa"/>
              <w:bottom w:w="60" w:type="dxa"/>
              <w:start w:w="110" w:type="dxa"/>
              <w:end w:w="110" w:type="dxa"/>
            </w:tcMar>
            <w:shd w:val="clear" w:color="auto" w:fill="F4F7FB"/>
          </w:tcPr>
          <w:p>
            <w:r>
              <w:rPr>
                <w:b/>
                <w:color w:val="1B3A63"/>
                <w:sz w:val="18"/>
              </w:rPr>
              <w:t>2</w:t>
            </w:r>
          </w:p>
        </w:tc>
        <w:tc>
          <w:tcPr>
            <w:tcW w:type="dxa" w:w="4896"/>
            <w:tcMar>
              <w:top w:w="60" w:type="dxa"/>
              <w:bottom w:w="60" w:type="dxa"/>
              <w:start w:w="110" w:type="dxa"/>
              <w:end w:w="110" w:type="dxa"/>
            </w:tcMar>
            <w:shd w:val="clear" w:color="auto" w:fill="F4F7FB"/>
          </w:tcPr>
          <w:p>
            <w:r>
              <w:rPr>
                <w:sz w:val="18"/>
              </w:rPr>
              <w:t>Analyse du niveau de congestion par tronçon et créneau</w:t>
            </w:r>
          </w:p>
        </w:tc>
        <w:tc>
          <w:tcPr>
            <w:tcW w:type="dxa" w:w="3600"/>
            <w:tcMar>
              <w:top w:w="60" w:type="dxa"/>
              <w:bottom w:w="60" w:type="dxa"/>
              <w:start w:w="110" w:type="dxa"/>
              <w:end w:w="110" w:type="dxa"/>
            </w:tcMar>
            <w:shd w:val="clear" w:color="auto" w:fill="F4F7FB"/>
          </w:tcPr>
          <w:p>
            <w:r>
              <w:rPr>
                <w:sz w:val="18"/>
              </w:rPr>
              <w:t>Critère couleur DEESP + page Indicateurs</w:t>
            </w:r>
          </w:p>
        </w:tc>
      </w:tr>
      <w:tr>
        <w:tc>
          <w:tcPr>
            <w:tcW w:type="dxa" w:w="576"/>
            <w:tcMar>
              <w:top w:w="60" w:type="dxa"/>
              <w:bottom w:w="60" w:type="dxa"/>
              <w:start w:w="110" w:type="dxa"/>
              <w:end w:w="110" w:type="dxa"/>
            </w:tcMar>
          </w:tcPr>
          <w:p>
            <w:r>
              <w:rPr>
                <w:b/>
                <w:color w:val="1B3A63"/>
                <w:sz w:val="18"/>
              </w:rPr>
              <w:t>3</w:t>
            </w:r>
          </w:p>
        </w:tc>
        <w:tc>
          <w:tcPr>
            <w:tcW w:type="dxa" w:w="4896"/>
            <w:tcMar>
              <w:top w:w="60" w:type="dxa"/>
              <w:bottom w:w="60" w:type="dxa"/>
              <w:start w:w="110" w:type="dxa"/>
              <w:end w:w="110" w:type="dxa"/>
            </w:tcMar>
          </w:tcPr>
          <w:p>
            <w:r>
              <w:rPr>
                <w:sz w:val="18"/>
              </w:rPr>
              <w:t>Identification des zones de congestion récurrentes</w:t>
            </w:r>
          </w:p>
        </w:tc>
        <w:tc>
          <w:tcPr>
            <w:tcW w:type="dxa" w:w="3600"/>
            <w:tcMar>
              <w:top w:w="60" w:type="dxa"/>
              <w:bottom w:w="60" w:type="dxa"/>
              <w:start w:w="110" w:type="dxa"/>
              <w:end w:w="110" w:type="dxa"/>
            </w:tcMar>
          </w:tcPr>
          <w:p>
            <w:r>
              <w:rPr>
                <w:sz w:val="18"/>
              </w:rPr>
              <w:t>Tableau 16 (règles ≥ 3/jour-type, ≥ 4/semaine)</w:t>
            </w:r>
          </w:p>
        </w:tc>
      </w:tr>
      <w:tr>
        <w:tc>
          <w:tcPr>
            <w:tcW w:type="dxa" w:w="576"/>
            <w:tcMar>
              <w:top w:w="60" w:type="dxa"/>
              <w:bottom w:w="60" w:type="dxa"/>
              <w:start w:w="110" w:type="dxa"/>
              <w:end w:w="110" w:type="dxa"/>
            </w:tcMar>
            <w:shd w:val="clear" w:color="auto" w:fill="F4F7FB"/>
          </w:tcPr>
          <w:p>
            <w:r>
              <w:rPr>
                <w:b/>
                <w:color w:val="1B3A63"/>
                <w:sz w:val="18"/>
              </w:rPr>
              <w:t>4</w:t>
            </w:r>
          </w:p>
        </w:tc>
        <w:tc>
          <w:tcPr>
            <w:tcW w:type="dxa" w:w="4896"/>
            <w:tcMar>
              <w:top w:w="60" w:type="dxa"/>
              <w:bottom w:w="60" w:type="dxa"/>
              <w:start w:w="110" w:type="dxa"/>
              <w:end w:w="110" w:type="dxa"/>
            </w:tcMar>
            <w:shd w:val="clear" w:color="auto" w:fill="F4F7FB"/>
          </w:tcPr>
          <w:p>
            <w:r>
              <w:rPr>
                <w:sz w:val="18"/>
              </w:rPr>
              <w:t>Évolution de l’indicateur « temps de traversée »</w:t>
            </w:r>
          </w:p>
        </w:tc>
        <w:tc>
          <w:tcPr>
            <w:tcW w:type="dxa" w:w="3600"/>
            <w:tcMar>
              <w:top w:w="60" w:type="dxa"/>
              <w:bottom w:w="60" w:type="dxa"/>
              <w:start w:w="110" w:type="dxa"/>
              <w:end w:w="110" w:type="dxa"/>
            </w:tcMar>
            <w:shd w:val="clear" w:color="auto" w:fill="F4F7FB"/>
          </w:tcPr>
          <w:p>
            <w:r>
              <w:rPr>
                <w:sz w:val="18"/>
              </w:rPr>
              <w:t>Graphe pluriannuel dynamique + comparaison campagnes</w:t>
            </w:r>
          </w:p>
        </w:tc>
      </w:tr>
      <w:tr>
        <w:tc>
          <w:tcPr>
            <w:tcW w:type="dxa" w:w="576"/>
            <w:tcMar>
              <w:top w:w="60" w:type="dxa"/>
              <w:bottom w:w="60" w:type="dxa"/>
              <w:start w:w="110" w:type="dxa"/>
              <w:end w:w="110" w:type="dxa"/>
            </w:tcMar>
          </w:tcPr>
          <w:p>
            <w:r>
              <w:rPr>
                <w:b/>
                <w:color w:val="1B3A63"/>
                <w:sz w:val="18"/>
              </w:rPr>
              <w:t>5</w:t>
            </w:r>
          </w:p>
        </w:tc>
        <w:tc>
          <w:tcPr>
            <w:tcW w:type="dxa" w:w="4896"/>
            <w:tcMar>
              <w:top w:w="60" w:type="dxa"/>
              <w:bottom w:w="60" w:type="dxa"/>
              <w:start w:w="110" w:type="dxa"/>
              <w:end w:w="110" w:type="dxa"/>
            </w:tcMar>
          </w:tcPr>
          <w:p>
            <w:r>
              <w:rPr>
                <w:sz w:val="18"/>
              </w:rPr>
              <w:t>Cartographie des congestions</w:t>
            </w:r>
          </w:p>
        </w:tc>
        <w:tc>
          <w:tcPr>
            <w:tcW w:type="dxa" w:w="3600"/>
            <w:tcMar>
              <w:top w:w="60" w:type="dxa"/>
              <w:bottom w:w="60" w:type="dxa"/>
              <w:start w:w="110" w:type="dxa"/>
              <w:end w:w="110" w:type="dxa"/>
            </w:tcMar>
          </w:tcPr>
          <w:p>
            <w:r>
              <w:rPr>
                <w:sz w:val="18"/>
              </w:rPr>
              <w:t>Carte Leaflet colorée + heatmap + overlay incidents</w:t>
            </w:r>
          </w:p>
        </w:tc>
      </w:tr>
      <w:tr>
        <w:tc>
          <w:tcPr>
            <w:tcW w:type="dxa" w:w="576"/>
            <w:tcMar>
              <w:top w:w="60" w:type="dxa"/>
              <w:bottom w:w="60" w:type="dxa"/>
              <w:start w:w="110" w:type="dxa"/>
              <w:end w:w="110" w:type="dxa"/>
            </w:tcMar>
            <w:shd w:val="clear" w:color="auto" w:fill="F4F7FB"/>
          </w:tcPr>
          <w:p>
            <w:r>
              <w:rPr>
                <w:b/>
                <w:color w:val="1B3A63"/>
                <w:sz w:val="18"/>
              </w:rPr>
              <w:t>6</w:t>
            </w:r>
          </w:p>
        </w:tc>
        <w:tc>
          <w:tcPr>
            <w:tcW w:type="dxa" w:w="4896"/>
            <w:tcMar>
              <w:top w:w="60" w:type="dxa"/>
              <w:bottom w:w="60" w:type="dxa"/>
              <w:start w:w="110" w:type="dxa"/>
              <w:end w:w="110" w:type="dxa"/>
            </w:tcMar>
            <w:shd w:val="clear" w:color="auto" w:fill="F4F7FB"/>
          </w:tcPr>
          <w:p>
            <w:r>
              <w:rPr>
                <w:sz w:val="18"/>
              </w:rPr>
              <w:t>Recommandations opérationnelles</w:t>
            </w:r>
          </w:p>
        </w:tc>
        <w:tc>
          <w:tcPr>
            <w:tcW w:type="dxa" w:w="3600"/>
            <w:tcMar>
              <w:top w:w="60" w:type="dxa"/>
              <w:bottom w:w="60" w:type="dxa"/>
              <w:start w:w="110" w:type="dxa"/>
              <w:end w:w="110" w:type="dxa"/>
            </w:tcMar>
            <w:shd w:val="clear" w:color="auto" w:fill="F4F7FB"/>
          </w:tcPr>
          <w:p>
            <w:r>
              <w:rPr>
                <w:sz w:val="18"/>
              </w:rPr>
              <w:t>Page Heure optimale + zones à fluidifier + alertes</w:t>
            </w:r>
          </w:p>
        </w:tc>
      </w:tr>
    </w:tbl>
    <w:p>
      <w:pPr>
        <w:spacing w:after="40"/>
      </w:pPr>
    </w:p>
    <w:p>
      <w:pPr>
        <w:pStyle w:val="Heading2"/>
      </w:pPr>
      <w:r>
        <w:t>3.4 Périmètre géographique : 3 axes, 6 tronçons dirigés</w:t>
      </w:r>
    </w:p>
    <w:p>
      <w:pPr>
        <w:spacing w:before="0" w:after="120"/>
      </w:pPr>
      <w:r>
        <w:rPr>
          <w:b w:val="0"/>
          <w:i w:val="0"/>
          <w:sz w:val="21"/>
        </w:rPr>
        <w:t>Trois axes officiels sont mesurés en aller ET retour, produisant six tronçons dirigés. Chaque sens peut présenter des temps très différents selon l’heure et le flux. Le temps de référence est calculé à 50 km/h, conformément à la méthodologie du PAA.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576"/>
            <w:shd w:val="clear" w:color="auto" w:fill="0F2240"/>
            <w:tcMar>
              <w:top w:w="60" w:type="dxa"/>
              <w:bottom w:w="60" w:type="dxa"/>
              <w:start w:w="110" w:type="dxa"/>
              <w:end w:w="110" w:type="dxa"/>
            </w:tcMar>
          </w:tcPr>
          <w:p>
            <w:pPr>
              <w:jc w:val="left"/>
            </w:pPr>
            <w:r>
              <w:rPr>
                <w:b/>
                <w:color w:val="FFFFFF"/>
                <w:sz w:val="19"/>
              </w:rPr>
              <w:t>#</w:t>
            </w:r>
          </w:p>
        </w:tc>
        <w:tc>
          <w:tcPr>
            <w:tcW w:type="dxa" w:w="4896"/>
            <w:shd w:val="clear" w:color="auto" w:fill="0F2240"/>
            <w:tcMar>
              <w:top w:w="60" w:type="dxa"/>
              <w:bottom w:w="60" w:type="dxa"/>
              <w:start w:w="110" w:type="dxa"/>
              <w:end w:w="110" w:type="dxa"/>
            </w:tcMar>
          </w:tcPr>
          <w:p>
            <w:pPr>
              <w:jc w:val="left"/>
            </w:pPr>
            <w:r>
              <w:rPr>
                <w:b/>
                <w:color w:val="FFFFFF"/>
                <w:sz w:val="19"/>
              </w:rPr>
              <w:t>Axe</w:t>
            </w:r>
          </w:p>
        </w:tc>
        <w:tc>
          <w:tcPr>
            <w:tcW w:type="dxa" w:w="1584"/>
            <w:shd w:val="clear" w:color="auto" w:fill="0F2240"/>
            <w:tcMar>
              <w:top w:w="60" w:type="dxa"/>
              <w:bottom w:w="60" w:type="dxa"/>
              <w:start w:w="110" w:type="dxa"/>
              <w:end w:w="110" w:type="dxa"/>
            </w:tcMar>
          </w:tcPr>
          <w:p>
            <w:pPr>
              <w:jc w:val="left"/>
            </w:pPr>
            <w:r>
              <w:rPr>
                <w:b/>
                <w:color w:val="FFFFFF"/>
                <w:sz w:val="19"/>
              </w:rPr>
              <w:t>Distance</w:t>
            </w:r>
          </w:p>
        </w:tc>
        <w:tc>
          <w:tcPr>
            <w:tcW w:type="dxa" w:w="2736"/>
            <w:shd w:val="clear" w:color="auto" w:fill="0F2240"/>
            <w:tcMar>
              <w:top w:w="60" w:type="dxa"/>
              <w:bottom w:w="60" w:type="dxa"/>
              <w:start w:w="110" w:type="dxa"/>
              <w:end w:w="110" w:type="dxa"/>
            </w:tcMar>
          </w:tcPr>
          <w:p>
            <w:pPr>
              <w:jc w:val="left"/>
            </w:pPr>
            <w:r>
              <w:rPr>
                <w:b/>
                <w:color w:val="FFFFFF"/>
                <w:sz w:val="19"/>
              </w:rPr>
              <w:t>Temps de référence (50 km/h)</w:t>
            </w:r>
          </w:p>
        </w:tc>
      </w:tr>
      <w:tr>
        <w:tc>
          <w:tcPr>
            <w:tcW w:type="dxa" w:w="576"/>
            <w:tcMar>
              <w:top w:w="60" w:type="dxa"/>
              <w:bottom w:w="60" w:type="dxa"/>
              <w:start w:w="110" w:type="dxa"/>
              <w:end w:w="110" w:type="dxa"/>
            </w:tcMar>
          </w:tcPr>
          <w:p>
            <w:r>
              <w:rPr>
                <w:b/>
                <w:color w:val="1B3A63"/>
                <w:sz w:val="18"/>
              </w:rPr>
              <w:t>1</w:t>
            </w:r>
          </w:p>
        </w:tc>
        <w:tc>
          <w:tcPr>
            <w:tcW w:type="dxa" w:w="4896"/>
            <w:tcMar>
              <w:top w:w="60" w:type="dxa"/>
              <w:bottom w:w="60" w:type="dxa"/>
              <w:start w:w="110" w:type="dxa"/>
              <w:end w:w="110" w:type="dxa"/>
            </w:tcMar>
          </w:tcPr>
          <w:p>
            <w:r>
              <w:rPr>
                <w:sz w:val="18"/>
              </w:rPr>
              <w:t>CARENA (Plateau) ↔ Pharmacie Palm Beach</w:t>
            </w:r>
          </w:p>
        </w:tc>
        <w:tc>
          <w:tcPr>
            <w:tcW w:type="dxa" w:w="1584"/>
            <w:tcMar>
              <w:top w:w="60" w:type="dxa"/>
              <w:bottom w:w="60" w:type="dxa"/>
              <w:start w:w="110" w:type="dxa"/>
              <w:end w:w="110" w:type="dxa"/>
            </w:tcMar>
          </w:tcPr>
          <w:p>
            <w:r>
              <w:rPr>
                <w:sz w:val="18"/>
              </w:rPr>
              <w:t>14,9 km</w:t>
            </w:r>
          </w:p>
        </w:tc>
        <w:tc>
          <w:tcPr>
            <w:tcW w:type="dxa" w:w="2736"/>
            <w:tcMar>
              <w:top w:w="60" w:type="dxa"/>
              <w:bottom w:w="60" w:type="dxa"/>
              <w:start w:w="110" w:type="dxa"/>
              <w:end w:w="110" w:type="dxa"/>
            </w:tcMar>
          </w:tcPr>
          <w:p>
            <w:r>
              <w:rPr>
                <w:sz w:val="18"/>
              </w:rPr>
              <w:t>17 min 53 s</w:t>
            </w:r>
          </w:p>
        </w:tc>
      </w:tr>
      <w:tr>
        <w:tc>
          <w:tcPr>
            <w:tcW w:type="dxa" w:w="576"/>
            <w:tcMar>
              <w:top w:w="60" w:type="dxa"/>
              <w:bottom w:w="60" w:type="dxa"/>
              <w:start w:w="110" w:type="dxa"/>
              <w:end w:w="110" w:type="dxa"/>
            </w:tcMar>
            <w:shd w:val="clear" w:color="auto" w:fill="F4F7FB"/>
          </w:tcPr>
          <w:p>
            <w:r>
              <w:rPr>
                <w:b/>
                <w:color w:val="1B3A63"/>
                <w:sz w:val="18"/>
              </w:rPr>
              <w:t>2</w:t>
            </w:r>
          </w:p>
        </w:tc>
        <w:tc>
          <w:tcPr>
            <w:tcW w:type="dxa" w:w="4896"/>
            <w:tcMar>
              <w:top w:w="60" w:type="dxa"/>
              <w:bottom w:w="60" w:type="dxa"/>
              <w:start w:w="110" w:type="dxa"/>
              <w:end w:w="110" w:type="dxa"/>
            </w:tcMar>
            <w:shd w:val="clear" w:color="auto" w:fill="F4F7FB"/>
          </w:tcPr>
          <w:p>
            <w:r>
              <w:rPr>
                <w:sz w:val="18"/>
              </w:rPr>
              <w:t>Toyota CFAO (Treichville) ↔ Pharmacie Palm Beach</w:t>
            </w:r>
          </w:p>
        </w:tc>
        <w:tc>
          <w:tcPr>
            <w:tcW w:type="dxa" w:w="1584"/>
            <w:tcMar>
              <w:top w:w="60" w:type="dxa"/>
              <w:bottom w:w="60" w:type="dxa"/>
              <w:start w:w="110" w:type="dxa"/>
              <w:end w:w="110" w:type="dxa"/>
            </w:tcMar>
            <w:shd w:val="clear" w:color="auto" w:fill="F4F7FB"/>
          </w:tcPr>
          <w:p>
            <w:r>
              <w:rPr>
                <w:sz w:val="18"/>
              </w:rPr>
              <w:t>8,0 km</w:t>
            </w:r>
          </w:p>
        </w:tc>
        <w:tc>
          <w:tcPr>
            <w:tcW w:type="dxa" w:w="2736"/>
            <w:tcMar>
              <w:top w:w="60" w:type="dxa"/>
              <w:bottom w:w="60" w:type="dxa"/>
              <w:start w:w="110" w:type="dxa"/>
              <w:end w:w="110" w:type="dxa"/>
            </w:tcMar>
            <w:shd w:val="clear" w:color="auto" w:fill="F4F7FB"/>
          </w:tcPr>
          <w:p>
            <w:r>
              <w:rPr>
                <w:sz w:val="18"/>
              </w:rPr>
              <w:t>9 min 36 s</w:t>
            </w:r>
          </w:p>
        </w:tc>
      </w:tr>
      <w:tr>
        <w:tc>
          <w:tcPr>
            <w:tcW w:type="dxa" w:w="576"/>
            <w:tcMar>
              <w:top w:w="60" w:type="dxa"/>
              <w:bottom w:w="60" w:type="dxa"/>
              <w:start w:w="110" w:type="dxa"/>
              <w:end w:w="110" w:type="dxa"/>
            </w:tcMar>
          </w:tcPr>
          <w:p>
            <w:r>
              <w:rPr>
                <w:b/>
                <w:color w:val="1B3A63"/>
                <w:sz w:val="18"/>
              </w:rPr>
              <w:t>3</w:t>
            </w:r>
          </w:p>
        </w:tc>
        <w:tc>
          <w:tcPr>
            <w:tcW w:type="dxa" w:w="4896"/>
            <w:tcMar>
              <w:top w:w="60" w:type="dxa"/>
              <w:bottom w:w="60" w:type="dxa"/>
              <w:start w:w="110" w:type="dxa"/>
              <w:end w:w="110" w:type="dxa"/>
            </w:tcMar>
          </w:tcPr>
          <w:p>
            <w:r>
              <w:rPr>
                <w:sz w:val="18"/>
              </w:rPr>
              <w:t>Agence SODECI (Zone 4) ↔ Pharmacie Palm Beach</w:t>
            </w:r>
          </w:p>
        </w:tc>
        <w:tc>
          <w:tcPr>
            <w:tcW w:type="dxa" w:w="1584"/>
            <w:tcMar>
              <w:top w:w="60" w:type="dxa"/>
              <w:bottom w:w="60" w:type="dxa"/>
              <w:start w:w="110" w:type="dxa"/>
              <w:end w:w="110" w:type="dxa"/>
            </w:tcMar>
          </w:tcPr>
          <w:p>
            <w:r>
              <w:rPr>
                <w:sz w:val="18"/>
              </w:rPr>
              <w:t>8,3 km</w:t>
            </w:r>
          </w:p>
        </w:tc>
        <w:tc>
          <w:tcPr>
            <w:tcW w:type="dxa" w:w="2736"/>
            <w:tcMar>
              <w:top w:w="60" w:type="dxa"/>
              <w:bottom w:w="60" w:type="dxa"/>
              <w:start w:w="110" w:type="dxa"/>
              <w:end w:w="110" w:type="dxa"/>
            </w:tcMar>
          </w:tcPr>
          <w:p>
            <w:r>
              <w:rPr>
                <w:sz w:val="18"/>
              </w:rPr>
              <w:t>9 min 58 s</w:t>
            </w:r>
          </w:p>
        </w:tc>
      </w:tr>
    </w:tbl>
    <w:p>
      <w:pPr>
        <w:spacing w:after="40"/>
      </w:pPr>
    </w:p>
    <w:tbl>
      <w:tblPr>
        <w:tblStyle w:val="TableGrid"/>
        <w:tblW w:type="auto" w:w="0"/>
        <w:jc w:val="center"/>
        <w:tblLook w:firstColumn="1" w:firstRow="1" w:lastColumn="0" w:lastRow="0" w:noHBand="0" w:noVBand="1" w:val="04A0"/>
      </w:tblPr>
      <w:tblGrid>
        <w:gridCol w:w="9746"/>
      </w:tblGrid>
      <w:tr>
        <w:tc>
          <w:tcPr>
            <w:tcW w:type="dxa" w:w="9072"/>
            <w:shd w:val="clear" w:color="auto" w:fill="E6EBF2"/>
            <w:tcMar>
              <w:top w:w="260" w:type="dxa"/>
              <w:bottom w:w="260" w:type="dxa"/>
              <w:start w:w="160" w:type="dxa"/>
              <w:end w:w="160" w:type="dxa"/>
            </w:tcMar>
          </w:tcPr>
          <w:p>
            <w:pPr>
              <w:jc w:val="center"/>
            </w:pPr>
            <w:r>
              <w:rPr>
                <w:b/>
                <w:color w:val="1B3A63"/>
                <w:sz w:val="20"/>
              </w:rPr>
              <w:t>▢  EMPLACEMENT CAPTURE D’ÉCRAN</w:t>
            </w:r>
          </w:p>
          <w:p>
            <w:pPr>
              <w:jc w:val="center"/>
            </w:pPr>
            <w:r>
              <w:rPr>
                <w:i/>
                <w:color w:val="505050"/>
                <w:sz w:val="19"/>
              </w:rPr>
              <w:t>Carte des 3 axes / 6 tronçons surveillés</w:t>
            </w:r>
          </w:p>
          <w:p>
            <w:pPr>
              <w:jc w:val="center"/>
            </w:pPr>
            <w:r>
              <w:rPr>
                <w:i/>
                <w:color w:val="505050"/>
                <w:sz w:val="16"/>
              </w:rPr>
              <w:t>Capture de la carte d’accueil montrant les tracés colorés et les 4 marqueurs POI (C, T, S, P).</w:t>
            </w:r>
          </w:p>
        </w:tc>
      </w:tr>
    </w:tbl>
    <w:p>
      <w:pPr>
        <w:spacing w:after="40"/>
      </w:pPr>
    </w:p>
    <w:p>
      <w:r>
        <w:br w:type="page"/>
      </w:r>
    </w:p>
    <w:p>
      <w:pPr>
        <w:pStyle w:val="Heading1"/>
      </w:pPr>
      <w:r>
        <w:t>4. Les problèmes humains — et les réponses de PAA-Traverse</w:t>
      </w:r>
    </w:p>
    <w:p>
      <w:pPr>
        <w:spacing w:before="0" w:after="120"/>
      </w:pPr>
      <w:r>
        <w:rPr>
          <w:b w:val="0"/>
          <w:i w:val="0"/>
          <w:sz w:val="21"/>
        </w:rPr>
        <w:t>Au-delà de la technique, le projet répond à des difficultés concrètes vécues par des personnes réelles : transporteurs, gestionnaires du port, analystes, décideurs. Cette section met chaque problème humain en regard de la fonctionnalité qui le résout.</w:t>
      </w:r>
    </w:p>
    <w:p>
      <w:pPr>
        <w:pStyle w:val="Heading3"/>
      </w:pPr>
      <w:r>
        <w:t>4.1. Le transporteur perd du temps sans savoir quand partir</w:t>
      </w:r>
    </w:p>
    <w:p>
      <w:pPr>
        <w:spacing w:before="0" w:after="120"/>
      </w:pPr>
      <w:r>
        <w:rPr>
          <w:b/>
          <w:i w:val="0"/>
          <w:color w:val="B42424"/>
          <w:sz w:val="21"/>
        </w:rPr>
        <w:t xml:space="preserve">Problème humain — </w:t>
      </w:r>
      <w:r>
        <w:rPr>
          <w:b w:val="0"/>
          <w:i w:val="0"/>
          <w:sz w:val="21"/>
        </w:rPr>
        <w:t>Un chauffeur de poids lourd qui vise le port ne sait pas si son axe est fluide ou bloqué. Il part au mauvais moment, reste immobilisé dans un embouteillage, et fait perdre des heures de rotation à sa flotte.</w:t>
      </w:r>
    </w:p>
    <w:p>
      <w:pPr>
        <w:spacing w:before="0" w:after="200"/>
      </w:pPr>
      <w:r>
        <w:rPr>
          <w:b/>
          <w:i w:val="0"/>
          <w:color w:val="157F3C"/>
          <w:sz w:val="21"/>
        </w:rPr>
        <w:t xml:space="preserve">Réponse de PAA-Traverse — </w:t>
      </w:r>
      <w:r>
        <w:rPr>
          <w:b w:val="0"/>
          <w:i w:val="0"/>
          <w:sz w:val="21"/>
        </w:rPr>
        <w:t>La page « Heure optimale » indique, par tronçon et par type de jour, les créneaux horaires les plus rapides. La carte temps réel montre instantanément l’état de chaque axe. Le transporteur planifie son départ sur des données, plus sur une intuition.</w:t>
      </w:r>
    </w:p>
    <w:p>
      <w:pPr>
        <w:pStyle w:val="Heading3"/>
      </w:pPr>
      <w:r>
        <w:t>4.2. Le gestionnaire du port n’a aucune visibilité d’ensemble</w:t>
      </w:r>
    </w:p>
    <w:p>
      <w:pPr>
        <w:spacing w:before="0" w:after="120"/>
      </w:pPr>
      <w:r>
        <w:rPr>
          <w:b/>
          <w:i w:val="0"/>
          <w:color w:val="B42424"/>
          <w:sz w:val="21"/>
        </w:rPr>
        <w:t xml:space="preserve">Problème humain — </w:t>
      </w:r>
      <w:r>
        <w:rPr>
          <w:b w:val="0"/>
          <w:i w:val="0"/>
          <w:sz w:val="21"/>
        </w:rPr>
        <w:t>Le responsable de l’exploitation n’a pas de vue synthétique et actualisée de l’état des axes. Il découvre les congestions a posteriori, par des remontées éparses.</w:t>
      </w:r>
    </w:p>
    <w:p>
      <w:pPr>
        <w:spacing w:before="0" w:after="200"/>
      </w:pPr>
      <w:r>
        <w:rPr>
          <w:b/>
          <w:i w:val="0"/>
          <w:color w:val="157F3C"/>
          <w:sz w:val="21"/>
        </w:rPr>
        <w:t xml:space="preserve">Réponse de PAA-Traverse — </w:t>
      </w:r>
      <w:r>
        <w:rPr>
          <w:b w:val="0"/>
          <w:i w:val="0"/>
          <w:sz w:val="21"/>
        </w:rPr>
        <w:t>La carte d’accueil et son panneau latéral offrent un tableau de bord instantané : compteurs fluides / congestionnés, point chaud du moment, classement des tronçons du plus dégradé au plus fluide, mis à jour en direct par WebSocket à chaque cycle de collecte.</w:t>
      </w:r>
    </w:p>
    <w:p>
      <w:pPr>
        <w:pStyle w:val="Heading3"/>
      </w:pPr>
      <w:r>
        <w:t>4.3. Produire le rapport DEESP est long et fastidieux</w:t>
      </w:r>
    </w:p>
    <w:p>
      <w:pPr>
        <w:spacing w:before="0" w:after="120"/>
      </w:pPr>
      <w:r>
        <w:rPr>
          <w:b/>
          <w:i w:val="0"/>
          <w:color w:val="B42424"/>
          <w:sz w:val="21"/>
        </w:rPr>
        <w:t xml:space="preserve">Problème humain — </w:t>
      </w:r>
      <w:r>
        <w:rPr>
          <w:b w:val="0"/>
          <w:i w:val="0"/>
          <w:sz w:val="21"/>
        </w:rPr>
        <w:t>La production des tableaux et graphiques du rapport officiel (temps min / moyen / max par axe, zones congestionnées) demandait un travail manuel considérable de relevé, de saisie et de mise en forme.</w:t>
      </w:r>
    </w:p>
    <w:p>
      <w:pPr>
        <w:spacing w:before="0" w:after="200"/>
      </w:pPr>
      <w:r>
        <w:rPr>
          <w:b/>
          <w:i w:val="0"/>
          <w:color w:val="157F3C"/>
          <w:sz w:val="21"/>
        </w:rPr>
        <w:t xml:space="preserve">Réponse de PAA-Traverse — </w:t>
      </w:r>
      <w:r>
        <w:rPr>
          <w:b w:val="0"/>
          <w:i w:val="0"/>
          <w:sz w:val="21"/>
        </w:rPr>
        <w:t>La page « Rapport DEESP » reconstitue automatiquement les tableaux 1, 3-15, 16, 17 et 19 ainsi que les 12 graphiques du rapport officiel, à partir des mesures collectées. Le Tableau 16 (zones congestionnées) se télécharge directement en PDF.</w:t>
      </w:r>
    </w:p>
    <w:p>
      <w:pPr>
        <w:pStyle w:val="Heading3"/>
      </w:pPr>
      <w:r>
        <w:t>4.4. On ne sait pas exactement OÙ se situe la congestion sur un axe</w:t>
      </w:r>
    </w:p>
    <w:p>
      <w:pPr>
        <w:spacing w:before="0" w:after="120"/>
      </w:pPr>
      <w:r>
        <w:rPr>
          <w:b/>
          <w:i w:val="0"/>
          <w:color w:val="B42424"/>
          <w:sz w:val="21"/>
        </w:rPr>
        <w:t xml:space="preserve">Problème humain — </w:t>
      </w:r>
      <w:r>
        <w:rPr>
          <w:b w:val="0"/>
          <w:i w:val="0"/>
          <w:sz w:val="21"/>
        </w:rPr>
        <w:t>Savoir qu’un axe de 15 km est « congestionné » ne suffit pas : le point de blocage réel peut se limiter à un carrefour ou un pont précis. Traiter tout l’axe reviendrait à investir au mauvais endroit.</w:t>
      </w:r>
    </w:p>
    <w:p>
      <w:pPr>
        <w:spacing w:before="0" w:after="200"/>
      </w:pPr>
      <w:r>
        <w:rPr>
          <w:b/>
          <w:i w:val="0"/>
          <w:color w:val="157F3C"/>
          <w:sz w:val="21"/>
        </w:rPr>
        <w:t xml:space="preserve">Réponse de PAA-Traverse — </w:t>
      </w:r>
      <w:r>
        <w:rPr>
          <w:b w:val="0"/>
          <w:i w:val="0"/>
          <w:sz w:val="21"/>
        </w:rPr>
        <w:t>PAA-Traverse permet de découper chaque axe en tronçons codifiés (T1A, T1B, T1C…) selon la convention DEESP. La mesure descend alors à la granularité fine et identifie avec précision le tronçon codifié réellement congestionné — la donnée qui oriente l’investissement au bon endroit.</w:t>
      </w:r>
    </w:p>
    <w:p>
      <w:pPr>
        <w:pStyle w:val="Heading3"/>
      </w:pPr>
      <w:r>
        <w:t>4.5. Les incidents de circulation ne sont pas anticipés</w:t>
      </w:r>
    </w:p>
    <w:p>
      <w:pPr>
        <w:spacing w:before="0" w:after="120"/>
      </w:pPr>
      <w:r>
        <w:rPr>
          <w:b/>
          <w:i w:val="0"/>
          <w:color w:val="B42424"/>
          <w:sz w:val="21"/>
        </w:rPr>
        <w:t xml:space="preserve">Problème humain — </w:t>
      </w:r>
      <w:r>
        <w:rPr>
          <w:b w:val="0"/>
          <w:i w:val="0"/>
          <w:sz w:val="21"/>
        </w:rPr>
        <w:t>Un accident, une route barrée ou des travaux sur un axe d’accès ne remontent pas au port en temps utile. La réaction est tardive.</w:t>
      </w:r>
    </w:p>
    <w:p>
      <w:pPr>
        <w:spacing w:before="0" w:after="200"/>
      </w:pPr>
      <w:r>
        <w:rPr>
          <w:b/>
          <w:i w:val="0"/>
          <w:color w:val="157F3C"/>
          <w:sz w:val="21"/>
        </w:rPr>
        <w:t xml:space="preserve">Réponse de PAA-Traverse — </w:t>
      </w:r>
      <w:r>
        <w:rPr>
          <w:b w:val="0"/>
          <w:i w:val="0"/>
          <w:sz w:val="21"/>
        </w:rPr>
        <w:t>Un robot de veille scrute automatiquement la presse ivoirienne toutes les 30 minutes, géolocalise les incidents de la zone portuaire, les affiche sur la carte et signale leur nombre par un badge dans la navigation. La page « Incidents » en tient le journal filtrable.</w:t>
      </w:r>
    </w:p>
    <w:p>
      <w:pPr>
        <w:pStyle w:val="Heading3"/>
      </w:pPr>
      <w:r>
        <w:t>4.6. Les décisions d’investissement manquent de preuves chiffrées</w:t>
      </w:r>
    </w:p>
    <w:p>
      <w:pPr>
        <w:spacing w:before="0" w:after="120"/>
      </w:pPr>
      <w:r>
        <w:rPr>
          <w:b/>
          <w:i w:val="0"/>
          <w:color w:val="B42424"/>
          <w:sz w:val="21"/>
        </w:rPr>
        <w:t xml:space="preserve">Problème humain — </w:t>
      </w:r>
      <w:r>
        <w:rPr>
          <w:b w:val="0"/>
          <w:i w:val="0"/>
          <w:sz w:val="21"/>
        </w:rPr>
        <w:t>Décider de fluidifier tel axe, relocaliser telle activité ou réparer telle chaussée sans données objectives expose à des choix contestables.</w:t>
      </w:r>
    </w:p>
    <w:p>
      <w:pPr>
        <w:spacing w:before="0" w:after="200"/>
      </w:pPr>
      <w:r>
        <w:rPr>
          <w:b/>
          <w:i w:val="0"/>
          <w:color w:val="157F3C"/>
          <w:sz w:val="21"/>
        </w:rPr>
        <w:t xml:space="preserve">Réponse de PAA-Traverse — </w:t>
      </w:r>
      <w:r>
        <w:rPr>
          <w:b w:val="0"/>
          <w:i w:val="0"/>
          <w:sz w:val="21"/>
        </w:rPr>
        <w:t>L’application produit des indicateurs quantifiés et historisés : taux de congestion, temps min/moyen/max, évolution pluriannuelle entre campagnes, liste des zones congestionnées récurrentes. La donnée devient une justification de décision.</w:t>
      </w:r>
    </w:p>
    <w:p>
      <w:pPr>
        <w:pStyle w:val="Heading3"/>
      </w:pPr>
      <w:r>
        <w:t>4.7. La confiance dans la mesure automatique doit être prouvée</w:t>
      </w:r>
    </w:p>
    <w:p>
      <w:pPr>
        <w:spacing w:before="0" w:after="120"/>
      </w:pPr>
      <w:r>
        <w:rPr>
          <w:b/>
          <w:i w:val="0"/>
          <w:color w:val="B42424"/>
          <w:sz w:val="21"/>
        </w:rPr>
        <w:t xml:space="preserve">Problème humain — </w:t>
      </w:r>
      <w:r>
        <w:rPr>
          <w:b w:val="0"/>
          <w:i w:val="0"/>
          <w:sz w:val="21"/>
        </w:rPr>
        <w:t>Une mesure issue d’une API peut être mise en doute : correspond-elle à la réalité du terrain ?</w:t>
      </w:r>
    </w:p>
    <w:p>
      <w:pPr>
        <w:spacing w:before="0" w:after="200"/>
      </w:pPr>
      <w:r>
        <w:rPr>
          <w:b/>
          <w:i w:val="0"/>
          <w:color w:val="157F3C"/>
          <w:sz w:val="21"/>
        </w:rPr>
        <w:t xml:space="preserve">Réponse de PAA-Traverse — </w:t>
      </w:r>
      <w:r>
        <w:rPr>
          <w:b w:val="0"/>
          <w:i w:val="0"/>
          <w:sz w:val="21"/>
        </w:rPr>
        <w:t>La page « Fiabilité » permet d’importer de véritables relevés GPS (traces GPX) parcourus en voiture, de les confronter aux mesures Google et de calculer l’écart. Cette calibration transparente rend la mesure défendable devant un décideur.</w:t>
      </w:r>
    </w:p>
    <w:p>
      <w:r>
        <w:br w:type="page"/>
      </w:r>
    </w:p>
    <w:p>
      <w:pPr>
        <w:pStyle w:val="Heading1"/>
      </w:pPr>
      <w:r>
        <w:t>5. Architecture technique et choix technologiques</w:t>
      </w:r>
    </w:p>
    <w:p>
      <w:pPr>
        <w:spacing w:before="0" w:after="120"/>
      </w:pPr>
      <w:r>
        <w:rPr>
          <w:b w:val="0"/>
          <w:i w:val="0"/>
          <w:sz w:val="21"/>
        </w:rPr>
        <w:t>L’application est structurée en deux couches — un backend (API et collecte) et un frontend (interface interactive) — déployées sur une infrastructure cloud (Railway). Chaque technologie a été choisie pour une raison précise, détaillée ci-dessous.</w:t>
      </w:r>
    </w:p>
    <w:tbl>
      <w:tblPr>
        <w:tblStyle w:val="TableGrid"/>
        <w:tblW w:type="auto" w:w="0"/>
        <w:jc w:val="center"/>
        <w:tblLook w:firstColumn="1" w:firstRow="1" w:lastColumn="0" w:lastRow="0" w:noHBand="0" w:noVBand="1" w:val="04A0"/>
      </w:tblPr>
      <w:tblGrid>
        <w:gridCol w:w="9746"/>
      </w:tblGrid>
      <w:tr>
        <w:tc>
          <w:tcPr>
            <w:tcW w:type="dxa" w:w="9072"/>
            <w:shd w:val="clear" w:color="auto" w:fill="E6EBF2"/>
            <w:tcMar>
              <w:top w:w="260" w:type="dxa"/>
              <w:bottom w:w="260" w:type="dxa"/>
              <w:start w:w="160" w:type="dxa"/>
              <w:end w:w="160" w:type="dxa"/>
            </w:tcMar>
          </w:tcPr>
          <w:p>
            <w:pPr>
              <w:jc w:val="center"/>
            </w:pPr>
            <w:r>
              <w:rPr>
                <w:b/>
                <w:color w:val="1B3A63"/>
                <w:sz w:val="20"/>
              </w:rPr>
              <w:t>▢  EMPLACEMENT CAPTURE D’ÉCRAN</w:t>
            </w:r>
          </w:p>
          <w:p>
            <w:pPr>
              <w:jc w:val="center"/>
            </w:pPr>
            <w:r>
              <w:rPr>
                <w:i/>
                <w:color w:val="505050"/>
                <w:sz w:val="19"/>
              </w:rPr>
              <w:t>Schéma d’architecture (facultatif)</w:t>
            </w:r>
          </w:p>
          <w:p>
            <w:pPr>
              <w:jc w:val="center"/>
            </w:pPr>
            <w:r>
              <w:rPr>
                <w:i/>
                <w:color w:val="505050"/>
                <w:sz w:val="16"/>
              </w:rPr>
              <w:t>Optionnel : un schéma Sources → Collecte → Base → API → Interface pourra être inséré ici.</w:t>
            </w:r>
          </w:p>
        </w:tc>
      </w:tr>
    </w:tbl>
    <w:p>
      <w:pPr>
        <w:spacing w:after="40"/>
      </w:pPr>
    </w:p>
    <w:p>
      <w:pPr>
        <w:pStyle w:val="Heading2"/>
      </w:pPr>
      <w:r>
        <w:t>5.1 Backend — Python / FastAPI</w:t>
      </w:r>
    </w:p>
    <w:tbl>
      <w:tblPr>
        <w:tblStyle w:val="TableGrid"/>
        <w:tblW w:type="auto" w:w="0"/>
        <w:jc w:val="center"/>
        <w:tblLook w:firstColumn="1" w:firstRow="1" w:lastColumn="0" w:lastRow="0" w:noHBand="0" w:noVBand="1" w:val="04A0"/>
      </w:tblPr>
      <w:tblGrid>
        <w:gridCol w:w="3249"/>
        <w:gridCol w:w="3249"/>
        <w:gridCol w:w="3249"/>
      </w:tblGrid>
      <w:tr>
        <w:tc>
          <w:tcPr>
            <w:tcW w:type="dxa" w:w="1872"/>
            <w:shd w:val="clear" w:color="auto" w:fill="0F2240"/>
            <w:tcMar>
              <w:top w:w="60" w:type="dxa"/>
              <w:bottom w:w="60" w:type="dxa"/>
              <w:start w:w="110" w:type="dxa"/>
              <w:end w:w="110" w:type="dxa"/>
            </w:tcMar>
          </w:tcPr>
          <w:p>
            <w:pPr>
              <w:jc w:val="left"/>
            </w:pPr>
            <w:r>
              <w:rPr>
                <w:b/>
                <w:color w:val="FFFFFF"/>
                <w:sz w:val="19"/>
              </w:rPr>
              <w:t>Composant</w:t>
            </w:r>
          </w:p>
        </w:tc>
        <w:tc>
          <w:tcPr>
            <w:tcW w:type="dxa" w:w="3168"/>
            <w:shd w:val="clear" w:color="auto" w:fill="0F2240"/>
            <w:tcMar>
              <w:top w:w="60" w:type="dxa"/>
              <w:bottom w:w="60" w:type="dxa"/>
              <w:start w:w="110" w:type="dxa"/>
              <w:end w:w="110" w:type="dxa"/>
            </w:tcMar>
          </w:tcPr>
          <w:p>
            <w:pPr>
              <w:jc w:val="left"/>
            </w:pPr>
            <w:r>
              <w:rPr>
                <w:b/>
                <w:color w:val="FFFFFF"/>
                <w:sz w:val="19"/>
              </w:rPr>
              <w:t>Rôle</w:t>
            </w:r>
          </w:p>
        </w:tc>
        <w:tc>
          <w:tcPr>
            <w:tcW w:type="dxa" w:w="4032"/>
            <w:shd w:val="clear" w:color="auto" w:fill="0F2240"/>
            <w:tcMar>
              <w:top w:w="60" w:type="dxa"/>
              <w:bottom w:w="60" w:type="dxa"/>
              <w:start w:w="110" w:type="dxa"/>
              <w:end w:w="110" w:type="dxa"/>
            </w:tcMar>
          </w:tcPr>
          <w:p>
            <w:pPr>
              <w:jc w:val="left"/>
            </w:pPr>
            <w:r>
              <w:rPr>
                <w:b/>
                <w:color w:val="FFFFFF"/>
                <w:sz w:val="19"/>
              </w:rPr>
              <w:t>Pourquoi ce choix</w:t>
            </w:r>
          </w:p>
        </w:tc>
      </w:tr>
      <w:tr>
        <w:tc>
          <w:tcPr>
            <w:tcW w:type="dxa" w:w="1872"/>
            <w:tcMar>
              <w:top w:w="60" w:type="dxa"/>
              <w:bottom w:w="60" w:type="dxa"/>
              <w:start w:w="110" w:type="dxa"/>
              <w:end w:w="110" w:type="dxa"/>
            </w:tcMar>
          </w:tcPr>
          <w:p>
            <w:r>
              <w:rPr>
                <w:b/>
                <w:color w:val="1B3A63"/>
                <w:sz w:val="18"/>
              </w:rPr>
              <w:t>FastAPI</w:t>
            </w:r>
          </w:p>
        </w:tc>
        <w:tc>
          <w:tcPr>
            <w:tcW w:type="dxa" w:w="3168"/>
            <w:tcMar>
              <w:top w:w="60" w:type="dxa"/>
              <w:bottom w:w="60" w:type="dxa"/>
              <w:start w:w="110" w:type="dxa"/>
              <w:end w:w="110" w:type="dxa"/>
            </w:tcMar>
          </w:tcPr>
          <w:p>
            <w:r>
              <w:rPr>
                <w:sz w:val="18"/>
              </w:rPr>
              <w:t>API REST, documentation Swagger auto (/docs)</w:t>
            </w:r>
          </w:p>
        </w:tc>
        <w:tc>
          <w:tcPr>
            <w:tcW w:type="dxa" w:w="4032"/>
            <w:tcMar>
              <w:top w:w="60" w:type="dxa"/>
              <w:bottom w:w="60" w:type="dxa"/>
              <w:start w:w="110" w:type="dxa"/>
              <w:end w:w="110" w:type="dxa"/>
            </w:tcMar>
          </w:tcPr>
          <w:p>
            <w:r>
              <w:rPr>
                <w:sz w:val="18"/>
              </w:rPr>
              <w:t>Rapide, typé, documentation interactive gratuite pour le jury et les intégrateurs.</w:t>
            </w:r>
          </w:p>
        </w:tc>
      </w:tr>
      <w:tr>
        <w:tc>
          <w:tcPr>
            <w:tcW w:type="dxa" w:w="1872"/>
            <w:tcMar>
              <w:top w:w="60" w:type="dxa"/>
              <w:bottom w:w="60" w:type="dxa"/>
              <w:start w:w="110" w:type="dxa"/>
              <w:end w:w="110" w:type="dxa"/>
            </w:tcMar>
            <w:shd w:val="clear" w:color="auto" w:fill="F4F7FB"/>
          </w:tcPr>
          <w:p>
            <w:r>
              <w:rPr>
                <w:b/>
                <w:color w:val="1B3A63"/>
                <w:sz w:val="18"/>
              </w:rPr>
              <w:t>PostgreSQL</w:t>
            </w:r>
          </w:p>
        </w:tc>
        <w:tc>
          <w:tcPr>
            <w:tcW w:type="dxa" w:w="3168"/>
            <w:tcMar>
              <w:top w:w="60" w:type="dxa"/>
              <w:bottom w:w="60" w:type="dxa"/>
              <w:start w:w="110" w:type="dxa"/>
              <w:end w:w="110" w:type="dxa"/>
            </w:tcMar>
            <w:shd w:val="clear" w:color="auto" w:fill="F4F7FB"/>
          </w:tcPr>
          <w:p>
            <w:r>
              <w:rPr>
                <w:sz w:val="18"/>
              </w:rPr>
              <w:t>Base de données principale</w:t>
            </w:r>
          </w:p>
        </w:tc>
        <w:tc>
          <w:tcPr>
            <w:tcW w:type="dxa" w:w="4032"/>
            <w:tcMar>
              <w:top w:w="60" w:type="dxa"/>
              <w:bottom w:w="60" w:type="dxa"/>
              <w:start w:w="110" w:type="dxa"/>
              <w:end w:w="110" w:type="dxa"/>
            </w:tcMar>
            <w:shd w:val="clear" w:color="auto" w:fill="F4F7FB"/>
          </w:tcPr>
          <w:p>
            <w:r>
              <w:rPr>
                <w:sz w:val="18"/>
              </w:rPr>
              <w:t>Robuste, transactionnel, adapté à l’historisation horodatée des mesures.</w:t>
            </w:r>
          </w:p>
        </w:tc>
      </w:tr>
      <w:tr>
        <w:tc>
          <w:tcPr>
            <w:tcW w:type="dxa" w:w="1872"/>
            <w:tcMar>
              <w:top w:w="60" w:type="dxa"/>
              <w:bottom w:w="60" w:type="dxa"/>
              <w:start w:w="110" w:type="dxa"/>
              <w:end w:w="110" w:type="dxa"/>
            </w:tcMar>
          </w:tcPr>
          <w:p>
            <w:r>
              <w:rPr>
                <w:b/>
                <w:color w:val="1B3A63"/>
                <w:sz w:val="18"/>
              </w:rPr>
              <w:t>SQLAlchemy + Alembic</w:t>
            </w:r>
          </w:p>
        </w:tc>
        <w:tc>
          <w:tcPr>
            <w:tcW w:type="dxa" w:w="3168"/>
            <w:tcMar>
              <w:top w:w="60" w:type="dxa"/>
              <w:bottom w:w="60" w:type="dxa"/>
              <w:start w:w="110" w:type="dxa"/>
              <w:end w:w="110" w:type="dxa"/>
            </w:tcMar>
          </w:tcPr>
          <w:p>
            <w:r>
              <w:rPr>
                <w:sz w:val="18"/>
              </w:rPr>
              <w:t>ORM + migrations versionnées</w:t>
            </w:r>
          </w:p>
        </w:tc>
        <w:tc>
          <w:tcPr>
            <w:tcW w:type="dxa" w:w="4032"/>
            <w:tcMar>
              <w:top w:w="60" w:type="dxa"/>
              <w:bottom w:w="60" w:type="dxa"/>
              <w:start w:w="110" w:type="dxa"/>
              <w:end w:w="110" w:type="dxa"/>
            </w:tcMar>
          </w:tcPr>
          <w:p>
            <w:r>
              <w:rPr>
                <w:sz w:val="18"/>
              </w:rPr>
              <w:t>Fait évoluer le schéma proprement (15 migrations) sans casser l’existant.</w:t>
            </w:r>
          </w:p>
        </w:tc>
      </w:tr>
      <w:tr>
        <w:tc>
          <w:tcPr>
            <w:tcW w:type="dxa" w:w="1872"/>
            <w:tcMar>
              <w:top w:w="60" w:type="dxa"/>
              <w:bottom w:w="60" w:type="dxa"/>
              <w:start w:w="110" w:type="dxa"/>
              <w:end w:w="110" w:type="dxa"/>
            </w:tcMar>
            <w:shd w:val="clear" w:color="auto" w:fill="F4F7FB"/>
          </w:tcPr>
          <w:p>
            <w:r>
              <w:rPr>
                <w:b/>
                <w:color w:val="1B3A63"/>
                <w:sz w:val="18"/>
              </w:rPr>
              <w:t>APScheduler</w:t>
            </w:r>
          </w:p>
        </w:tc>
        <w:tc>
          <w:tcPr>
            <w:tcW w:type="dxa" w:w="3168"/>
            <w:tcMar>
              <w:top w:w="60" w:type="dxa"/>
              <w:bottom w:w="60" w:type="dxa"/>
              <w:start w:w="110" w:type="dxa"/>
              <w:end w:w="110" w:type="dxa"/>
            </w:tcMar>
            <w:shd w:val="clear" w:color="auto" w:fill="F4F7FB"/>
          </w:tcPr>
          <w:p>
            <w:r>
              <w:rPr>
                <w:sz w:val="18"/>
              </w:rPr>
              <w:t>Robot de collecte planifié</w:t>
            </w:r>
          </w:p>
        </w:tc>
        <w:tc>
          <w:tcPr>
            <w:tcW w:type="dxa" w:w="4032"/>
            <w:tcMar>
              <w:top w:w="60" w:type="dxa"/>
              <w:bottom w:w="60" w:type="dxa"/>
              <w:start w:w="110" w:type="dxa"/>
              <w:end w:w="110" w:type="dxa"/>
            </w:tcMar>
            <w:shd w:val="clear" w:color="auto" w:fill="F4F7FB"/>
          </w:tcPr>
          <w:p>
            <w:r>
              <w:rPr>
                <w:sz w:val="18"/>
              </w:rPr>
              <w:t>Collecte horaire en mémoire, sans service externe supplémentaire.</w:t>
            </w:r>
          </w:p>
        </w:tc>
      </w:tr>
      <w:tr>
        <w:tc>
          <w:tcPr>
            <w:tcW w:type="dxa" w:w="1872"/>
            <w:tcMar>
              <w:top w:w="60" w:type="dxa"/>
              <w:bottom w:w="60" w:type="dxa"/>
              <w:start w:w="110" w:type="dxa"/>
              <w:end w:w="110" w:type="dxa"/>
            </w:tcMar>
          </w:tcPr>
          <w:p>
            <w:r>
              <w:rPr>
                <w:b/>
                <w:color w:val="1B3A63"/>
                <w:sz w:val="18"/>
              </w:rPr>
              <w:t>httpx</w:t>
            </w:r>
          </w:p>
        </w:tc>
        <w:tc>
          <w:tcPr>
            <w:tcW w:type="dxa" w:w="3168"/>
            <w:tcMar>
              <w:top w:w="60" w:type="dxa"/>
              <w:bottom w:w="60" w:type="dxa"/>
              <w:start w:w="110" w:type="dxa"/>
              <w:end w:w="110" w:type="dxa"/>
            </w:tcMar>
          </w:tcPr>
          <w:p>
            <w:r>
              <w:rPr>
                <w:sz w:val="18"/>
              </w:rPr>
              <w:t>Appels HTTP asynchrones</w:t>
            </w:r>
          </w:p>
        </w:tc>
        <w:tc>
          <w:tcPr>
            <w:tcW w:type="dxa" w:w="4032"/>
            <w:tcMar>
              <w:top w:w="60" w:type="dxa"/>
              <w:bottom w:w="60" w:type="dxa"/>
              <w:start w:w="110" w:type="dxa"/>
              <w:end w:w="110" w:type="dxa"/>
            </w:tcMar>
          </w:tcPr>
          <w:p>
            <w:r>
              <w:rPr>
                <w:sz w:val="18"/>
              </w:rPr>
              <w:t>Interroge les API externes sans bloquer le serveur.</w:t>
            </w:r>
          </w:p>
        </w:tc>
      </w:tr>
      <w:tr>
        <w:tc>
          <w:tcPr>
            <w:tcW w:type="dxa" w:w="1872"/>
            <w:tcMar>
              <w:top w:w="60" w:type="dxa"/>
              <w:bottom w:w="60" w:type="dxa"/>
              <w:start w:w="110" w:type="dxa"/>
              <w:end w:w="110" w:type="dxa"/>
            </w:tcMar>
            <w:shd w:val="clear" w:color="auto" w:fill="F4F7FB"/>
          </w:tcPr>
          <w:p>
            <w:r>
              <w:rPr>
                <w:b/>
                <w:color w:val="1B3A63"/>
                <w:sz w:val="18"/>
              </w:rPr>
              <w:t>Redis</w:t>
            </w:r>
          </w:p>
        </w:tc>
        <w:tc>
          <w:tcPr>
            <w:tcW w:type="dxa" w:w="3168"/>
            <w:tcMar>
              <w:top w:w="60" w:type="dxa"/>
              <w:bottom w:w="60" w:type="dxa"/>
              <w:start w:w="110" w:type="dxa"/>
              <w:end w:w="110" w:type="dxa"/>
            </w:tcMar>
            <w:shd w:val="clear" w:color="auto" w:fill="F4F7FB"/>
          </w:tcPr>
          <w:p>
            <w:r>
              <w:rPr>
                <w:sz w:val="18"/>
              </w:rPr>
              <w:t>Cache léger</w:t>
            </w:r>
          </w:p>
        </w:tc>
        <w:tc>
          <w:tcPr>
            <w:tcW w:type="dxa" w:w="4032"/>
            <w:tcMar>
              <w:top w:w="60" w:type="dxa"/>
              <w:bottom w:w="60" w:type="dxa"/>
              <w:start w:w="110" w:type="dxa"/>
              <w:end w:w="110" w:type="dxa"/>
            </w:tcMar>
            <w:shd w:val="clear" w:color="auto" w:fill="F4F7FB"/>
          </w:tcPr>
          <w:p>
            <w:r>
              <w:rPr>
                <w:sz w:val="18"/>
              </w:rPr>
              <w:t>Accélère les lectures fréquentes de l’état de la carte.</w:t>
            </w:r>
          </w:p>
        </w:tc>
      </w:tr>
      <w:tr>
        <w:tc>
          <w:tcPr>
            <w:tcW w:type="dxa" w:w="1872"/>
            <w:tcMar>
              <w:top w:w="60" w:type="dxa"/>
              <w:bottom w:w="60" w:type="dxa"/>
              <w:start w:w="110" w:type="dxa"/>
              <w:end w:w="110" w:type="dxa"/>
            </w:tcMar>
          </w:tcPr>
          <w:p>
            <w:r>
              <w:rPr>
                <w:b/>
                <w:color w:val="1B3A63"/>
                <w:sz w:val="18"/>
              </w:rPr>
              <w:t>fpdf2</w:t>
            </w:r>
          </w:p>
        </w:tc>
        <w:tc>
          <w:tcPr>
            <w:tcW w:type="dxa" w:w="3168"/>
            <w:tcMar>
              <w:top w:w="60" w:type="dxa"/>
              <w:bottom w:w="60" w:type="dxa"/>
              <w:start w:w="110" w:type="dxa"/>
              <w:end w:w="110" w:type="dxa"/>
            </w:tcMar>
          </w:tcPr>
          <w:p>
            <w:r>
              <w:rPr>
                <w:sz w:val="18"/>
              </w:rPr>
              <w:t>Génération PDF native</w:t>
            </w:r>
          </w:p>
        </w:tc>
        <w:tc>
          <w:tcPr>
            <w:tcW w:type="dxa" w:w="4032"/>
            <w:tcMar>
              <w:top w:w="60" w:type="dxa"/>
              <w:bottom w:w="60" w:type="dxa"/>
              <w:start w:w="110" w:type="dxa"/>
              <w:end w:w="110" w:type="dxa"/>
            </w:tcMar>
          </w:tcPr>
          <w:p>
            <w:r>
              <w:rPr>
                <w:sz w:val="18"/>
              </w:rPr>
              <w:t>Produit le PDF du Tableau 16 en pur Python, sans dépendance vulnérable.</w:t>
            </w:r>
          </w:p>
        </w:tc>
      </w:tr>
    </w:tbl>
    <w:p>
      <w:pPr>
        <w:spacing w:after="40"/>
      </w:pPr>
    </w:p>
    <w:p>
      <w:pPr>
        <w:pStyle w:val="Heading2"/>
      </w:pPr>
      <w:r>
        <w:t>5.2 Frontend — Next.js / React / TypeScript</w:t>
      </w:r>
    </w:p>
    <w:tbl>
      <w:tblPr>
        <w:tblStyle w:val="TableGrid"/>
        <w:tblW w:type="auto" w:w="0"/>
        <w:jc w:val="center"/>
        <w:tblLook w:firstColumn="1" w:firstRow="1" w:lastColumn="0" w:lastRow="0" w:noHBand="0" w:noVBand="1" w:val="04A0"/>
      </w:tblPr>
      <w:tblGrid>
        <w:gridCol w:w="3249"/>
        <w:gridCol w:w="3249"/>
        <w:gridCol w:w="3249"/>
      </w:tblGrid>
      <w:tr>
        <w:tc>
          <w:tcPr>
            <w:tcW w:type="dxa" w:w="2304"/>
            <w:shd w:val="clear" w:color="auto" w:fill="0F2240"/>
            <w:tcMar>
              <w:top w:w="60" w:type="dxa"/>
              <w:bottom w:w="60" w:type="dxa"/>
              <w:start w:w="110" w:type="dxa"/>
              <w:end w:w="110" w:type="dxa"/>
            </w:tcMar>
          </w:tcPr>
          <w:p>
            <w:pPr>
              <w:jc w:val="left"/>
            </w:pPr>
            <w:r>
              <w:rPr>
                <w:b/>
                <w:color w:val="FFFFFF"/>
                <w:sz w:val="19"/>
              </w:rPr>
              <w:t>Composant</w:t>
            </w:r>
          </w:p>
        </w:tc>
        <w:tc>
          <w:tcPr>
            <w:tcW w:type="dxa" w:w="2880"/>
            <w:shd w:val="clear" w:color="auto" w:fill="0F2240"/>
            <w:tcMar>
              <w:top w:w="60" w:type="dxa"/>
              <w:bottom w:w="60" w:type="dxa"/>
              <w:start w:w="110" w:type="dxa"/>
              <w:end w:w="110" w:type="dxa"/>
            </w:tcMar>
          </w:tcPr>
          <w:p>
            <w:pPr>
              <w:jc w:val="left"/>
            </w:pPr>
            <w:r>
              <w:rPr>
                <w:b/>
                <w:color w:val="FFFFFF"/>
                <w:sz w:val="19"/>
              </w:rPr>
              <w:t>Rôle</w:t>
            </w:r>
          </w:p>
        </w:tc>
        <w:tc>
          <w:tcPr>
            <w:tcW w:type="dxa" w:w="3888"/>
            <w:shd w:val="clear" w:color="auto" w:fill="0F2240"/>
            <w:tcMar>
              <w:top w:w="60" w:type="dxa"/>
              <w:bottom w:w="60" w:type="dxa"/>
              <w:start w:w="110" w:type="dxa"/>
              <w:end w:w="110" w:type="dxa"/>
            </w:tcMar>
          </w:tcPr>
          <w:p>
            <w:pPr>
              <w:jc w:val="left"/>
            </w:pPr>
            <w:r>
              <w:rPr>
                <w:b/>
                <w:color w:val="FFFFFF"/>
                <w:sz w:val="19"/>
              </w:rPr>
              <w:t>Pourquoi ce choix</w:t>
            </w:r>
          </w:p>
        </w:tc>
      </w:tr>
      <w:tr>
        <w:tc>
          <w:tcPr>
            <w:tcW w:type="dxa" w:w="2304"/>
            <w:tcMar>
              <w:top w:w="60" w:type="dxa"/>
              <w:bottom w:w="60" w:type="dxa"/>
              <w:start w:w="110" w:type="dxa"/>
              <w:end w:w="110" w:type="dxa"/>
            </w:tcMar>
          </w:tcPr>
          <w:p>
            <w:r>
              <w:rPr>
                <w:b/>
                <w:color w:val="1B3A63"/>
                <w:sz w:val="18"/>
              </w:rPr>
              <w:t>Next.js 14 + TypeScript</w:t>
            </w:r>
          </w:p>
        </w:tc>
        <w:tc>
          <w:tcPr>
            <w:tcW w:type="dxa" w:w="2880"/>
            <w:tcMar>
              <w:top w:w="60" w:type="dxa"/>
              <w:bottom w:w="60" w:type="dxa"/>
              <w:start w:w="110" w:type="dxa"/>
              <w:end w:w="110" w:type="dxa"/>
            </w:tcMar>
          </w:tcPr>
          <w:p>
            <w:r>
              <w:rPr>
                <w:sz w:val="18"/>
              </w:rPr>
              <w:t>Framework d’interface (App Router)</w:t>
            </w:r>
          </w:p>
        </w:tc>
        <w:tc>
          <w:tcPr>
            <w:tcW w:type="dxa" w:w="3888"/>
            <w:tcMar>
              <w:top w:w="60" w:type="dxa"/>
              <w:bottom w:w="60" w:type="dxa"/>
              <w:start w:w="110" w:type="dxa"/>
              <w:end w:w="110" w:type="dxa"/>
            </w:tcMar>
          </w:tcPr>
          <w:p>
            <w:r>
              <w:rPr>
                <w:sz w:val="18"/>
              </w:rPr>
              <w:t>Moderne, performant, typage strict qui fiabilise le code.</w:t>
            </w:r>
          </w:p>
        </w:tc>
      </w:tr>
      <w:tr>
        <w:tc>
          <w:tcPr>
            <w:tcW w:type="dxa" w:w="2304"/>
            <w:tcMar>
              <w:top w:w="60" w:type="dxa"/>
              <w:bottom w:w="60" w:type="dxa"/>
              <w:start w:w="110" w:type="dxa"/>
              <w:end w:w="110" w:type="dxa"/>
            </w:tcMar>
            <w:shd w:val="clear" w:color="auto" w:fill="F4F7FB"/>
          </w:tcPr>
          <w:p>
            <w:r>
              <w:rPr>
                <w:b/>
                <w:color w:val="1B3A63"/>
                <w:sz w:val="18"/>
              </w:rPr>
              <w:t>Tailwind CSS 3</w:t>
            </w:r>
          </w:p>
        </w:tc>
        <w:tc>
          <w:tcPr>
            <w:tcW w:type="dxa" w:w="2880"/>
            <w:tcMar>
              <w:top w:w="60" w:type="dxa"/>
              <w:bottom w:w="60" w:type="dxa"/>
              <w:start w:w="110" w:type="dxa"/>
              <w:end w:w="110" w:type="dxa"/>
            </w:tcMar>
            <w:shd w:val="clear" w:color="auto" w:fill="F4F7FB"/>
          </w:tcPr>
          <w:p>
            <w:r>
              <w:rPr>
                <w:sz w:val="18"/>
              </w:rPr>
              <w:t>Design system PAA, responsive</w:t>
            </w:r>
          </w:p>
        </w:tc>
        <w:tc>
          <w:tcPr>
            <w:tcW w:type="dxa" w:w="3888"/>
            <w:tcMar>
              <w:top w:w="60" w:type="dxa"/>
              <w:bottom w:w="60" w:type="dxa"/>
              <w:start w:w="110" w:type="dxa"/>
              <w:end w:w="110" w:type="dxa"/>
            </w:tcMar>
            <w:shd w:val="clear" w:color="auto" w:fill="F4F7FB"/>
          </w:tcPr>
          <w:p>
            <w:r>
              <w:rPr>
                <w:sz w:val="18"/>
              </w:rPr>
              <w:t>Interface 100 % adaptative (mobile / tablette / PC) avec 3 breakpoints.</w:t>
            </w:r>
          </w:p>
        </w:tc>
      </w:tr>
      <w:tr>
        <w:tc>
          <w:tcPr>
            <w:tcW w:type="dxa" w:w="2304"/>
            <w:tcMar>
              <w:top w:w="60" w:type="dxa"/>
              <w:bottom w:w="60" w:type="dxa"/>
              <w:start w:w="110" w:type="dxa"/>
              <w:end w:w="110" w:type="dxa"/>
            </w:tcMar>
          </w:tcPr>
          <w:p>
            <w:r>
              <w:rPr>
                <w:b/>
                <w:color w:val="1B3A63"/>
                <w:sz w:val="18"/>
              </w:rPr>
              <w:t>Leaflet + OpenStreetMap</w:t>
            </w:r>
          </w:p>
        </w:tc>
        <w:tc>
          <w:tcPr>
            <w:tcW w:type="dxa" w:w="2880"/>
            <w:tcMar>
              <w:top w:w="60" w:type="dxa"/>
              <w:bottom w:w="60" w:type="dxa"/>
              <w:start w:w="110" w:type="dxa"/>
              <w:end w:w="110" w:type="dxa"/>
            </w:tcMar>
          </w:tcPr>
          <w:p>
            <w:r>
              <w:rPr>
                <w:sz w:val="18"/>
              </w:rPr>
              <w:t>Cartographie interactive</w:t>
            </w:r>
          </w:p>
        </w:tc>
        <w:tc>
          <w:tcPr>
            <w:tcW w:type="dxa" w:w="3888"/>
            <w:tcMar>
              <w:top w:w="60" w:type="dxa"/>
              <w:bottom w:w="60" w:type="dxa"/>
              <w:start w:w="110" w:type="dxa"/>
              <w:end w:w="110" w:type="dxa"/>
            </w:tcMar>
          </w:tcPr>
          <w:p>
            <w:r>
              <w:rPr>
                <w:sz w:val="18"/>
              </w:rPr>
              <w:t>Léger, gratuit, zoom et recentrage fluides ; tuiles OSM sans coût.</w:t>
            </w:r>
          </w:p>
        </w:tc>
      </w:tr>
      <w:tr>
        <w:tc>
          <w:tcPr>
            <w:tcW w:type="dxa" w:w="2304"/>
            <w:tcMar>
              <w:top w:w="60" w:type="dxa"/>
              <w:bottom w:w="60" w:type="dxa"/>
              <w:start w:w="110" w:type="dxa"/>
              <w:end w:w="110" w:type="dxa"/>
            </w:tcMar>
            <w:shd w:val="clear" w:color="auto" w:fill="F4F7FB"/>
          </w:tcPr>
          <w:p>
            <w:r>
              <w:rPr>
                <w:b/>
                <w:color w:val="1B3A63"/>
                <w:sz w:val="18"/>
              </w:rPr>
              <w:t>Recharts</w:t>
            </w:r>
          </w:p>
        </w:tc>
        <w:tc>
          <w:tcPr>
            <w:tcW w:type="dxa" w:w="2880"/>
            <w:tcMar>
              <w:top w:w="60" w:type="dxa"/>
              <w:bottom w:w="60" w:type="dxa"/>
              <w:start w:w="110" w:type="dxa"/>
              <w:end w:w="110" w:type="dxa"/>
            </w:tcMar>
            <w:shd w:val="clear" w:color="auto" w:fill="F4F7FB"/>
          </w:tcPr>
          <w:p>
            <w:r>
              <w:rPr>
                <w:sz w:val="18"/>
              </w:rPr>
              <w:t>Graphiques dynamiques</w:t>
            </w:r>
          </w:p>
        </w:tc>
        <w:tc>
          <w:tcPr>
            <w:tcW w:type="dxa" w:w="3888"/>
            <w:tcMar>
              <w:top w:w="60" w:type="dxa"/>
              <w:bottom w:w="60" w:type="dxa"/>
              <w:start w:w="110" w:type="dxa"/>
              <w:end w:w="110" w:type="dxa"/>
            </w:tcMar>
            <w:shd w:val="clear" w:color="auto" w:fill="F4F7FB"/>
          </w:tcPr>
          <w:p>
            <w:r>
              <w:rPr>
                <w:sz w:val="18"/>
              </w:rPr>
              <w:t>Courbes, barres et heatmaps lisibles, intégration React native.</w:t>
            </w:r>
          </w:p>
        </w:tc>
      </w:tr>
      <w:tr>
        <w:tc>
          <w:tcPr>
            <w:tcW w:type="dxa" w:w="2304"/>
            <w:tcMar>
              <w:top w:w="60" w:type="dxa"/>
              <w:bottom w:w="60" w:type="dxa"/>
              <w:start w:w="110" w:type="dxa"/>
              <w:end w:w="110" w:type="dxa"/>
            </w:tcMar>
          </w:tcPr>
          <w:p>
            <w:r>
              <w:rPr>
                <w:b/>
                <w:color w:val="1B3A63"/>
                <w:sz w:val="18"/>
              </w:rPr>
              <w:t>i18n FR/EN maison</w:t>
            </w:r>
          </w:p>
        </w:tc>
        <w:tc>
          <w:tcPr>
            <w:tcW w:type="dxa" w:w="2880"/>
            <w:tcMar>
              <w:top w:w="60" w:type="dxa"/>
              <w:bottom w:w="60" w:type="dxa"/>
              <w:start w:w="110" w:type="dxa"/>
              <w:end w:w="110" w:type="dxa"/>
            </w:tcMar>
          </w:tcPr>
          <w:p>
            <w:r>
              <w:rPr>
                <w:sz w:val="18"/>
              </w:rPr>
              <w:t>Bilingue sans rechargement</w:t>
            </w:r>
          </w:p>
        </w:tc>
        <w:tc>
          <w:tcPr>
            <w:tcW w:type="dxa" w:w="3888"/>
            <w:tcMar>
              <w:top w:w="60" w:type="dxa"/>
              <w:bottom w:w="60" w:type="dxa"/>
              <w:start w:w="110" w:type="dxa"/>
              <w:end w:w="110" w:type="dxa"/>
            </w:tcMar>
          </w:tcPr>
          <w:p>
            <w:r>
              <w:rPr>
                <w:sz w:val="18"/>
              </w:rPr>
              <w:t>Permutation instantanée de langue, exigence du cahier des charges.</w:t>
            </w:r>
          </w:p>
        </w:tc>
      </w:tr>
      <w:tr>
        <w:tc>
          <w:tcPr>
            <w:tcW w:type="dxa" w:w="2304"/>
            <w:tcMar>
              <w:top w:w="60" w:type="dxa"/>
              <w:bottom w:w="60" w:type="dxa"/>
              <w:start w:w="110" w:type="dxa"/>
              <w:end w:w="110" w:type="dxa"/>
            </w:tcMar>
            <w:shd w:val="clear" w:color="auto" w:fill="F4F7FB"/>
          </w:tcPr>
          <w:p>
            <w:r>
              <w:rPr>
                <w:b/>
                <w:color w:val="1B3A63"/>
                <w:sz w:val="18"/>
              </w:rPr>
              <w:t>next-themes</w:t>
            </w:r>
          </w:p>
        </w:tc>
        <w:tc>
          <w:tcPr>
            <w:tcW w:type="dxa" w:w="2880"/>
            <w:tcMar>
              <w:top w:w="60" w:type="dxa"/>
              <w:bottom w:w="60" w:type="dxa"/>
              <w:start w:w="110" w:type="dxa"/>
              <w:end w:w="110" w:type="dxa"/>
            </w:tcMar>
            <w:shd w:val="clear" w:color="auto" w:fill="F4F7FB"/>
          </w:tcPr>
          <w:p>
            <w:r>
              <w:rPr>
                <w:sz w:val="18"/>
              </w:rPr>
              <w:t>Thème clair / sombre</w:t>
            </w:r>
          </w:p>
        </w:tc>
        <w:tc>
          <w:tcPr>
            <w:tcW w:type="dxa" w:w="3888"/>
            <w:tcMar>
              <w:top w:w="60" w:type="dxa"/>
              <w:bottom w:w="60" w:type="dxa"/>
              <w:start w:w="110" w:type="dxa"/>
              <w:end w:w="110" w:type="dxa"/>
            </w:tcMar>
            <w:shd w:val="clear" w:color="auto" w:fill="F4F7FB"/>
          </w:tcPr>
          <w:p>
            <w:r>
              <w:rPr>
                <w:sz w:val="18"/>
              </w:rPr>
              <w:t>Confort d’usage jour comme nuit, persistant.</w:t>
            </w:r>
          </w:p>
        </w:tc>
      </w:tr>
      <w:tr>
        <w:tc>
          <w:tcPr>
            <w:tcW w:type="dxa" w:w="2304"/>
            <w:tcMar>
              <w:top w:w="60" w:type="dxa"/>
              <w:bottom w:w="60" w:type="dxa"/>
              <w:start w:w="110" w:type="dxa"/>
              <w:end w:w="110" w:type="dxa"/>
            </w:tcMar>
          </w:tcPr>
          <w:p>
            <w:r>
              <w:rPr>
                <w:b/>
                <w:color w:val="1B3A63"/>
                <w:sz w:val="18"/>
              </w:rPr>
              <w:t>WebSocket</w:t>
            </w:r>
          </w:p>
        </w:tc>
        <w:tc>
          <w:tcPr>
            <w:tcW w:type="dxa" w:w="2880"/>
            <w:tcMar>
              <w:top w:w="60" w:type="dxa"/>
              <w:bottom w:w="60" w:type="dxa"/>
              <w:start w:w="110" w:type="dxa"/>
              <w:end w:w="110" w:type="dxa"/>
            </w:tcMar>
          </w:tcPr>
          <w:p>
            <w:r>
              <w:rPr>
                <w:sz w:val="18"/>
              </w:rPr>
              <w:t>Mise à jour temps réel</w:t>
            </w:r>
          </w:p>
        </w:tc>
        <w:tc>
          <w:tcPr>
            <w:tcW w:type="dxa" w:w="3888"/>
            <w:tcMar>
              <w:top w:w="60" w:type="dxa"/>
              <w:bottom w:w="60" w:type="dxa"/>
              <w:start w:w="110" w:type="dxa"/>
              <w:end w:w="110" w:type="dxa"/>
            </w:tcMar>
          </w:tcPr>
          <w:p>
            <w:r>
              <w:rPr>
                <w:sz w:val="18"/>
              </w:rPr>
              <w:t>La carte se rafraîchit à chaque cycle sans action de l’utilisateur.</w:t>
            </w:r>
          </w:p>
        </w:tc>
      </w:tr>
    </w:tbl>
    <w:p>
      <w:pPr>
        <w:spacing w:after="40"/>
      </w:pPr>
    </w:p>
    <w:p>
      <w:pPr>
        <w:pStyle w:val="Heading2"/>
      </w:pPr>
      <w:r>
        <w:t>5.3 Sources de mesure et cascade de dégradation gracieuse</w:t>
      </w:r>
    </w:p>
    <w:p>
      <w:pPr>
        <w:spacing w:before="0" w:after="120"/>
      </w:pPr>
      <w:r>
        <w:rPr>
          <w:b w:val="0"/>
          <w:i w:val="0"/>
          <w:sz w:val="21"/>
        </w:rPr>
        <w:t>Pour garantir la disponibilité des données sans jamais inventer de valeur, l’application applique une cascade à trois niveaux. Si un niveau échoue, on passe au suivant ; si les trois échouent, on enregistre un trou de mesure.</w:t>
      </w:r>
    </w:p>
    <w:tbl>
      <w:tblPr>
        <w:tblStyle w:val="TableGrid"/>
        <w:tblW w:type="auto" w:w="0"/>
        <w:jc w:val="center"/>
        <w:tblLook w:firstColumn="1" w:firstRow="1" w:lastColumn="0" w:lastRow="0" w:noHBand="0" w:noVBand="1" w:val="04A0"/>
      </w:tblPr>
      <w:tblGrid>
        <w:gridCol w:w="3249"/>
        <w:gridCol w:w="3249"/>
        <w:gridCol w:w="3249"/>
      </w:tblGrid>
      <w:tr>
        <w:tc>
          <w:tcPr>
            <w:tcW w:type="dxa" w:w="1008"/>
            <w:shd w:val="clear" w:color="auto" w:fill="0F2240"/>
            <w:tcMar>
              <w:top w:w="60" w:type="dxa"/>
              <w:bottom w:w="60" w:type="dxa"/>
              <w:start w:w="110" w:type="dxa"/>
              <w:end w:w="110" w:type="dxa"/>
            </w:tcMar>
          </w:tcPr>
          <w:p>
            <w:pPr>
              <w:jc w:val="left"/>
            </w:pPr>
            <w:r>
              <w:rPr>
                <w:b/>
                <w:color w:val="FFFFFF"/>
                <w:sz w:val="19"/>
              </w:rPr>
              <w:t>Niveau</w:t>
            </w:r>
          </w:p>
        </w:tc>
        <w:tc>
          <w:tcPr>
            <w:tcW w:type="dxa" w:w="4320"/>
            <w:shd w:val="clear" w:color="auto" w:fill="0F2240"/>
            <w:tcMar>
              <w:top w:w="60" w:type="dxa"/>
              <w:bottom w:w="60" w:type="dxa"/>
              <w:start w:w="110" w:type="dxa"/>
              <w:end w:w="110" w:type="dxa"/>
            </w:tcMar>
          </w:tcPr>
          <w:p>
            <w:pPr>
              <w:jc w:val="left"/>
            </w:pPr>
            <w:r>
              <w:rPr>
                <w:b/>
                <w:color w:val="FFFFFF"/>
                <w:sz w:val="19"/>
              </w:rPr>
              <w:t>Source</w:t>
            </w:r>
          </w:p>
        </w:tc>
        <w:tc>
          <w:tcPr>
            <w:tcW w:type="dxa" w:w="3744"/>
            <w:shd w:val="clear" w:color="auto" w:fill="0F2240"/>
            <w:tcMar>
              <w:top w:w="60" w:type="dxa"/>
              <w:bottom w:w="60" w:type="dxa"/>
              <w:start w:w="110" w:type="dxa"/>
              <w:end w:w="110" w:type="dxa"/>
            </w:tcMar>
          </w:tcPr>
          <w:p>
            <w:pPr>
              <w:jc w:val="left"/>
            </w:pPr>
            <w:r>
              <w:rPr>
                <w:b/>
                <w:color w:val="FFFFFF"/>
                <w:sz w:val="19"/>
              </w:rPr>
              <w:t>Rôle</w:t>
            </w:r>
          </w:p>
        </w:tc>
      </w:tr>
      <w:tr>
        <w:tc>
          <w:tcPr>
            <w:tcW w:type="dxa" w:w="1008"/>
            <w:tcMar>
              <w:top w:w="60" w:type="dxa"/>
              <w:bottom w:w="60" w:type="dxa"/>
              <w:start w:w="110" w:type="dxa"/>
              <w:end w:w="110" w:type="dxa"/>
            </w:tcMar>
          </w:tcPr>
          <w:p>
            <w:r>
              <w:rPr>
                <w:b/>
                <w:color w:val="1B3A63"/>
                <w:sz w:val="18"/>
              </w:rPr>
              <w:t>1</w:t>
            </w:r>
          </w:p>
        </w:tc>
        <w:tc>
          <w:tcPr>
            <w:tcW w:type="dxa" w:w="4320"/>
            <w:tcMar>
              <w:top w:w="60" w:type="dxa"/>
              <w:bottom w:w="60" w:type="dxa"/>
              <w:start w:w="110" w:type="dxa"/>
              <w:end w:w="110" w:type="dxa"/>
            </w:tcMar>
          </w:tcPr>
          <w:p>
            <w:r>
              <w:rPr>
                <w:sz w:val="18"/>
              </w:rPr>
              <w:t>Google Routes API (TRAFFIC_AWARE_OPTIMAL)</w:t>
            </w:r>
          </w:p>
        </w:tc>
        <w:tc>
          <w:tcPr>
            <w:tcW w:type="dxa" w:w="3744"/>
            <w:tcMar>
              <w:top w:w="60" w:type="dxa"/>
              <w:bottom w:w="60" w:type="dxa"/>
              <w:start w:w="110" w:type="dxa"/>
              <w:end w:w="110" w:type="dxa"/>
            </w:tcMar>
          </w:tcPr>
          <w:p>
            <w:r>
              <w:rPr>
                <w:sz w:val="18"/>
              </w:rPr>
              <w:t>Source principale du temps réel avec trafic.</w:t>
            </w:r>
          </w:p>
        </w:tc>
      </w:tr>
      <w:tr>
        <w:tc>
          <w:tcPr>
            <w:tcW w:type="dxa" w:w="1008"/>
            <w:tcMar>
              <w:top w:w="60" w:type="dxa"/>
              <w:bottom w:w="60" w:type="dxa"/>
              <w:start w:w="110" w:type="dxa"/>
              <w:end w:w="110" w:type="dxa"/>
            </w:tcMar>
            <w:shd w:val="clear" w:color="auto" w:fill="F4F7FB"/>
          </w:tcPr>
          <w:p>
            <w:r>
              <w:rPr>
                <w:b/>
                <w:color w:val="1B3A63"/>
                <w:sz w:val="18"/>
              </w:rPr>
              <w:t>2</w:t>
            </w:r>
          </w:p>
        </w:tc>
        <w:tc>
          <w:tcPr>
            <w:tcW w:type="dxa" w:w="4320"/>
            <w:tcMar>
              <w:top w:w="60" w:type="dxa"/>
              <w:bottom w:w="60" w:type="dxa"/>
              <w:start w:w="110" w:type="dxa"/>
              <w:end w:w="110" w:type="dxa"/>
            </w:tcMar>
            <w:shd w:val="clear" w:color="auto" w:fill="F4F7FB"/>
          </w:tcPr>
          <w:p>
            <w:r>
              <w:rPr>
                <w:sz w:val="18"/>
              </w:rPr>
              <w:t>Prédicteur interne (profils / mesures récentes)</w:t>
            </w:r>
          </w:p>
        </w:tc>
        <w:tc>
          <w:tcPr>
            <w:tcW w:type="dxa" w:w="3744"/>
            <w:tcMar>
              <w:top w:w="60" w:type="dxa"/>
              <w:bottom w:w="60" w:type="dxa"/>
              <w:start w:w="110" w:type="dxa"/>
              <w:end w:w="110" w:type="dxa"/>
            </w:tcMar>
            <w:shd w:val="clear" w:color="auto" w:fill="F4F7FB"/>
          </w:tcPr>
          <w:p>
            <w:r>
              <w:rPr>
                <w:sz w:val="18"/>
              </w:rPr>
              <w:t>Estimation à partir de l’historique du même type de jour.</w:t>
            </w:r>
          </w:p>
        </w:tc>
      </w:tr>
      <w:tr>
        <w:tc>
          <w:tcPr>
            <w:tcW w:type="dxa" w:w="1008"/>
            <w:tcMar>
              <w:top w:w="60" w:type="dxa"/>
              <w:bottom w:w="60" w:type="dxa"/>
              <w:start w:w="110" w:type="dxa"/>
              <w:end w:w="110" w:type="dxa"/>
            </w:tcMar>
          </w:tcPr>
          <w:p>
            <w:r>
              <w:rPr>
                <w:b/>
                <w:color w:val="1B3A63"/>
                <w:sz w:val="18"/>
              </w:rPr>
              <w:t>3</w:t>
            </w:r>
          </w:p>
        </w:tc>
        <w:tc>
          <w:tcPr>
            <w:tcW w:type="dxa" w:w="4320"/>
            <w:tcMar>
              <w:top w:w="60" w:type="dxa"/>
              <w:bottom w:w="60" w:type="dxa"/>
              <w:start w:w="110" w:type="dxa"/>
              <w:end w:w="110" w:type="dxa"/>
            </w:tcMar>
          </w:tcPr>
          <w:p>
            <w:r>
              <w:rPr>
                <w:sz w:val="18"/>
              </w:rPr>
              <w:t>Temps de référence 50 km/h</w:t>
            </w:r>
          </w:p>
        </w:tc>
        <w:tc>
          <w:tcPr>
            <w:tcW w:type="dxa" w:w="3744"/>
            <w:tcMar>
              <w:top w:w="60" w:type="dxa"/>
              <w:bottom w:w="60" w:type="dxa"/>
              <w:start w:w="110" w:type="dxa"/>
              <w:end w:w="110" w:type="dxa"/>
            </w:tcMar>
          </w:tcPr>
          <w:p>
            <w:r>
              <w:rPr>
                <w:sz w:val="18"/>
              </w:rPr>
              <w:t>Repli déterministe calculé depuis la distance officielle.</w:t>
            </w:r>
          </w:p>
        </w:tc>
      </w:tr>
    </w:tbl>
    <w:p>
      <w:pPr>
        <w:spacing w:after="40"/>
      </w:pPr>
    </w:p>
    <w:tbl>
      <w:tblPr>
        <w:tblStyle w:val="TableGrid"/>
        <w:tblW w:type="auto" w:w="0"/>
        <w:jc w:val="center"/>
        <w:tblLook w:firstColumn="1" w:firstRow="1" w:lastColumn="0" w:lastRow="0" w:noHBand="0" w:noVBand="1" w:val="04A0"/>
      </w:tblPr>
      <w:tblGrid>
        <w:gridCol w:w="9746"/>
      </w:tblGrid>
      <w:tr>
        <w:tc>
          <w:tcPr>
            <w:tcW w:type="dxa" w:w="9072"/>
            <w:shd w:val="clear" w:color="auto" w:fill="FBF0F0"/>
            <w:tcMar>
              <w:top w:w="110" w:type="dxa"/>
              <w:bottom w:w="110" w:type="dxa"/>
              <w:start w:w="150" w:type="dxa"/>
              <w:end w:w="150" w:type="dxa"/>
            </w:tcMar>
          </w:tcPr>
          <w:p>
            <w:r>
              <w:rPr>
                <w:b/>
                <w:color w:val="B42424"/>
                <w:sz w:val="20"/>
              </w:rPr>
              <w:t>Pourquoi TomTom a été retiré du projet</w:t>
            </w:r>
          </w:p>
          <w:p>
            <w:r>
              <w:rPr>
                <w:sz w:val="20"/>
              </w:rPr>
              <w:t>TomTom Traffic Flow avait été envisagé comme source de recoupement. Testé sur 18 points des 6 tronçons, il a renvoyé 18/18 réponses en erreur « Point too far from nearest existing segment » : la zone portuaire d’Abidjan n’est pas cartographiée par TomTom. Le client, l’endpoint de diagnostic et la clé associée ont donc été supprimés, faisant passer la cascade de 4 à 3 niveaux. Décision assumée et documentée plutôt que de conserver une source non fiable.</w:t>
            </w:r>
          </w:p>
        </w:tc>
      </w:tr>
    </w:tbl>
    <w:p>
      <w:pPr>
        <w:spacing w:after="40"/>
      </w:pPr>
    </w:p>
    <w:p>
      <w:pPr>
        <w:pStyle w:val="Heading2"/>
      </w:pPr>
      <w:r>
        <w:t>5.4 Le critère de congestion DEESP (couleurs Google Maps)</w:t>
      </w:r>
    </w:p>
    <w:p>
      <w:pPr>
        <w:spacing w:before="0" w:after="120"/>
      </w:pPr>
      <w:r>
        <w:rPr>
          <w:b w:val="0"/>
          <w:i w:val="0"/>
          <w:sz w:val="21"/>
        </w:rPr>
        <w:t>La qualification « fluide » / « congestionné » utilise directement les couleurs de Google Maps (champ speedReadingIntervals de l’API Routes), exactement comme le fait le rapport officiel DEESP :</w:t>
      </w:r>
    </w:p>
    <w:p>
      <w:pPr>
        <w:pStyle w:val="ListBullet"/>
        <w:spacing w:after="60"/>
      </w:pPr>
      <w:r>
        <w:rPr>
          <w:sz w:val="21"/>
        </w:rPr>
        <w:t>présence de rouge (TRAFFIC_JAM) sur le tracé → tronçon congestionné ;</w:t>
      </w:r>
    </w:p>
    <w:p>
      <w:pPr>
        <w:pStyle w:val="ListBullet"/>
        <w:spacing w:after="60"/>
      </w:pPr>
      <w:r>
        <w:rPr>
          <w:sz w:val="21"/>
        </w:rPr>
        <w:t>orange (SLOW) sur ≥ 50 % du tronçon → congestionné ;</w:t>
      </w:r>
    </w:p>
    <w:p>
      <w:pPr>
        <w:pStyle w:val="ListBullet"/>
        <w:spacing w:after="60"/>
      </w:pPr>
      <w:r>
        <w:rPr>
          <w:sz w:val="21"/>
        </w:rPr>
        <w:t>sinon → fluide ; absence de couleur fournie par Google → indéterminé (affiché en gris).</w:t>
      </w:r>
    </w:p>
    <w:tbl>
      <w:tblPr>
        <w:tblStyle w:val="TableGrid"/>
        <w:tblW w:type="auto" w:w="0"/>
        <w:jc w:val="center"/>
        <w:tblLook w:firstColumn="1" w:firstRow="1" w:lastColumn="0" w:lastRow="0" w:noHBand="0" w:noVBand="1" w:val="04A0"/>
      </w:tblPr>
      <w:tblGrid>
        <w:gridCol w:w="9746"/>
      </w:tblGrid>
      <w:tr>
        <w:tc>
          <w:tcPr>
            <w:tcW w:type="dxa" w:w="9072"/>
            <w:shd w:val="clear" w:color="auto" w:fill="EAF0F7"/>
            <w:tcMar>
              <w:top w:w="110" w:type="dxa"/>
              <w:bottom w:w="110" w:type="dxa"/>
              <w:start w:w="150" w:type="dxa"/>
              <w:end w:w="150" w:type="dxa"/>
            </w:tcMar>
          </w:tcPr>
          <w:p>
            <w:r>
              <w:rPr>
                <w:b/>
                <w:color w:val="1E5F9E"/>
                <w:sz w:val="20"/>
              </w:rPr>
              <w:t>Pourquoi ce critère plutôt qu’un indice type FHWA (TTI/PTI/BTI)</w:t>
            </w:r>
          </w:p>
          <w:p>
            <w:r>
              <w:rPr>
                <w:sz w:val="20"/>
              </w:rPr>
              <w:t>Le projet utilisait initialement des indices de congestion FHWA fondés sur un ratio temps observé / temps fluide. Ce ratio franchissait le seuil de congestion à cause de simples feux tricolores, sans embouteillage réel. Le critère couleur DEESP, lu directement depuis Google Maps, colle exactement à la méthodologie du rapport et évite ces faux positifs. Les temps min / moyen / max restent calculés pour alimenter les tableaux du rapport.</w:t>
            </w:r>
          </w:p>
        </w:tc>
      </w:tr>
    </w:tbl>
    <w:p>
      <w:pPr>
        <w:spacing w:after="40"/>
      </w:pPr>
    </w:p>
    <w:p>
      <w:pPr>
        <w:pStyle w:val="Heading2"/>
      </w:pPr>
      <w:r>
        <w:t>5.5 Déploiement et hébergement</w:t>
      </w:r>
    </w:p>
    <w:tbl>
      <w:tblPr>
        <w:tblStyle w:val="TableGrid"/>
        <w:tblW w:type="auto" w:w="0"/>
        <w:jc w:val="center"/>
        <w:tblLook w:firstColumn="1" w:firstRow="1" w:lastColumn="0" w:lastRow="0" w:noHBand="0" w:noVBand="1" w:val="04A0"/>
      </w:tblPr>
      <w:tblGrid>
        <w:gridCol w:w="3249"/>
        <w:gridCol w:w="3249"/>
        <w:gridCol w:w="3249"/>
      </w:tblGrid>
      <w:tr>
        <w:tc>
          <w:tcPr>
            <w:tcW w:type="dxa" w:w="2304"/>
            <w:shd w:val="clear" w:color="auto" w:fill="0F2240"/>
            <w:tcMar>
              <w:top w:w="60" w:type="dxa"/>
              <w:bottom w:w="60" w:type="dxa"/>
              <w:start w:w="110" w:type="dxa"/>
              <w:end w:w="110" w:type="dxa"/>
            </w:tcMar>
          </w:tcPr>
          <w:p>
            <w:pPr>
              <w:jc w:val="left"/>
            </w:pPr>
            <w:r>
              <w:rPr>
                <w:b/>
                <w:color w:val="FFFFFF"/>
                <w:sz w:val="19"/>
              </w:rPr>
              <w:t>Service</w:t>
            </w:r>
          </w:p>
        </w:tc>
        <w:tc>
          <w:tcPr>
            <w:tcW w:type="dxa" w:w="3024"/>
            <w:shd w:val="clear" w:color="auto" w:fill="0F2240"/>
            <w:tcMar>
              <w:top w:w="60" w:type="dxa"/>
              <w:bottom w:w="60" w:type="dxa"/>
              <w:start w:w="110" w:type="dxa"/>
              <w:end w:w="110" w:type="dxa"/>
            </w:tcMar>
          </w:tcPr>
          <w:p>
            <w:pPr>
              <w:jc w:val="left"/>
            </w:pPr>
            <w:r>
              <w:rPr>
                <w:b/>
                <w:color w:val="FFFFFF"/>
                <w:sz w:val="19"/>
              </w:rPr>
              <w:t>Hébergement</w:t>
            </w:r>
          </w:p>
        </w:tc>
        <w:tc>
          <w:tcPr>
            <w:tcW w:type="dxa" w:w="3744"/>
            <w:shd w:val="clear" w:color="auto" w:fill="0F2240"/>
            <w:tcMar>
              <w:top w:w="60" w:type="dxa"/>
              <w:bottom w:w="60" w:type="dxa"/>
              <w:start w:w="110" w:type="dxa"/>
              <w:end w:w="110" w:type="dxa"/>
            </w:tcMar>
          </w:tcPr>
          <w:p>
            <w:pPr>
              <w:jc w:val="left"/>
            </w:pPr>
            <w:r>
              <w:rPr>
                <w:b/>
                <w:color w:val="FFFFFF"/>
                <w:sz w:val="19"/>
              </w:rPr>
              <w:t>Note</w:t>
            </w:r>
          </w:p>
        </w:tc>
      </w:tr>
      <w:tr>
        <w:tc>
          <w:tcPr>
            <w:tcW w:type="dxa" w:w="2304"/>
            <w:tcMar>
              <w:top w:w="60" w:type="dxa"/>
              <w:bottom w:w="60" w:type="dxa"/>
              <w:start w:w="110" w:type="dxa"/>
              <w:end w:w="110" w:type="dxa"/>
            </w:tcMar>
          </w:tcPr>
          <w:p>
            <w:r>
              <w:rPr>
                <w:b/>
                <w:color w:val="1B3A63"/>
                <w:sz w:val="18"/>
              </w:rPr>
              <w:t>Backend FastAPI</w:t>
            </w:r>
          </w:p>
        </w:tc>
        <w:tc>
          <w:tcPr>
            <w:tcW w:type="dxa" w:w="3024"/>
            <w:tcMar>
              <w:top w:w="60" w:type="dxa"/>
              <w:bottom w:w="60" w:type="dxa"/>
              <w:start w:w="110" w:type="dxa"/>
              <w:end w:w="110" w:type="dxa"/>
            </w:tcMar>
          </w:tcPr>
          <w:p>
            <w:r>
              <w:rPr>
                <w:sz w:val="18"/>
              </w:rPr>
              <w:t>Railway (conteneur Docker)</w:t>
            </w:r>
          </w:p>
        </w:tc>
        <w:tc>
          <w:tcPr>
            <w:tcW w:type="dxa" w:w="3744"/>
            <w:tcMar>
              <w:top w:w="60" w:type="dxa"/>
              <w:bottom w:w="60" w:type="dxa"/>
              <w:start w:w="110" w:type="dxa"/>
              <w:end w:w="110" w:type="dxa"/>
            </w:tcMar>
          </w:tcPr>
          <w:p>
            <w:r>
              <w:rPr>
                <w:sz w:val="18"/>
              </w:rPr>
              <w:t>Collecte active 24 h/24, healthcheck natif.</w:t>
            </w:r>
          </w:p>
        </w:tc>
      </w:tr>
      <w:tr>
        <w:tc>
          <w:tcPr>
            <w:tcW w:type="dxa" w:w="2304"/>
            <w:tcMar>
              <w:top w:w="60" w:type="dxa"/>
              <w:bottom w:w="60" w:type="dxa"/>
              <w:start w:w="110" w:type="dxa"/>
              <w:end w:w="110" w:type="dxa"/>
            </w:tcMar>
            <w:shd w:val="clear" w:color="auto" w:fill="F4F7FB"/>
          </w:tcPr>
          <w:p>
            <w:r>
              <w:rPr>
                <w:b/>
                <w:color w:val="1B3A63"/>
                <w:sz w:val="18"/>
              </w:rPr>
              <w:t>Base PostgreSQL</w:t>
            </w:r>
          </w:p>
        </w:tc>
        <w:tc>
          <w:tcPr>
            <w:tcW w:type="dxa" w:w="3024"/>
            <w:tcMar>
              <w:top w:w="60" w:type="dxa"/>
              <w:bottom w:w="60" w:type="dxa"/>
              <w:start w:w="110" w:type="dxa"/>
              <w:end w:w="110" w:type="dxa"/>
            </w:tcMar>
            <w:shd w:val="clear" w:color="auto" w:fill="F4F7FB"/>
          </w:tcPr>
          <w:p>
            <w:r>
              <w:rPr>
                <w:sz w:val="18"/>
              </w:rPr>
              <w:t>Plugin Railway managé</w:t>
            </w:r>
          </w:p>
        </w:tc>
        <w:tc>
          <w:tcPr>
            <w:tcW w:type="dxa" w:w="3744"/>
            <w:tcMar>
              <w:top w:w="60" w:type="dxa"/>
              <w:bottom w:w="60" w:type="dxa"/>
              <w:start w:w="110" w:type="dxa"/>
              <w:end w:w="110" w:type="dxa"/>
            </w:tcMar>
            <w:shd w:val="clear" w:color="auto" w:fill="F4F7FB"/>
          </w:tcPr>
          <w:p>
            <w:r>
              <w:rPr>
                <w:sz w:val="18"/>
              </w:rPr>
              <w:t>Sauvegardes automatiques.</w:t>
            </w:r>
          </w:p>
        </w:tc>
      </w:tr>
      <w:tr>
        <w:tc>
          <w:tcPr>
            <w:tcW w:type="dxa" w:w="2304"/>
            <w:tcMar>
              <w:top w:w="60" w:type="dxa"/>
              <w:bottom w:w="60" w:type="dxa"/>
              <w:start w:w="110" w:type="dxa"/>
              <w:end w:w="110" w:type="dxa"/>
            </w:tcMar>
          </w:tcPr>
          <w:p>
            <w:r>
              <w:rPr>
                <w:b/>
                <w:color w:val="1B3A63"/>
                <w:sz w:val="18"/>
              </w:rPr>
              <w:t>Redis</w:t>
            </w:r>
          </w:p>
        </w:tc>
        <w:tc>
          <w:tcPr>
            <w:tcW w:type="dxa" w:w="3024"/>
            <w:tcMar>
              <w:top w:w="60" w:type="dxa"/>
              <w:bottom w:w="60" w:type="dxa"/>
              <w:start w:w="110" w:type="dxa"/>
              <w:end w:w="110" w:type="dxa"/>
            </w:tcMar>
          </w:tcPr>
          <w:p>
            <w:r>
              <w:rPr>
                <w:sz w:val="18"/>
              </w:rPr>
              <w:t>Plugin Railway managé</w:t>
            </w:r>
          </w:p>
        </w:tc>
        <w:tc>
          <w:tcPr>
            <w:tcW w:type="dxa" w:w="3744"/>
            <w:tcMar>
              <w:top w:w="60" w:type="dxa"/>
              <w:bottom w:w="60" w:type="dxa"/>
              <w:start w:w="110" w:type="dxa"/>
              <w:end w:w="110" w:type="dxa"/>
            </w:tcMar>
          </w:tcPr>
          <w:p>
            <w:r>
              <w:rPr>
                <w:sz w:val="18"/>
              </w:rPr>
              <w:t>Cache et file légère.</w:t>
            </w:r>
          </w:p>
        </w:tc>
      </w:tr>
      <w:tr>
        <w:tc>
          <w:tcPr>
            <w:tcW w:type="dxa" w:w="2304"/>
            <w:tcMar>
              <w:top w:w="60" w:type="dxa"/>
              <w:bottom w:w="60" w:type="dxa"/>
              <w:start w:w="110" w:type="dxa"/>
              <w:end w:w="110" w:type="dxa"/>
            </w:tcMar>
            <w:shd w:val="clear" w:color="auto" w:fill="F4F7FB"/>
          </w:tcPr>
          <w:p>
            <w:r>
              <w:rPr>
                <w:b/>
                <w:color w:val="1B3A63"/>
                <w:sz w:val="18"/>
              </w:rPr>
              <w:t>Frontend Next.js</w:t>
            </w:r>
          </w:p>
        </w:tc>
        <w:tc>
          <w:tcPr>
            <w:tcW w:type="dxa" w:w="3024"/>
            <w:tcMar>
              <w:top w:w="60" w:type="dxa"/>
              <w:bottom w:w="60" w:type="dxa"/>
              <w:start w:w="110" w:type="dxa"/>
              <w:end w:w="110" w:type="dxa"/>
            </w:tcMar>
            <w:shd w:val="clear" w:color="auto" w:fill="F4F7FB"/>
          </w:tcPr>
          <w:p>
            <w:r>
              <w:rPr>
                <w:sz w:val="18"/>
              </w:rPr>
              <w:t>Railway</w:t>
            </w:r>
          </w:p>
        </w:tc>
        <w:tc>
          <w:tcPr>
            <w:tcW w:type="dxa" w:w="3744"/>
            <w:tcMar>
              <w:top w:w="60" w:type="dxa"/>
              <w:bottom w:w="60" w:type="dxa"/>
              <w:start w:w="110" w:type="dxa"/>
              <w:end w:w="110" w:type="dxa"/>
            </w:tcMar>
            <w:shd w:val="clear" w:color="auto" w:fill="F4F7FB"/>
          </w:tcPr>
          <w:p>
            <w:r>
              <w:rPr>
                <w:sz w:val="18"/>
              </w:rPr>
              <w:t>Déploiement automatique, port dynamique.</w:t>
            </w:r>
          </w:p>
        </w:tc>
      </w:tr>
      <w:tr>
        <w:tc>
          <w:tcPr>
            <w:tcW w:type="dxa" w:w="2304"/>
            <w:tcMar>
              <w:top w:w="60" w:type="dxa"/>
              <w:bottom w:w="60" w:type="dxa"/>
              <w:start w:w="110" w:type="dxa"/>
              <w:end w:w="110" w:type="dxa"/>
            </w:tcMar>
          </w:tcPr>
          <w:p>
            <w:r>
              <w:rPr>
                <w:b/>
                <w:color w:val="1B3A63"/>
                <w:sz w:val="18"/>
              </w:rPr>
              <w:t>OSRM (routage)</w:t>
            </w:r>
          </w:p>
        </w:tc>
        <w:tc>
          <w:tcPr>
            <w:tcW w:type="dxa" w:w="3024"/>
            <w:tcMar>
              <w:top w:w="60" w:type="dxa"/>
              <w:bottom w:w="60" w:type="dxa"/>
              <w:start w:w="110" w:type="dxa"/>
              <w:end w:w="110" w:type="dxa"/>
            </w:tcMar>
          </w:tcPr>
          <w:p>
            <w:r>
              <w:rPr>
                <w:sz w:val="18"/>
              </w:rPr>
              <w:t>VM cloud gratuite (free tier)</w:t>
            </w:r>
          </w:p>
        </w:tc>
        <w:tc>
          <w:tcPr>
            <w:tcW w:type="dxa" w:w="3744"/>
            <w:tcMar>
              <w:top w:w="60" w:type="dxa"/>
              <w:bottom w:w="60" w:type="dxa"/>
              <w:start w:w="110" w:type="dxa"/>
              <w:end w:w="110" w:type="dxa"/>
            </w:tcMar>
          </w:tcPr>
          <w:p>
            <w:r>
              <w:rPr>
                <w:sz w:val="18"/>
              </w:rPr>
              <w:t>Polylines routières réelles ; optionnel, l’app fonctionne sans.</w:t>
            </w:r>
          </w:p>
        </w:tc>
      </w:tr>
    </w:tbl>
    <w:p>
      <w:pPr>
        <w:spacing w:after="40"/>
      </w:pPr>
    </w:p>
    <w:p>
      <w:r>
        <w:br w:type="page"/>
      </w:r>
    </w:p>
    <w:p>
      <w:pPr>
        <w:pStyle w:val="Heading1"/>
      </w:pPr>
      <w:r>
        <w:t>6. Modèle de données</w:t>
      </w:r>
    </w:p>
    <w:p>
      <w:pPr>
        <w:spacing w:before="0" w:after="120"/>
      </w:pPr>
      <w:r>
        <w:rPr>
          <w:b w:val="0"/>
          <w:i w:val="0"/>
          <w:sz w:val="21"/>
        </w:rPr>
        <w:t>Le modèle repose sur des tables principales gérées via SQLAlchemy et versionnées par Alembic (migrations 0001 à 0015). Deux règles d’intégrité gouvernent l’ensemble : aucune valeur inventée (un échec de mesure produit un trou, jamais une interpolation), et suppression logique uniquement (un tronçon est archivé, jamais effacé, pour préserver l’historique).</w:t>
      </w:r>
    </w:p>
    <w:tbl>
      <w:tblPr>
        <w:tblStyle w:val="TableGrid"/>
        <w:tblW w:type="auto" w:w="0"/>
        <w:jc w:val="center"/>
        <w:tblLook w:firstColumn="1" w:firstRow="1" w:lastColumn="0" w:lastRow="0" w:noHBand="0" w:noVBand="1" w:val="04A0"/>
      </w:tblPr>
      <w:tblGrid>
        <w:gridCol w:w="4873"/>
        <w:gridCol w:w="4873"/>
      </w:tblGrid>
      <w:tr>
        <w:tc>
          <w:tcPr>
            <w:tcW w:type="dxa" w:w="2736"/>
            <w:shd w:val="clear" w:color="auto" w:fill="0F2240"/>
            <w:tcMar>
              <w:top w:w="60" w:type="dxa"/>
              <w:bottom w:w="60" w:type="dxa"/>
              <w:start w:w="110" w:type="dxa"/>
              <w:end w:w="110" w:type="dxa"/>
            </w:tcMar>
          </w:tcPr>
          <w:p>
            <w:pPr>
              <w:jc w:val="left"/>
            </w:pPr>
            <w:r>
              <w:rPr>
                <w:b/>
                <w:color w:val="FFFFFF"/>
                <w:sz w:val="19"/>
              </w:rPr>
              <w:t>Table</w:t>
            </w:r>
          </w:p>
        </w:tc>
        <w:tc>
          <w:tcPr>
            <w:tcW w:type="dxa" w:w="6336"/>
            <w:shd w:val="clear" w:color="auto" w:fill="0F2240"/>
            <w:tcMar>
              <w:top w:w="60" w:type="dxa"/>
              <w:bottom w:w="60" w:type="dxa"/>
              <w:start w:w="110" w:type="dxa"/>
              <w:end w:w="110" w:type="dxa"/>
            </w:tcMar>
          </w:tcPr>
          <w:p>
            <w:pPr>
              <w:jc w:val="left"/>
            </w:pPr>
            <w:r>
              <w:rPr>
                <w:b/>
                <w:color w:val="FFFFFF"/>
                <w:sz w:val="19"/>
              </w:rPr>
              <w:t>Rôle</w:t>
            </w:r>
          </w:p>
        </w:tc>
      </w:tr>
      <w:tr>
        <w:tc>
          <w:tcPr>
            <w:tcW w:type="dxa" w:w="2736"/>
            <w:tcMar>
              <w:top w:w="60" w:type="dxa"/>
              <w:bottom w:w="60" w:type="dxa"/>
              <w:start w:w="110" w:type="dxa"/>
              <w:end w:w="110" w:type="dxa"/>
            </w:tcMar>
          </w:tcPr>
          <w:p>
            <w:r>
              <w:rPr>
                <w:b/>
                <w:color w:val="1B3A63"/>
                <w:sz w:val="18"/>
              </w:rPr>
              <w:t>troncons</w:t>
            </w:r>
          </w:p>
        </w:tc>
        <w:tc>
          <w:tcPr>
            <w:tcW w:type="dxa" w:w="6336"/>
            <w:tcMar>
              <w:top w:w="60" w:type="dxa"/>
              <w:bottom w:w="60" w:type="dxa"/>
              <w:start w:w="110" w:type="dxa"/>
              <w:end w:w="110" w:type="dxa"/>
            </w:tcMar>
          </w:tcPr>
          <w:p>
            <w:r>
              <w:rPr>
                <w:sz w:val="18"/>
              </w:rPr>
              <w:t>Un tronçon = un sens de circulation sur un axe (6 axes officiels + tronçons supplémentaires).</w:t>
            </w:r>
          </w:p>
        </w:tc>
      </w:tr>
      <w:tr>
        <w:tc>
          <w:tcPr>
            <w:tcW w:type="dxa" w:w="2736"/>
            <w:tcMar>
              <w:top w:w="60" w:type="dxa"/>
              <w:bottom w:w="60" w:type="dxa"/>
              <w:start w:w="110" w:type="dxa"/>
              <w:end w:w="110" w:type="dxa"/>
            </w:tcMar>
            <w:shd w:val="clear" w:color="auto" w:fill="F4F7FB"/>
          </w:tcPr>
          <w:p>
            <w:r>
              <w:rPr>
                <w:b/>
                <w:color w:val="1B3A63"/>
                <w:sz w:val="18"/>
              </w:rPr>
              <w:t>mesures</w:t>
            </w:r>
          </w:p>
        </w:tc>
        <w:tc>
          <w:tcPr>
            <w:tcW w:type="dxa" w:w="6336"/>
            <w:tcMar>
              <w:top w:w="60" w:type="dxa"/>
              <w:bottom w:w="60" w:type="dxa"/>
              <w:start w:w="110" w:type="dxa"/>
              <w:end w:w="110" w:type="dxa"/>
            </w:tcMar>
            <w:shd w:val="clear" w:color="auto" w:fill="F4F7FB"/>
          </w:tcPr>
          <w:p>
            <w:r>
              <w:rPr>
                <w:sz w:val="18"/>
              </w:rPr>
              <w:t>Un échantillon horodaté de temps de parcours par source, avec pourcentages de couleur et verdict de congestion.</w:t>
            </w:r>
          </w:p>
        </w:tc>
      </w:tr>
      <w:tr>
        <w:tc>
          <w:tcPr>
            <w:tcW w:type="dxa" w:w="2736"/>
            <w:tcMar>
              <w:top w:w="60" w:type="dxa"/>
              <w:bottom w:w="60" w:type="dxa"/>
              <w:start w:w="110" w:type="dxa"/>
              <w:end w:w="110" w:type="dxa"/>
            </w:tcMar>
          </w:tcPr>
          <w:p>
            <w:r>
              <w:rPr>
                <w:b/>
                <w:color w:val="1B3A63"/>
                <w:sz w:val="18"/>
              </w:rPr>
              <w:t>profils_horaires</w:t>
            </w:r>
          </w:p>
        </w:tc>
        <w:tc>
          <w:tcPr>
            <w:tcW w:type="dxa" w:w="6336"/>
            <w:tcMar>
              <w:top w:w="60" w:type="dxa"/>
              <w:bottom w:w="60" w:type="dxa"/>
              <w:start w:w="110" w:type="dxa"/>
              <w:end w:w="110" w:type="dxa"/>
            </w:tcMar>
          </w:tcPr>
          <w:p>
            <w:r>
              <w:rPr>
                <w:sz w:val="18"/>
              </w:rPr>
              <w:t>Agrégats recalculés chaque nuit (moyenne, médiane, min, max, p95) par tronçon / jour / heure.</w:t>
            </w:r>
          </w:p>
        </w:tc>
      </w:tr>
      <w:tr>
        <w:tc>
          <w:tcPr>
            <w:tcW w:type="dxa" w:w="2736"/>
            <w:tcMar>
              <w:top w:w="60" w:type="dxa"/>
              <w:bottom w:w="60" w:type="dxa"/>
              <w:start w:w="110" w:type="dxa"/>
              <w:end w:w="110" w:type="dxa"/>
            </w:tcMar>
            <w:shd w:val="clear" w:color="auto" w:fill="F4F7FB"/>
          </w:tcPr>
          <w:p>
            <w:r>
              <w:rPr>
                <w:b/>
                <w:color w:val="1B3A63"/>
                <w:sz w:val="18"/>
              </w:rPr>
              <w:t>evolution_indicateur</w:t>
            </w:r>
          </w:p>
        </w:tc>
        <w:tc>
          <w:tcPr>
            <w:tcW w:type="dxa" w:w="6336"/>
            <w:tcMar>
              <w:top w:w="60" w:type="dxa"/>
              <w:bottom w:w="60" w:type="dxa"/>
              <w:start w:w="110" w:type="dxa"/>
              <w:end w:w="110" w:type="dxa"/>
            </w:tcMar>
            <w:shd w:val="clear" w:color="auto" w:fill="F4F7FB"/>
          </w:tcPr>
          <w:p>
            <w:r>
              <w:rPr>
                <w:sz w:val="18"/>
              </w:rPr>
              <w:t>Comparaison inter-campagnes (temps min/moyen/max par axe, sens, période, type de jour).</w:t>
            </w:r>
          </w:p>
        </w:tc>
      </w:tr>
      <w:tr>
        <w:tc>
          <w:tcPr>
            <w:tcW w:type="dxa" w:w="2736"/>
            <w:tcMar>
              <w:top w:w="60" w:type="dxa"/>
              <w:bottom w:w="60" w:type="dxa"/>
              <w:start w:w="110" w:type="dxa"/>
              <w:end w:w="110" w:type="dxa"/>
            </w:tcMar>
          </w:tcPr>
          <w:p>
            <w:r>
              <w:rPr>
                <w:b/>
                <w:color w:val="1B3A63"/>
                <w:sz w:val="18"/>
              </w:rPr>
              <w:t>releves_terrain</w:t>
            </w:r>
          </w:p>
        </w:tc>
        <w:tc>
          <w:tcPr>
            <w:tcW w:type="dxa" w:w="6336"/>
            <w:tcMar>
              <w:top w:w="60" w:type="dxa"/>
              <w:bottom w:w="60" w:type="dxa"/>
              <w:start w:w="110" w:type="dxa"/>
              <w:end w:w="110" w:type="dxa"/>
            </w:tcMar>
          </w:tcPr>
          <w:p>
            <w:r>
              <w:rPr>
                <w:sz w:val="18"/>
              </w:rPr>
              <w:t>Traces GPX terrain importées, avec contenu binaire et écart mesuré terrain / API.</w:t>
            </w:r>
          </w:p>
        </w:tc>
      </w:tr>
      <w:tr>
        <w:tc>
          <w:tcPr>
            <w:tcW w:type="dxa" w:w="2736"/>
            <w:tcMar>
              <w:top w:w="60" w:type="dxa"/>
              <w:bottom w:w="60" w:type="dxa"/>
              <w:start w:w="110" w:type="dxa"/>
              <w:end w:w="110" w:type="dxa"/>
            </w:tcMar>
            <w:shd w:val="clear" w:color="auto" w:fill="F4F7FB"/>
          </w:tcPr>
          <w:p>
            <w:r>
              <w:rPr>
                <w:b/>
                <w:color w:val="1B3A63"/>
                <w:sz w:val="18"/>
              </w:rPr>
              <w:t>segments_terrain</w:t>
            </w:r>
          </w:p>
        </w:tc>
        <w:tc>
          <w:tcPr>
            <w:tcW w:type="dxa" w:w="6336"/>
            <w:tcMar>
              <w:top w:w="60" w:type="dxa"/>
              <w:bottom w:w="60" w:type="dxa"/>
              <w:start w:w="110" w:type="dxa"/>
              <w:end w:w="110" w:type="dxa"/>
            </w:tcMar>
            <w:shd w:val="clear" w:color="auto" w:fill="F4F7FB"/>
          </w:tcPr>
          <w:p>
            <w:r>
              <w:rPr>
                <w:sz w:val="18"/>
              </w:rPr>
              <w:t>Sous-portions GPX libres entre landmarks, pour la précision progressive du temps terrain.</w:t>
            </w:r>
          </w:p>
        </w:tc>
      </w:tr>
      <w:tr>
        <w:tc>
          <w:tcPr>
            <w:tcW w:type="dxa" w:w="2736"/>
            <w:tcMar>
              <w:top w:w="60" w:type="dxa"/>
              <w:bottom w:w="60" w:type="dxa"/>
              <w:start w:w="110" w:type="dxa"/>
              <w:end w:w="110" w:type="dxa"/>
            </w:tcMar>
          </w:tcPr>
          <w:p>
            <w:r>
              <w:rPr>
                <w:b/>
                <w:color w:val="1B3A63"/>
                <w:sz w:val="18"/>
              </w:rPr>
              <w:t>incidents</w:t>
            </w:r>
          </w:p>
        </w:tc>
        <w:tc>
          <w:tcPr>
            <w:tcW w:type="dxa" w:w="6336"/>
            <w:tcMar>
              <w:top w:w="60" w:type="dxa"/>
              <w:bottom w:w="60" w:type="dxa"/>
              <w:start w:w="110" w:type="dxa"/>
              <w:end w:w="110" w:type="dxa"/>
            </w:tcMar>
          </w:tcPr>
          <w:p>
            <w:r>
              <w:rPr>
                <w:sz w:val="18"/>
              </w:rPr>
              <w:t>Incidents scrapés dans la presse : type, sévérité, lieu géocodé, tronçon, fiabilité de la source.</w:t>
            </w:r>
          </w:p>
        </w:tc>
      </w:tr>
      <w:tr>
        <w:tc>
          <w:tcPr>
            <w:tcW w:type="dxa" w:w="2736"/>
            <w:tcMar>
              <w:top w:w="60" w:type="dxa"/>
              <w:bottom w:w="60" w:type="dxa"/>
              <w:start w:w="110" w:type="dxa"/>
              <w:end w:w="110" w:type="dxa"/>
            </w:tcMar>
            <w:shd w:val="clear" w:color="auto" w:fill="F4F7FB"/>
          </w:tcPr>
          <w:p>
            <w:r>
              <w:rPr>
                <w:b/>
                <w:color w:val="1B3A63"/>
                <w:sz w:val="18"/>
              </w:rPr>
              <w:t>sous_troncons (tronçons codifiés)</w:t>
            </w:r>
          </w:p>
        </w:tc>
        <w:tc>
          <w:tcPr>
            <w:tcW w:type="dxa" w:w="6336"/>
            <w:tcMar>
              <w:top w:w="60" w:type="dxa"/>
              <w:bottom w:w="60" w:type="dxa"/>
              <w:start w:w="110" w:type="dxa"/>
              <w:end w:w="110" w:type="dxa"/>
            </w:tcMar>
            <w:shd w:val="clear" w:color="auto" w:fill="F4F7FB"/>
          </w:tcPr>
          <w:p>
            <w:r>
              <w:rPr>
                <w:sz w:val="18"/>
              </w:rPr>
              <w:t>Subdivisions codifiées T1A, T1B… d’un axe parent (précision fine de la congestion).</w:t>
            </w:r>
          </w:p>
        </w:tc>
      </w:tr>
      <w:tr>
        <w:tc>
          <w:tcPr>
            <w:tcW w:type="dxa" w:w="2736"/>
            <w:tcMar>
              <w:top w:w="60" w:type="dxa"/>
              <w:bottom w:w="60" w:type="dxa"/>
              <w:start w:w="110" w:type="dxa"/>
              <w:end w:w="110" w:type="dxa"/>
            </w:tcMar>
          </w:tcPr>
          <w:p>
            <w:r>
              <w:rPr>
                <w:b/>
                <w:color w:val="1B3A63"/>
                <w:sz w:val="18"/>
              </w:rPr>
              <w:t>sources_incidents / types_incidents</w:t>
            </w:r>
          </w:p>
        </w:tc>
        <w:tc>
          <w:tcPr>
            <w:tcW w:type="dxa" w:w="6336"/>
            <w:tcMar>
              <w:top w:w="60" w:type="dxa"/>
              <w:bottom w:w="60" w:type="dxa"/>
              <w:start w:w="110" w:type="dxa"/>
              <w:end w:w="110" w:type="dxa"/>
            </w:tcMar>
          </w:tcPr>
          <w:p>
            <w:r>
              <w:rPr>
                <w:sz w:val="18"/>
              </w:rPr>
              <w:t>Sources de scraping et types d’incidents configurables sans redéploiement.</w:t>
            </w:r>
          </w:p>
        </w:tc>
      </w:tr>
    </w:tbl>
    <w:p>
      <w:pPr>
        <w:spacing w:after="40"/>
      </w:pPr>
    </w:p>
    <w:tbl>
      <w:tblPr>
        <w:tblStyle w:val="TableGrid"/>
        <w:tblW w:type="auto" w:w="0"/>
        <w:jc w:val="center"/>
        <w:tblLook w:firstColumn="1" w:firstRow="1" w:lastColumn="0" w:lastRow="0" w:noHBand="0" w:noVBand="1" w:val="04A0"/>
      </w:tblPr>
      <w:tblGrid>
        <w:gridCol w:w="9746"/>
      </w:tblGrid>
      <w:tr>
        <w:tc>
          <w:tcPr>
            <w:tcW w:type="dxa" w:w="9072"/>
            <w:shd w:val="clear" w:color="auto" w:fill="EAF0F7"/>
            <w:tcMar>
              <w:top w:w="110" w:type="dxa"/>
              <w:bottom w:w="110" w:type="dxa"/>
              <w:start w:w="150" w:type="dxa"/>
              <w:end w:w="150" w:type="dxa"/>
            </w:tcMar>
          </w:tcPr>
          <w:p>
            <w:r>
              <w:rPr>
                <w:b/>
                <w:color w:val="1E5F9E"/>
                <w:sz w:val="20"/>
              </w:rPr>
              <w:t>La règle d’or des données</w:t>
            </w:r>
          </w:p>
          <w:p>
            <w:r>
              <w:rPr>
                <w:sz w:val="20"/>
              </w:rPr>
              <w:t>On ne mélange jamais les mesures historiques importées (campagne terrain février 2025) avec les mesures Google temps réel dans un même calcul instantané. Les données historiques alimentent uniquement le prédicteur et les comparaisons pluriannuelles.</w:t>
            </w:r>
          </w:p>
        </w:tc>
      </w:tr>
    </w:tbl>
    <w:p>
      <w:pPr>
        <w:spacing w:after="40"/>
      </w:pPr>
    </w:p>
    <w:p>
      <w:r>
        <w:br w:type="page"/>
      </w:r>
    </w:p>
    <w:p>
      <w:pPr>
        <w:pStyle w:val="Heading1"/>
      </w:pPr>
      <w:r>
        <w:t>7. Panorama fonctionnel — les pages de l’application</w:t>
      </w:r>
    </w:p>
    <w:p>
      <w:pPr>
        <w:spacing w:before="0" w:after="120"/>
      </w:pPr>
      <w:r>
        <w:rPr>
          <w:b w:val="0"/>
          <w:i w:val="0"/>
          <w:sz w:val="21"/>
        </w:rPr>
        <w:t>Cette section présente chaque page de l’application avec son rôle opérationnel. Les emplacements de captures d’écran sont réservés pour illustrer l’interface réelle.</w:t>
      </w:r>
    </w:p>
    <w:p>
      <w:pPr>
        <w:pStyle w:val="Heading2"/>
      </w:pPr>
      <w:r>
        <w:t>7.1 Écran d’accès et démarrage</w:t>
      </w:r>
    </w:p>
    <w:p>
      <w:pPr>
        <w:spacing w:before="0" w:after="120"/>
      </w:pPr>
      <w:r>
        <w:rPr>
          <w:b w:val="0"/>
          <w:i w:val="0"/>
          <w:sz w:val="21"/>
        </w:rPr>
        <w:t>Avant l’accès, un portail demande un mot de passe selon deux niveaux (lecture seule ou lecture/écriture). Suit un écran de démarrage HACKATONIA (effet « laser printing » bleu ciel), puis l’arrivée sur la carte principale. Le portail affiche le logo PAA à gauche, la carte de connexion au centre et « HACKATONIA » à droite.</w:t>
      </w:r>
    </w:p>
    <w:tbl>
      <w:tblPr>
        <w:tblStyle w:val="TableGrid"/>
        <w:tblW w:type="auto" w:w="0"/>
        <w:jc w:val="center"/>
        <w:tblLook w:firstColumn="1" w:firstRow="1" w:lastColumn="0" w:lastRow="0" w:noHBand="0" w:noVBand="1" w:val="04A0"/>
      </w:tblPr>
      <w:tblGrid>
        <w:gridCol w:w="9746"/>
      </w:tblGrid>
      <w:tr>
        <w:tc>
          <w:tcPr>
            <w:tcW w:type="dxa" w:w="9072"/>
            <w:shd w:val="clear" w:color="auto" w:fill="E6EBF2"/>
            <w:tcMar>
              <w:top w:w="260" w:type="dxa"/>
              <w:bottom w:w="260" w:type="dxa"/>
              <w:start w:w="160" w:type="dxa"/>
              <w:end w:w="160" w:type="dxa"/>
            </w:tcMar>
          </w:tcPr>
          <w:p>
            <w:pPr>
              <w:jc w:val="center"/>
            </w:pPr>
            <w:r>
              <w:rPr>
                <w:b/>
                <w:color w:val="1B3A63"/>
                <w:sz w:val="20"/>
              </w:rPr>
              <w:t>▢  EMPLACEMENT CAPTURE D’ÉCRAN</w:t>
            </w:r>
          </w:p>
          <w:p>
            <w:pPr>
              <w:jc w:val="center"/>
            </w:pPr>
            <w:r>
              <w:rPr>
                <w:i/>
                <w:color w:val="505050"/>
                <w:sz w:val="19"/>
              </w:rPr>
              <w:t>Portail d’accès + écran de démarrage HACKATONIA</w:t>
            </w:r>
          </w:p>
        </w:tc>
      </w:tr>
    </w:tbl>
    <w:p>
      <w:pPr>
        <w:spacing w:after="40"/>
      </w:pPr>
    </w:p>
    <w:p>
      <w:pPr>
        <w:pStyle w:val="Heading2"/>
      </w:pPr>
      <w:r>
        <w:t>7.2 Page Accueil — Carte temps réel</w:t>
      </w:r>
    </w:p>
    <w:p>
      <w:pPr>
        <w:spacing w:before="0" w:after="120"/>
      </w:pPr>
      <w:r>
        <w:rPr>
          <w:b w:val="0"/>
          <w:i w:val="0"/>
          <w:sz w:val="21"/>
        </w:rPr>
        <w:t>Page centrale. Les 6 tronçons sont colorés (vert = fluide, rouge = congestionné, gris = indéterminé). La carte zoome automatiquement sur le point chaud au chargement, affiche 4 marqueurs POI (C, T, S, P), un overlay des incidents actifs et un toggle satellite / plan. Le panneau latéral liste les tronçons du plus dégradé au plus fluide avec une barre couleur à 3 segments et le temps de traversée actuel.</w:t>
      </w:r>
    </w:p>
    <w:tbl>
      <w:tblPr>
        <w:tblStyle w:val="TableGrid"/>
        <w:tblW w:type="auto" w:w="0"/>
        <w:jc w:val="center"/>
        <w:tblLook w:firstColumn="1" w:firstRow="1" w:lastColumn="0" w:lastRow="0" w:noHBand="0" w:noVBand="1" w:val="04A0"/>
      </w:tblPr>
      <w:tblGrid>
        <w:gridCol w:w="9746"/>
      </w:tblGrid>
      <w:tr>
        <w:tc>
          <w:tcPr>
            <w:tcW w:type="dxa" w:w="9072"/>
            <w:shd w:val="clear" w:color="auto" w:fill="E6EBF2"/>
            <w:tcMar>
              <w:top w:w="260" w:type="dxa"/>
              <w:bottom w:w="260" w:type="dxa"/>
              <w:start w:w="160" w:type="dxa"/>
              <w:end w:w="160" w:type="dxa"/>
            </w:tcMar>
          </w:tcPr>
          <w:p>
            <w:pPr>
              <w:jc w:val="center"/>
            </w:pPr>
            <w:r>
              <w:rPr>
                <w:b/>
                <w:color w:val="1B3A63"/>
                <w:sz w:val="20"/>
              </w:rPr>
              <w:t>▢  EMPLACEMENT CAPTURE D’ÉCRAN</w:t>
            </w:r>
          </w:p>
          <w:p>
            <w:pPr>
              <w:jc w:val="center"/>
            </w:pPr>
            <w:r>
              <w:rPr>
                <w:i/>
                <w:color w:val="505050"/>
                <w:sz w:val="19"/>
              </w:rPr>
              <w:t>Page Accueil — carte + panneau latéral (bandeau KPI, point chaud, liste des tronçons)</w:t>
            </w:r>
          </w:p>
        </w:tc>
      </w:tr>
    </w:tbl>
    <w:p>
      <w:pPr>
        <w:spacing w:after="40"/>
      </w:pPr>
    </w:p>
    <w:p>
      <w:pPr>
        <w:pStyle w:val="Heading2"/>
      </w:pPr>
      <w:r>
        <w:t>7.3 Page Indicateurs</w:t>
      </w:r>
    </w:p>
    <w:p>
      <w:pPr>
        <w:spacing w:before="0" w:after="120"/>
      </w:pPr>
      <w:r>
        <w:rPr>
          <w:b w:val="0"/>
          <w:i w:val="0"/>
          <w:sz w:val="21"/>
        </w:rPr>
        <w:t>Analyse statistique sur une période choisie (24 h / 7 j / 30 j / 90 j / 6 mois / 1 an). KPI affichés : temps moyen, minimum, maximum, taux de congestion, % rouge et orange moyens, nombre de mesures. Graphiques : courbe de la journée, évolution pluriannuelle dynamique. Exports « Tout CSV » / « Tout Excel ».</w:t>
      </w:r>
    </w:p>
    <w:tbl>
      <w:tblPr>
        <w:tblStyle w:val="TableGrid"/>
        <w:tblW w:type="auto" w:w="0"/>
        <w:jc w:val="center"/>
        <w:tblLook w:firstColumn="1" w:firstRow="1" w:lastColumn="0" w:lastRow="0" w:noHBand="0" w:noVBand="1" w:val="04A0"/>
      </w:tblPr>
      <w:tblGrid>
        <w:gridCol w:w="9746"/>
      </w:tblGrid>
      <w:tr>
        <w:tc>
          <w:tcPr>
            <w:tcW w:type="dxa" w:w="9072"/>
            <w:shd w:val="clear" w:color="auto" w:fill="E6EBF2"/>
            <w:tcMar>
              <w:top w:w="260" w:type="dxa"/>
              <w:bottom w:w="260" w:type="dxa"/>
              <w:start w:w="160" w:type="dxa"/>
              <w:end w:w="160" w:type="dxa"/>
            </w:tcMar>
          </w:tcPr>
          <w:p>
            <w:pPr>
              <w:jc w:val="center"/>
            </w:pPr>
            <w:r>
              <w:rPr>
                <w:b/>
                <w:color w:val="1B3A63"/>
                <w:sz w:val="20"/>
              </w:rPr>
              <w:t>▢  EMPLACEMENT CAPTURE D’ÉCRAN</w:t>
            </w:r>
          </w:p>
          <w:p>
            <w:pPr>
              <w:jc w:val="center"/>
            </w:pPr>
            <w:r>
              <w:rPr>
                <w:i/>
                <w:color w:val="505050"/>
                <w:sz w:val="19"/>
              </w:rPr>
              <w:t>Page Indicateurs — KPI + courbe + évolution pluriannuelle</w:t>
            </w:r>
          </w:p>
        </w:tc>
      </w:tr>
    </w:tbl>
    <w:p>
      <w:pPr>
        <w:spacing w:after="40"/>
      </w:pPr>
    </w:p>
    <w:p>
      <w:pPr>
        <w:pStyle w:val="Heading2"/>
      </w:pPr>
      <w:r>
        <w:t>7.4 Page Rapport DEESP</w:t>
      </w:r>
    </w:p>
    <w:p>
      <w:pPr>
        <w:spacing w:before="0" w:after="120"/>
      </w:pPr>
      <w:r>
        <w:rPr>
          <w:b w:val="0"/>
          <w:i w:val="0"/>
          <w:sz w:val="21"/>
        </w:rPr>
        <w:t>Reproduction fidèle du rapport officiel : Tableau 1 (temps théorique 50 km/h), Tableaux 3-15 (min / moyen / max par axe et sens, jours ouvrables et week-ends), Tableau 16 (zones congestionnées, téléchargeable en PDF), Tableau 17 (matrice de congestion heure × tronçon), Tableau 19 (évolution pluriannuelle), matrice des temps de traversée et 12 graphiques en barres au format DEESP.</w:t>
      </w:r>
    </w:p>
    <w:tbl>
      <w:tblPr>
        <w:tblStyle w:val="TableGrid"/>
        <w:tblW w:type="auto" w:w="0"/>
        <w:jc w:val="center"/>
        <w:tblLook w:firstColumn="1" w:firstRow="1" w:lastColumn="0" w:lastRow="0" w:noHBand="0" w:noVBand="1" w:val="04A0"/>
      </w:tblPr>
      <w:tblGrid>
        <w:gridCol w:w="9746"/>
      </w:tblGrid>
      <w:tr>
        <w:tc>
          <w:tcPr>
            <w:tcW w:type="dxa" w:w="9072"/>
            <w:shd w:val="clear" w:color="auto" w:fill="E6EBF2"/>
            <w:tcMar>
              <w:top w:w="260" w:type="dxa"/>
              <w:bottom w:w="260" w:type="dxa"/>
              <w:start w:w="160" w:type="dxa"/>
              <w:end w:w="160" w:type="dxa"/>
            </w:tcMar>
          </w:tcPr>
          <w:p>
            <w:pPr>
              <w:jc w:val="center"/>
            </w:pPr>
            <w:r>
              <w:rPr>
                <w:b/>
                <w:color w:val="1B3A63"/>
                <w:sz w:val="20"/>
              </w:rPr>
              <w:t>▢  EMPLACEMENT CAPTURE D’ÉCRAN</w:t>
            </w:r>
          </w:p>
          <w:p>
            <w:pPr>
              <w:jc w:val="center"/>
            </w:pPr>
            <w:r>
              <w:rPr>
                <w:i/>
                <w:color w:val="505050"/>
                <w:sz w:val="19"/>
              </w:rPr>
              <w:t>Page Rapport DEESP — tableaux officiels + matrice de congestion</w:t>
            </w:r>
          </w:p>
        </w:tc>
      </w:tr>
    </w:tbl>
    <w:p>
      <w:pPr>
        <w:spacing w:after="40"/>
      </w:pPr>
    </w:p>
    <w:p>
      <w:pPr>
        <w:pStyle w:val="Heading2"/>
      </w:pPr>
      <w:r>
        <w:t>7.5 Page Temps de traversée par période</w:t>
      </w:r>
    </w:p>
    <w:p>
      <w:pPr>
        <w:spacing w:before="0" w:after="120"/>
      </w:pPr>
      <w:r>
        <w:rPr>
          <w:b w:val="0"/>
          <w:i w:val="0"/>
          <w:sz w:val="21"/>
        </w:rPr>
        <w:t>Confrontation entre les données Google Maps (temps actuel, ce mois, cette semaine, séparés jours ouvrables / week-ends) et les mesures terrain GPX, avec un bandeau d’écart calculé automatiquement (Google sous-estime / surestime).</w:t>
      </w:r>
    </w:p>
    <w:tbl>
      <w:tblPr>
        <w:tblStyle w:val="TableGrid"/>
        <w:tblW w:type="auto" w:w="0"/>
        <w:jc w:val="center"/>
        <w:tblLook w:firstColumn="1" w:firstRow="1" w:lastColumn="0" w:lastRow="0" w:noHBand="0" w:noVBand="1" w:val="04A0"/>
      </w:tblPr>
      <w:tblGrid>
        <w:gridCol w:w="9746"/>
      </w:tblGrid>
      <w:tr>
        <w:tc>
          <w:tcPr>
            <w:tcW w:type="dxa" w:w="9072"/>
            <w:shd w:val="clear" w:color="auto" w:fill="E6EBF2"/>
            <w:tcMar>
              <w:top w:w="260" w:type="dxa"/>
              <w:bottom w:w="260" w:type="dxa"/>
              <w:start w:w="160" w:type="dxa"/>
              <w:end w:w="160" w:type="dxa"/>
            </w:tcMar>
          </w:tcPr>
          <w:p>
            <w:pPr>
              <w:jc w:val="center"/>
            </w:pPr>
            <w:r>
              <w:rPr>
                <w:b/>
                <w:color w:val="1B3A63"/>
                <w:sz w:val="20"/>
              </w:rPr>
              <w:t>▢  EMPLACEMENT CAPTURE D’ÉCRAN</w:t>
            </w:r>
          </w:p>
          <w:p>
            <w:pPr>
              <w:jc w:val="center"/>
            </w:pPr>
            <w:r>
              <w:rPr>
                <w:i/>
                <w:color w:val="505050"/>
                <w:sz w:val="19"/>
              </w:rPr>
              <w:t>Page Temps de traversée — Google Maps vs terrain GPX + bandeau d’écart</w:t>
            </w:r>
          </w:p>
        </w:tc>
      </w:tr>
    </w:tbl>
    <w:p>
      <w:pPr>
        <w:spacing w:after="40"/>
      </w:pPr>
    </w:p>
    <w:p>
      <w:pPr>
        <w:pStyle w:val="Heading2"/>
      </w:pPr>
      <w:r>
        <w:t>7.6 Page Heure optimale de départ</w:t>
      </w:r>
    </w:p>
    <w:p>
      <w:pPr>
        <w:spacing w:before="0" w:after="120"/>
      </w:pPr>
      <w:r>
        <w:rPr>
          <w:b w:val="0"/>
          <w:i w:val="0"/>
          <w:sz w:val="21"/>
        </w:rPr>
        <w:t>Recommandations des créneaux horaires les plus rapides par tronçon et type de jour (top 3 des fenêtres), plus un tableau de tous les créneaux avec min / moyen / max / nombre de mesures.</w:t>
      </w:r>
    </w:p>
    <w:tbl>
      <w:tblPr>
        <w:tblStyle w:val="TableGrid"/>
        <w:tblW w:type="auto" w:w="0"/>
        <w:jc w:val="center"/>
        <w:tblLook w:firstColumn="1" w:firstRow="1" w:lastColumn="0" w:lastRow="0" w:noHBand="0" w:noVBand="1" w:val="04A0"/>
      </w:tblPr>
      <w:tblGrid>
        <w:gridCol w:w="9746"/>
      </w:tblGrid>
      <w:tr>
        <w:tc>
          <w:tcPr>
            <w:tcW w:type="dxa" w:w="9072"/>
            <w:shd w:val="clear" w:color="auto" w:fill="E6EBF2"/>
            <w:tcMar>
              <w:top w:w="260" w:type="dxa"/>
              <w:bottom w:w="260" w:type="dxa"/>
              <w:start w:w="160" w:type="dxa"/>
              <w:end w:w="160" w:type="dxa"/>
            </w:tcMar>
          </w:tcPr>
          <w:p>
            <w:pPr>
              <w:jc w:val="center"/>
            </w:pPr>
            <w:r>
              <w:rPr>
                <w:b/>
                <w:color w:val="1B3A63"/>
                <w:sz w:val="20"/>
              </w:rPr>
              <w:t>▢  EMPLACEMENT CAPTURE D’ÉCRAN</w:t>
            </w:r>
          </w:p>
          <w:p>
            <w:pPr>
              <w:jc w:val="center"/>
            </w:pPr>
            <w:r>
              <w:rPr>
                <w:i/>
                <w:color w:val="505050"/>
                <w:sz w:val="19"/>
              </w:rPr>
              <w:t>Page Heure optimale — top 3 créneaux + tableau des créneaux</w:t>
            </w:r>
          </w:p>
        </w:tc>
      </w:tr>
    </w:tbl>
    <w:p>
      <w:pPr>
        <w:spacing w:after="40"/>
      </w:pPr>
    </w:p>
    <w:p>
      <w:pPr>
        <w:pStyle w:val="Heading2"/>
      </w:pPr>
      <w:r>
        <w:t>7.7 Page Incidents</w:t>
      </w:r>
    </w:p>
    <w:p>
      <w:pPr>
        <w:spacing w:before="0" w:after="120"/>
      </w:pPr>
      <w:r>
        <w:rPr>
          <w:b w:val="0"/>
          <w:i w:val="0"/>
          <w:sz w:val="21"/>
        </w:rPr>
        <w:t>Recensement automatique des incidents de circulation de la zone portuaire (scraper RSS multi-source toutes les 30 min). Carte à markers colorés par sévérité, 3 KPI, liste filtrable, export CSV, bar chart des accidents par mois, gestion des sources et des types d’incidents (mode écriture).</w:t>
      </w:r>
    </w:p>
    <w:tbl>
      <w:tblPr>
        <w:tblStyle w:val="TableGrid"/>
        <w:tblW w:type="auto" w:w="0"/>
        <w:jc w:val="center"/>
        <w:tblLook w:firstColumn="1" w:firstRow="1" w:lastColumn="0" w:lastRow="0" w:noHBand="0" w:noVBand="1" w:val="04A0"/>
      </w:tblPr>
      <w:tblGrid>
        <w:gridCol w:w="9746"/>
      </w:tblGrid>
      <w:tr>
        <w:tc>
          <w:tcPr>
            <w:tcW w:type="dxa" w:w="9072"/>
            <w:shd w:val="clear" w:color="auto" w:fill="E6EBF2"/>
            <w:tcMar>
              <w:top w:w="260" w:type="dxa"/>
              <w:bottom w:w="260" w:type="dxa"/>
              <w:start w:w="160" w:type="dxa"/>
              <w:end w:w="160" w:type="dxa"/>
            </w:tcMar>
          </w:tcPr>
          <w:p>
            <w:pPr>
              <w:jc w:val="center"/>
            </w:pPr>
            <w:r>
              <w:rPr>
                <w:b/>
                <w:color w:val="1B3A63"/>
                <w:sz w:val="20"/>
              </w:rPr>
              <w:t>▢  EMPLACEMENT CAPTURE D’ÉCRAN</w:t>
            </w:r>
          </w:p>
          <w:p>
            <w:pPr>
              <w:jc w:val="center"/>
            </w:pPr>
            <w:r>
              <w:rPr>
                <w:i/>
                <w:color w:val="505050"/>
                <w:sz w:val="19"/>
              </w:rPr>
              <w:t>Page Incidents — carte des incidents + liste chronologique filtrable</w:t>
            </w:r>
          </w:p>
        </w:tc>
      </w:tr>
    </w:tbl>
    <w:p>
      <w:pPr>
        <w:spacing w:after="40"/>
      </w:pPr>
    </w:p>
    <w:p>
      <w:pPr>
        <w:pStyle w:val="Heading2"/>
      </w:pPr>
      <w:r>
        <w:t>7.8 Page Fiabilité — validation terrain</w:t>
      </w:r>
    </w:p>
    <w:p>
      <w:pPr>
        <w:spacing w:before="0" w:after="120"/>
      </w:pPr>
      <w:r>
        <w:rPr>
          <w:b w:val="0"/>
          <w:i w:val="0"/>
          <w:sz w:val="21"/>
        </w:rPr>
        <w:t>Import de traces GPS terrain (GPX) pour valider la qualité des sources API. Carte de prévisualisation, résumé de précision progressive par tronçon, indice de confiance, évolution de l’écart terrain / API au fil des sessions.</w:t>
      </w:r>
    </w:p>
    <w:tbl>
      <w:tblPr>
        <w:tblStyle w:val="TableGrid"/>
        <w:tblW w:type="auto" w:w="0"/>
        <w:jc w:val="center"/>
        <w:tblLook w:firstColumn="1" w:firstRow="1" w:lastColumn="0" w:lastRow="0" w:noHBand="0" w:noVBand="1" w:val="04A0"/>
      </w:tblPr>
      <w:tblGrid>
        <w:gridCol w:w="9746"/>
      </w:tblGrid>
      <w:tr>
        <w:tc>
          <w:tcPr>
            <w:tcW w:type="dxa" w:w="9072"/>
            <w:shd w:val="clear" w:color="auto" w:fill="E6EBF2"/>
            <w:tcMar>
              <w:top w:w="260" w:type="dxa"/>
              <w:bottom w:w="260" w:type="dxa"/>
              <w:start w:w="160" w:type="dxa"/>
              <w:end w:w="160" w:type="dxa"/>
            </w:tcMar>
          </w:tcPr>
          <w:p>
            <w:pPr>
              <w:jc w:val="center"/>
            </w:pPr>
            <w:r>
              <w:rPr>
                <w:b/>
                <w:color w:val="1B3A63"/>
                <w:sz w:val="20"/>
              </w:rPr>
              <w:t>▢  EMPLACEMENT CAPTURE D’ÉCRAN</w:t>
            </w:r>
          </w:p>
          <w:p>
            <w:pPr>
              <w:jc w:val="center"/>
            </w:pPr>
            <w:r>
              <w:rPr>
                <w:i/>
                <w:color w:val="505050"/>
                <w:sz w:val="19"/>
              </w:rPr>
              <w:t>Page Fiabilité — import GPX + carte aperçu + tableau de calibration</w:t>
            </w:r>
          </w:p>
        </w:tc>
      </w:tr>
    </w:tbl>
    <w:p>
      <w:pPr>
        <w:spacing w:after="40"/>
      </w:pPr>
    </w:p>
    <w:p>
      <w:pPr>
        <w:pStyle w:val="Heading2"/>
      </w:pPr>
      <w:r>
        <w:t>7.9 Page Administration</w:t>
      </w:r>
    </w:p>
    <w:p>
      <w:pPr>
        <w:spacing w:before="0" w:after="120"/>
      </w:pPr>
      <w:r>
        <w:rPr>
          <w:b w:val="0"/>
          <w:i w:val="0"/>
          <w:sz w:val="21"/>
        </w:rPr>
        <w:t>Interface de gestion du référentiel géographique (visible mais sans écriture en mode lecture). Elle se compose de deux onglets qui utilisent une terminologie explicite pour distinguer les axes officiels des tronçons supplémentaires.</w:t>
      </w:r>
    </w:p>
    <w:p>
      <w:pPr>
        <w:pStyle w:val="Heading3"/>
      </w:pPr>
      <w:r>
        <w:t>7.9.1 Onglet « Axes principaux »</w:t>
      </w:r>
    </w:p>
    <w:p>
      <w:pPr>
        <w:spacing w:before="0" w:after="120"/>
      </w:pPr>
      <w:r>
        <w:rPr>
          <w:b w:val="0"/>
          <w:i w:val="0"/>
          <w:sz w:val="21"/>
        </w:rPr>
        <w:t>Création d’un axe par placement interactif des points de départ et d’arrivée sur la carte, sans redéploiement. En bas de l’onglet, un tableau « Tous les axes et tronçons » liste l’ensemble des parcours existants avec une colonne Catégorie qui affiche un badge « AXE » pour les axes officiels DEESP (est_axe = true) et « Tronçon » pour les tronçons supplémentaires (est_axe = false). Une action Archiver assure la suppression logique — l’historique de mesure est toujours préservé.</w:t>
      </w:r>
    </w:p>
    <w:p>
      <w:pPr>
        <w:pStyle w:val="Heading3"/>
      </w:pPr>
      <w:r>
        <w:t>7.9.2 Onglet « Tronçons codifiés »</w:t>
      </w:r>
    </w:p>
    <w:p>
      <w:pPr>
        <w:spacing w:before="0" w:after="120"/>
      </w:pPr>
      <w:r>
        <w:rPr>
          <w:b w:val="0"/>
          <w:i w:val="0"/>
          <w:sz w:val="21"/>
        </w:rPr>
        <w:t>Cet onglet remplace l’ancienne appellation « Sous-tronçons codifiés ». Il permet de subdiviser un axe parent en tronçons codifiés selon la convention DEESP (T1A, T1B, T1C…). L’onglet est structuré ainsi :</w:t>
      </w:r>
    </w:p>
    <w:p>
      <w:pPr>
        <w:pStyle w:val="ListBullet"/>
        <w:spacing w:after="60"/>
      </w:pPr>
      <w:r>
        <w:rPr>
          <w:sz w:val="21"/>
        </w:rPr>
        <w:t>un sélecteur « Axe parent » séparé en deux groupes distincts : « ── Axes officiels DEESP ── » et « ── Tronçons supplémentaires ── » (optgroup HTML), pour lever toute ambiguïté sur la nature du parcours choisi ;</w:t>
      </w:r>
    </w:p>
    <w:p>
      <w:pPr>
        <w:pStyle w:val="ListBullet"/>
        <w:spacing w:after="60"/>
      </w:pPr>
      <w:r>
        <w:rPr>
          <w:sz w:val="21"/>
        </w:rPr>
        <w:t>un formulaire de création (visible en mode écriture) qui place le début et la fin du nouveau tronçon codifié sur la polyline parent, avec un code proposé automatiquement (T&lt;n&gt;A, T&lt;n&gt;B…) et un nom court ;</w:t>
      </w:r>
    </w:p>
    <w:p>
      <w:pPr>
        <w:pStyle w:val="ListBullet"/>
        <w:spacing w:after="60"/>
      </w:pPr>
      <w:r>
        <w:rPr>
          <w:sz w:val="21"/>
        </w:rPr>
        <w:t>un tableau « Tronçons existants » qui liste conjointement les tronçons codifiés de l’axe parent sélectionné ET l’ensemble des tronçons supplémentaires en base — y compris les deux derniers ajoutés — avec les colonnes Code, Nom, Distance, État (badge vert « Actif »). Cette vue combinée offre à l’administrateur un panorama complet des parcours mesurés dans et autour de la zone.</w:t>
      </w:r>
    </w:p>
    <w:tbl>
      <w:tblPr>
        <w:tblStyle w:val="TableGrid"/>
        <w:tblW w:type="auto" w:w="0"/>
        <w:jc w:val="center"/>
        <w:tblLook w:firstColumn="1" w:firstRow="1" w:lastColumn="0" w:lastRow="0" w:noHBand="0" w:noVBand="1" w:val="04A0"/>
      </w:tblPr>
      <w:tblGrid>
        <w:gridCol w:w="9746"/>
      </w:tblGrid>
      <w:tr>
        <w:tc>
          <w:tcPr>
            <w:tcW w:type="dxa" w:w="9072"/>
            <w:shd w:val="clear" w:color="auto" w:fill="EAF0F7"/>
            <w:tcMar>
              <w:top w:w="110" w:type="dxa"/>
              <w:bottom w:w="110" w:type="dxa"/>
              <w:start w:w="150" w:type="dxa"/>
              <w:end w:w="150" w:type="dxa"/>
            </w:tcMar>
          </w:tcPr>
          <w:p>
            <w:r>
              <w:rPr>
                <w:b/>
                <w:color w:val="1E5F9E"/>
                <w:sz w:val="20"/>
              </w:rPr>
              <w:t>Adoption automatique — sans redéploiement</w:t>
            </w:r>
          </w:p>
          <w:p>
            <w:r>
              <w:rPr>
                <w:sz w:val="20"/>
              </w:rPr>
              <w:t>Tout ajout d’un axe ou d’un tronçon codifié est immédiatement pris en compte par toute la chaîne — collecte Google, carte temps réel, indicateurs, rapport DEESP, calibration terrain — sans intervention technique ni redémarrage. L’endpoint de création chiffre même en direct l’impact sur le quota Google.</w:t>
            </w:r>
          </w:p>
        </w:tc>
      </w:tr>
    </w:tbl>
    <w:p>
      <w:pPr>
        <w:spacing w:after="40"/>
      </w:pPr>
    </w:p>
    <w:tbl>
      <w:tblPr>
        <w:tblStyle w:val="TableGrid"/>
        <w:tblW w:type="auto" w:w="0"/>
        <w:jc w:val="center"/>
        <w:tblLook w:firstColumn="1" w:firstRow="1" w:lastColumn="0" w:lastRow="0" w:noHBand="0" w:noVBand="1" w:val="04A0"/>
      </w:tblPr>
      <w:tblGrid>
        <w:gridCol w:w="9746"/>
      </w:tblGrid>
      <w:tr>
        <w:tc>
          <w:tcPr>
            <w:tcW w:type="dxa" w:w="9072"/>
            <w:shd w:val="clear" w:color="auto" w:fill="E6EBF2"/>
            <w:tcMar>
              <w:top w:w="260" w:type="dxa"/>
              <w:bottom w:w="260" w:type="dxa"/>
              <w:start w:w="160" w:type="dxa"/>
              <w:end w:w="160" w:type="dxa"/>
            </w:tcMar>
          </w:tcPr>
          <w:p>
            <w:pPr>
              <w:jc w:val="center"/>
            </w:pPr>
            <w:r>
              <w:rPr>
                <w:b/>
                <w:color w:val="1B3A63"/>
                <w:sz w:val="20"/>
              </w:rPr>
              <w:t>▢  EMPLACEMENT CAPTURE D’ÉCRAN</w:t>
            </w:r>
          </w:p>
          <w:p>
            <w:pPr>
              <w:jc w:val="center"/>
            </w:pPr>
            <w:r>
              <w:rPr>
                <w:i/>
                <w:color w:val="505050"/>
                <w:sz w:val="19"/>
              </w:rPr>
              <w:t>Page Administration — onglet « Tronçons codifiés » : sélecteur Axe parent (Axes DEESP / Tronçons supplémentaires) + tableau « Tronçons existants »</w:t>
            </w:r>
          </w:p>
        </w:tc>
      </w:tr>
    </w:tbl>
    <w:p>
      <w:pPr>
        <w:spacing w:after="40"/>
      </w:pPr>
    </w:p>
    <w:p>
      <w:r>
        <w:br w:type="page"/>
      </w:r>
    </w:p>
    <w:p>
      <w:pPr>
        <w:pStyle w:val="Heading1"/>
      </w:pPr>
      <w:r>
        <w:t>8. Fonctionnalités transversales</w:t>
      </w:r>
    </w:p>
    <w:tbl>
      <w:tblPr>
        <w:tblStyle w:val="TableGrid"/>
        <w:tblW w:type="auto" w:w="0"/>
        <w:jc w:val="center"/>
        <w:tblLook w:firstColumn="1" w:firstRow="1" w:lastColumn="0" w:lastRow="0" w:noHBand="0" w:noVBand="1" w:val="04A0"/>
      </w:tblPr>
      <w:tblGrid>
        <w:gridCol w:w="4873"/>
        <w:gridCol w:w="4873"/>
      </w:tblGrid>
      <w:tr>
        <w:tc>
          <w:tcPr>
            <w:tcW w:type="dxa" w:w="2736"/>
            <w:shd w:val="clear" w:color="auto" w:fill="0F2240"/>
            <w:tcMar>
              <w:top w:w="60" w:type="dxa"/>
              <w:bottom w:w="60" w:type="dxa"/>
              <w:start w:w="110" w:type="dxa"/>
              <w:end w:w="110" w:type="dxa"/>
            </w:tcMar>
          </w:tcPr>
          <w:p>
            <w:pPr>
              <w:jc w:val="left"/>
            </w:pPr>
            <w:r>
              <w:rPr>
                <w:b/>
                <w:color w:val="FFFFFF"/>
                <w:sz w:val="19"/>
              </w:rPr>
              <w:t>Fonctionnalité</w:t>
            </w:r>
          </w:p>
        </w:tc>
        <w:tc>
          <w:tcPr>
            <w:tcW w:type="dxa" w:w="6336"/>
            <w:shd w:val="clear" w:color="auto" w:fill="0F2240"/>
            <w:tcMar>
              <w:top w:w="60" w:type="dxa"/>
              <w:bottom w:w="60" w:type="dxa"/>
              <w:start w:w="110" w:type="dxa"/>
              <w:end w:w="110" w:type="dxa"/>
            </w:tcMar>
          </w:tcPr>
          <w:p>
            <w:pPr>
              <w:jc w:val="left"/>
            </w:pPr>
            <w:r>
              <w:rPr>
                <w:b/>
                <w:color w:val="FFFFFF"/>
                <w:sz w:val="19"/>
              </w:rPr>
              <w:t>Description</w:t>
            </w:r>
          </w:p>
        </w:tc>
      </w:tr>
      <w:tr>
        <w:tc>
          <w:tcPr>
            <w:tcW w:type="dxa" w:w="2736"/>
            <w:tcMar>
              <w:top w:w="60" w:type="dxa"/>
              <w:bottom w:w="60" w:type="dxa"/>
              <w:start w:w="110" w:type="dxa"/>
              <w:end w:w="110" w:type="dxa"/>
            </w:tcMar>
          </w:tcPr>
          <w:p>
            <w:r>
              <w:rPr>
                <w:b/>
                <w:color w:val="1B3A63"/>
                <w:sz w:val="18"/>
              </w:rPr>
              <w:t>Authentification 2 niveaux</w:t>
            </w:r>
          </w:p>
        </w:tc>
        <w:tc>
          <w:tcPr>
            <w:tcW w:type="dxa" w:w="6336"/>
            <w:tcMar>
              <w:top w:w="60" w:type="dxa"/>
              <w:bottom w:w="60" w:type="dxa"/>
              <w:start w:w="110" w:type="dxa"/>
              <w:end w:w="110" w:type="dxa"/>
            </w:tcMar>
          </w:tcPr>
          <w:p>
            <w:r>
              <w:rPr>
                <w:sz w:val="18"/>
              </w:rPr>
              <w:t>Portail mot de passe : lecture seule vs lecture/écriture. Les boutons d’écriture sont masqués en mode lecture.</w:t>
            </w:r>
          </w:p>
        </w:tc>
      </w:tr>
      <w:tr>
        <w:tc>
          <w:tcPr>
            <w:tcW w:type="dxa" w:w="2736"/>
            <w:tcMar>
              <w:top w:w="60" w:type="dxa"/>
              <w:bottom w:w="60" w:type="dxa"/>
              <w:start w:w="110" w:type="dxa"/>
              <w:end w:w="110" w:type="dxa"/>
            </w:tcMar>
            <w:shd w:val="clear" w:color="auto" w:fill="F4F7FB"/>
          </w:tcPr>
          <w:p>
            <w:r>
              <w:rPr>
                <w:b/>
                <w:color w:val="1B3A63"/>
                <w:sz w:val="18"/>
              </w:rPr>
              <w:t>Bilingue FR / EN</w:t>
            </w:r>
          </w:p>
        </w:tc>
        <w:tc>
          <w:tcPr>
            <w:tcW w:type="dxa" w:w="6336"/>
            <w:tcMar>
              <w:top w:w="60" w:type="dxa"/>
              <w:bottom w:w="60" w:type="dxa"/>
              <w:start w:w="110" w:type="dxa"/>
              <w:end w:w="110" w:type="dxa"/>
            </w:tcMar>
            <w:shd w:val="clear" w:color="auto" w:fill="F4F7FB"/>
          </w:tcPr>
          <w:p>
            <w:r>
              <w:rPr>
                <w:sz w:val="18"/>
              </w:rPr>
              <w:t>Permutation instantanée de langue sans rechargement, persistée localement.</w:t>
            </w:r>
          </w:p>
        </w:tc>
      </w:tr>
      <w:tr>
        <w:tc>
          <w:tcPr>
            <w:tcW w:type="dxa" w:w="2736"/>
            <w:tcMar>
              <w:top w:w="60" w:type="dxa"/>
              <w:bottom w:w="60" w:type="dxa"/>
              <w:start w:w="110" w:type="dxa"/>
              <w:end w:w="110" w:type="dxa"/>
            </w:tcMar>
          </w:tcPr>
          <w:p>
            <w:r>
              <w:rPr>
                <w:b/>
                <w:color w:val="1B3A63"/>
                <w:sz w:val="18"/>
              </w:rPr>
              <w:t>Thème clair / sombre</w:t>
            </w:r>
          </w:p>
        </w:tc>
        <w:tc>
          <w:tcPr>
            <w:tcW w:type="dxa" w:w="6336"/>
            <w:tcMar>
              <w:top w:w="60" w:type="dxa"/>
              <w:bottom w:w="60" w:type="dxa"/>
              <w:start w:w="110" w:type="dxa"/>
              <w:end w:w="110" w:type="dxa"/>
            </w:tcMar>
          </w:tcPr>
          <w:p>
            <w:r>
              <w:rPr>
                <w:sz w:val="18"/>
              </w:rPr>
              <w:t>Sélectionnable, persistant ; les cartes s’adaptent.</w:t>
            </w:r>
          </w:p>
        </w:tc>
      </w:tr>
      <w:tr>
        <w:tc>
          <w:tcPr>
            <w:tcW w:type="dxa" w:w="2736"/>
            <w:tcMar>
              <w:top w:w="60" w:type="dxa"/>
              <w:bottom w:w="60" w:type="dxa"/>
              <w:start w:w="110" w:type="dxa"/>
              <w:end w:w="110" w:type="dxa"/>
            </w:tcMar>
            <w:shd w:val="clear" w:color="auto" w:fill="F4F7FB"/>
          </w:tcPr>
          <w:p>
            <w:r>
              <w:rPr>
                <w:b/>
                <w:color w:val="1B3A63"/>
                <w:sz w:val="18"/>
              </w:rPr>
              <w:t>100 % responsive</w:t>
            </w:r>
          </w:p>
        </w:tc>
        <w:tc>
          <w:tcPr>
            <w:tcW w:type="dxa" w:w="6336"/>
            <w:tcMar>
              <w:top w:w="60" w:type="dxa"/>
              <w:bottom w:w="60" w:type="dxa"/>
              <w:start w:w="110" w:type="dxa"/>
              <w:end w:w="110" w:type="dxa"/>
            </w:tcMar>
            <w:shd w:val="clear" w:color="auto" w:fill="F4F7FB"/>
          </w:tcPr>
          <w:p>
            <w:r>
              <w:rPr>
                <w:sz w:val="18"/>
              </w:rPr>
              <w:t>3 breakpoints (375 / 768 / 1024 px) ; drawer mobile sur écran étroit.</w:t>
            </w:r>
          </w:p>
        </w:tc>
      </w:tr>
      <w:tr>
        <w:tc>
          <w:tcPr>
            <w:tcW w:type="dxa" w:w="2736"/>
            <w:tcMar>
              <w:top w:w="60" w:type="dxa"/>
              <w:bottom w:w="60" w:type="dxa"/>
              <w:start w:w="110" w:type="dxa"/>
              <w:end w:w="110" w:type="dxa"/>
            </w:tcMar>
          </w:tcPr>
          <w:p>
            <w:r>
              <w:rPr>
                <w:b/>
                <w:color w:val="1B3A63"/>
                <w:sz w:val="18"/>
              </w:rPr>
              <w:t>Vue satellite</w:t>
            </w:r>
          </w:p>
        </w:tc>
        <w:tc>
          <w:tcPr>
            <w:tcW w:type="dxa" w:w="6336"/>
            <w:tcMar>
              <w:top w:w="60" w:type="dxa"/>
              <w:bottom w:w="60" w:type="dxa"/>
              <w:start w:w="110" w:type="dxa"/>
              <w:end w:w="110" w:type="dxa"/>
            </w:tcMar>
          </w:tcPr>
          <w:p>
            <w:r>
              <w:rPr>
                <w:sz w:val="18"/>
              </w:rPr>
              <w:t>Toggle Satellite / plan sur toutes les cartes (tuiles ESRI gratuites).</w:t>
            </w:r>
          </w:p>
        </w:tc>
      </w:tr>
      <w:tr>
        <w:tc>
          <w:tcPr>
            <w:tcW w:type="dxa" w:w="2736"/>
            <w:tcMar>
              <w:top w:w="60" w:type="dxa"/>
              <w:bottom w:w="60" w:type="dxa"/>
              <w:start w:w="110" w:type="dxa"/>
              <w:end w:w="110" w:type="dxa"/>
            </w:tcMar>
            <w:shd w:val="clear" w:color="auto" w:fill="F4F7FB"/>
          </w:tcPr>
          <w:p>
            <w:r>
              <w:rPr>
                <w:b/>
                <w:color w:val="1B3A63"/>
                <w:sz w:val="18"/>
              </w:rPr>
              <w:t>Chatbot guide (Claude)</w:t>
            </w:r>
          </w:p>
        </w:tc>
        <w:tc>
          <w:tcPr>
            <w:tcW w:type="dxa" w:w="6336"/>
            <w:tcMar>
              <w:top w:w="60" w:type="dxa"/>
              <w:bottom w:w="60" w:type="dxa"/>
              <w:start w:w="110" w:type="dxa"/>
              <w:end w:w="110" w:type="dxa"/>
            </w:tcMar>
            <w:shd w:val="clear" w:color="auto" w:fill="F4F7FB"/>
          </w:tcPr>
          <w:p>
            <w:r>
              <w:rPr>
                <w:sz w:val="18"/>
              </w:rPr>
              <w:t>Assistant flottant qui connaît l’application, les axes, la méthodologie DEESP ; clé API côté serveur uniquement.</w:t>
            </w:r>
          </w:p>
        </w:tc>
      </w:tr>
      <w:tr>
        <w:tc>
          <w:tcPr>
            <w:tcW w:type="dxa" w:w="2736"/>
            <w:tcMar>
              <w:top w:w="60" w:type="dxa"/>
              <w:bottom w:w="60" w:type="dxa"/>
              <w:start w:w="110" w:type="dxa"/>
              <w:end w:w="110" w:type="dxa"/>
            </w:tcMar>
          </w:tcPr>
          <w:p>
            <w:r>
              <w:rPr>
                <w:b/>
                <w:color w:val="1B3A63"/>
                <w:sz w:val="18"/>
              </w:rPr>
              <w:t>Exports</w:t>
            </w:r>
          </w:p>
        </w:tc>
        <w:tc>
          <w:tcPr>
            <w:tcW w:type="dxa" w:w="6336"/>
            <w:tcMar>
              <w:top w:w="60" w:type="dxa"/>
              <w:bottom w:w="60" w:type="dxa"/>
              <w:start w:w="110" w:type="dxa"/>
              <w:end w:w="110" w:type="dxa"/>
            </w:tcMar>
          </w:tcPr>
          <w:p>
            <w:r>
              <w:rPr>
                <w:sz w:val="18"/>
              </w:rPr>
              <w:t>CSV / Excel des mesures et des incidents ; PDF du Tableau 16.</w:t>
            </w:r>
          </w:p>
        </w:tc>
      </w:tr>
      <w:tr>
        <w:tc>
          <w:tcPr>
            <w:tcW w:type="dxa" w:w="2736"/>
            <w:tcMar>
              <w:top w:w="60" w:type="dxa"/>
              <w:bottom w:w="60" w:type="dxa"/>
              <w:start w:w="110" w:type="dxa"/>
              <w:end w:w="110" w:type="dxa"/>
            </w:tcMar>
            <w:shd w:val="clear" w:color="auto" w:fill="F4F7FB"/>
          </w:tcPr>
          <w:p>
            <w:r>
              <w:rPr>
                <w:b/>
                <w:color w:val="1B3A63"/>
                <w:sz w:val="18"/>
              </w:rPr>
              <w:t>Filtre créneau horaire global</w:t>
            </w:r>
          </w:p>
        </w:tc>
        <w:tc>
          <w:tcPr>
            <w:tcW w:type="dxa" w:w="6336"/>
            <w:tcMar>
              <w:top w:w="60" w:type="dxa"/>
              <w:bottom w:w="60" w:type="dxa"/>
              <w:start w:w="110" w:type="dxa"/>
              <w:end w:w="110" w:type="dxa"/>
            </w:tcMar>
            <w:shd w:val="clear" w:color="auto" w:fill="F4F7FB"/>
          </w:tcPr>
          <w:p>
            <w:r>
              <w:rPr>
                <w:sz w:val="18"/>
              </w:rPr>
              <w:t>Restreint toutes les analyses à une plage horaire (ex. 07 h–19 h).</w:t>
            </w:r>
          </w:p>
        </w:tc>
      </w:tr>
    </w:tbl>
    <w:p>
      <w:pPr>
        <w:spacing w:after="40"/>
      </w:pPr>
    </w:p>
    <w:p>
      <w:r>
        <w:br w:type="page"/>
      </w:r>
    </w:p>
    <w:p>
      <w:pPr>
        <w:pStyle w:val="Heading1"/>
      </w:pPr>
      <w:r>
        <w:t>9. Les ajouts et « plus » qui approfondissent la solution</w:t>
      </w:r>
    </w:p>
    <w:p>
      <w:pPr>
        <w:spacing w:before="0" w:after="120"/>
      </w:pPr>
      <w:r>
        <w:rPr>
          <w:b w:val="0"/>
          <w:i w:val="0"/>
          <w:sz w:val="21"/>
        </w:rPr>
        <w:t>Au-delà du strict cahier des charges, plusieurs fonctionnalités ont été ajoutées pour approfondir la solution et faciliter l’expérience des utilisateurs. Chacune a un rôle opérationnel précis.</w:t>
      </w:r>
    </w:p>
    <w:p>
      <w:pPr>
        <w:pStyle w:val="Heading3"/>
      </w:pPr>
      <w:r>
        <w:t>9.1 Tronçons codifiés — la précision du point de congestion</w:t>
      </w:r>
    </w:p>
    <w:p>
      <w:pPr>
        <w:spacing w:before="0" w:after="160"/>
      </w:pPr>
      <w:r>
        <w:rPr>
          <w:b/>
          <w:i w:val="0"/>
          <w:color w:val="1B3A63"/>
          <w:sz w:val="21"/>
        </w:rPr>
        <w:t xml:space="preserve">C’est l’ajout le plus stratégique. </w:t>
      </w:r>
      <w:r>
        <w:rPr>
          <w:b w:val="0"/>
          <w:i w:val="0"/>
          <w:sz w:val="21"/>
        </w:rPr>
        <w:t>Chaque axe officiel peut être découpé en tronçons codifiés (T1A, T1B, T1C…) selon la convention DEESP. La collecte descend alors à la granularité fine : au lieu de savoir seulement qu’un axe de 15 km est congestionné, on identifie EXACTEMENT le tronçon en cause — un pont, un carrefour, une portion de boulevard. Le Tableau 16 du rapport remonte alors une colonne « tronçon codifié » dédiée. C’est la donnée qui permet d’investir au bon endroit plutôt que de traiter tout l’axe.</w:t>
      </w:r>
    </w:p>
    <w:tbl>
      <w:tblPr>
        <w:tblStyle w:val="TableGrid"/>
        <w:tblW w:type="auto" w:w="0"/>
        <w:jc w:val="center"/>
        <w:tblLook w:firstColumn="1" w:firstRow="1" w:lastColumn="0" w:lastRow="0" w:noHBand="0" w:noVBand="1" w:val="04A0"/>
      </w:tblPr>
      <w:tblGrid>
        <w:gridCol w:w="9746"/>
      </w:tblGrid>
      <w:tr>
        <w:tc>
          <w:tcPr>
            <w:tcW w:type="dxa" w:w="9072"/>
            <w:shd w:val="clear" w:color="auto" w:fill="EAF0F7"/>
            <w:tcMar>
              <w:top w:w="110" w:type="dxa"/>
              <w:bottom w:w="110" w:type="dxa"/>
              <w:start w:w="150" w:type="dxa"/>
              <w:end w:w="150" w:type="dxa"/>
            </w:tcMar>
          </w:tcPr>
          <w:p>
            <w:r>
              <w:rPr>
                <w:b/>
                <w:color w:val="1E5F9E"/>
                <w:sz w:val="20"/>
              </w:rPr>
              <w:t>Adoption automatique, sans redéploiement</w:t>
            </w:r>
          </w:p>
          <w:p>
            <w:r>
              <w:rPr>
                <w:sz w:val="20"/>
              </w:rPr>
              <w:t>Un tronçon codifié (ou un nouvel axe) créé via la page Administration est immédiatement pris en compte par toute la chaîne — collecte Google, carte temps réel, indicateurs, rapport DEESP, calibration terrain — sans aucune intervention technique ni redémarrage. La page de création chiffre même en direct l’impact sur le quota Google. Le sélecteur d’axe parent affiche distinctement les « Axes officiels DEESP » et les « Tronçons supplémentaires », et le tableau récapitulatif remonte les deux catégories côte à côte.</w:t>
            </w:r>
          </w:p>
        </w:tc>
      </w:tr>
    </w:tbl>
    <w:p>
      <w:pPr>
        <w:spacing w:after="40"/>
      </w:pPr>
    </w:p>
    <w:p>
      <w:pPr>
        <w:spacing w:before="0" w:after="120"/>
      </w:pPr>
      <w:r>
        <w:rPr>
          <w:b/>
          <w:i w:val="0"/>
          <w:color w:val="1B3A63"/>
          <w:sz w:val="21"/>
        </w:rPr>
        <w:t xml:space="preserve">9.2 Veille automatique des incidents — </w:t>
      </w:r>
      <w:r>
        <w:rPr>
          <w:b w:val="0"/>
          <w:i w:val="0"/>
          <w:sz w:val="21"/>
        </w:rPr>
        <w:t>un robot scrute la presse ivoirienne (Fraternité Matin, Abidjan.net, Koaci) toutes les 30 minutes, filtre par type ET par zone portuaire, géolocalise, déduplique et affiche les incidents sur la carte. Rôle : anticiper les perturbations plutôt que les subir.</w:t>
      </w:r>
    </w:p>
    <w:p>
      <w:pPr>
        <w:spacing w:before="0" w:after="120"/>
      </w:pPr>
      <w:r>
        <w:rPr>
          <w:b/>
          <w:i w:val="0"/>
          <w:color w:val="1B3A63"/>
          <w:sz w:val="21"/>
        </w:rPr>
        <w:t xml:space="preserve">9.3 Chatbot guide (Claude) avec RAG — </w:t>
      </w:r>
      <w:r>
        <w:rPr>
          <w:b w:val="0"/>
          <w:i w:val="0"/>
          <w:sz w:val="21"/>
        </w:rPr>
        <w:t>un assistant intégré répond aux questions sur l’application et injecte les données réelles de la base avant de répondre (état du trafic, temps de traversée, incidents actifs). Rôle : rendre l’application accessible à un utilisateur non technique.</w:t>
      </w:r>
    </w:p>
    <w:p>
      <w:pPr>
        <w:spacing w:before="0" w:after="120"/>
      </w:pPr>
      <w:r>
        <w:rPr>
          <w:b/>
          <w:i w:val="0"/>
          <w:color w:val="1B3A63"/>
          <w:sz w:val="21"/>
        </w:rPr>
        <w:t xml:space="preserve">9.4 Validation terrain GPX et calibration — </w:t>
      </w:r>
      <w:r>
        <w:rPr>
          <w:b w:val="0"/>
          <w:i w:val="0"/>
          <w:sz w:val="21"/>
        </w:rPr>
        <w:t>l’import de vraies traces GPS et leur confrontation aux mesures Google rendent la mesure défendable et améliorent progressivement la précision. Rôle : la confiance dans la donnée.</w:t>
      </w:r>
    </w:p>
    <w:p>
      <w:pPr>
        <w:spacing w:before="0" w:after="120"/>
      </w:pPr>
      <w:r>
        <w:rPr>
          <w:b/>
          <w:i w:val="0"/>
          <w:color w:val="1B3A63"/>
          <w:sz w:val="21"/>
        </w:rPr>
        <w:t xml:space="preserve">9.5 Évolution pluriannuelle dynamique — </w:t>
      </w:r>
      <w:r>
        <w:rPr>
          <w:b w:val="0"/>
          <w:i w:val="0"/>
          <w:sz w:val="21"/>
        </w:rPr>
        <w:t>le graphique compare automatiquement les deux dernières campagnes historiques et le mois en cours de collecte, avec reconstruction des mois passés depuis les mesures Google. Rôle : mesurer la tendance dans le temps.</w:t>
      </w:r>
    </w:p>
    <w:p>
      <w:pPr>
        <w:spacing w:before="0" w:after="120"/>
      </w:pPr>
      <w:r>
        <w:rPr>
          <w:b/>
          <w:i w:val="0"/>
          <w:color w:val="1B3A63"/>
          <w:sz w:val="21"/>
        </w:rPr>
        <w:t xml:space="preserve">9.6 Filtre créneau horaire global — </w:t>
      </w:r>
      <w:r>
        <w:rPr>
          <w:b w:val="0"/>
          <w:i w:val="0"/>
          <w:sz w:val="21"/>
        </w:rPr>
        <w:t>un sélecteur en barre supérieure restreint toutes les analyses à une plage horaire (ex. 07 h–19 h DEESP). Rôle : coller au cadre temporel officiel du rapport.</w:t>
      </w:r>
    </w:p>
    <w:p>
      <w:pPr>
        <w:spacing w:before="0" w:after="120"/>
      </w:pPr>
      <w:r>
        <w:rPr>
          <w:b/>
          <w:i w:val="0"/>
          <w:color w:val="1B3A63"/>
          <w:sz w:val="21"/>
        </w:rPr>
        <w:t xml:space="preserve">9.7 Authentification à deux niveaux — </w:t>
      </w:r>
      <w:r>
        <w:rPr>
          <w:b w:val="0"/>
          <w:i w:val="0"/>
          <w:sz w:val="21"/>
        </w:rPr>
        <w:t>séparation lecture / écriture pour protéger les actions sensibles (création de tronçons, import, gestion des sources). Rôle : sécuriser l’exploitation.</w:t>
      </w:r>
    </w:p>
    <w:p>
      <w:pPr>
        <w:spacing w:before="0" w:after="120"/>
      </w:pPr>
      <w:r>
        <w:rPr>
          <w:b/>
          <w:i w:val="0"/>
          <w:color w:val="1B3A63"/>
          <w:sz w:val="21"/>
        </w:rPr>
        <w:t xml:space="preserve">9.8 Vue satellite, exports et PDF direct — </w:t>
      </w:r>
      <w:r>
        <w:rPr>
          <w:b w:val="0"/>
          <w:i w:val="0"/>
          <w:sz w:val="21"/>
        </w:rPr>
        <w:t>confort et restitution : imagerie satellite sur les cartes, exports CSV/Excel en un clic, PDF du Tableau 16 sans dépendance vulnérable. Rôle : faciliter le travail quotidien.</w:t>
      </w:r>
    </w:p>
    <w:p>
      <w:r>
        <w:br w:type="page"/>
      </w:r>
    </w:p>
    <w:p>
      <w:pPr>
        <w:pStyle w:val="Heading1"/>
      </w:pPr>
      <w:r>
        <w:t>10. Problèmes rencontrés et solutions apportées</w:t>
      </w:r>
    </w:p>
    <w:p>
      <w:pPr>
        <w:spacing w:before="0" w:after="120"/>
      </w:pPr>
      <w:r>
        <w:rPr>
          <w:b w:val="0"/>
          <w:i w:val="0"/>
          <w:sz w:val="21"/>
        </w:rPr>
        <w:t>Le développement a rencontré des difficultés réelles, techniques et méthodologiques. Les documenter fait partie de la rigueur du projet : chaque problème a reçu une solution assumée et vérifiée.</w:t>
      </w:r>
    </w:p>
    <w:p>
      <w:pPr>
        <w:pStyle w:val="Heading3"/>
      </w:pPr>
      <w:r>
        <w:t>10.1 Collecte limitée à 7 h–19 h → étendue à 24 h/24</w:t>
      </w:r>
    </w:p>
    <w:p>
      <w:pPr>
        <w:spacing w:before="0" w:after="120"/>
      </w:pPr>
      <w:r>
        <w:rPr>
          <w:b/>
          <w:i w:val="0"/>
          <w:color w:val="B42424"/>
          <w:sz w:val="21"/>
        </w:rPr>
        <w:t xml:space="preserve">Problème — </w:t>
      </w:r>
      <w:r>
        <w:rPr>
          <w:b w:val="0"/>
          <w:i w:val="0"/>
          <w:sz w:val="21"/>
        </w:rPr>
        <w:t>le rapport DEESP couvre strictement la plage 7 h–19 h. La collecte s’arrêtait donc la nuit, laissant des trous et manquant les événements nocturnes (convois, incidents).</w:t>
      </w:r>
    </w:p>
    <w:p>
      <w:pPr>
        <w:spacing w:before="0" w:after="160"/>
      </w:pPr>
      <w:r>
        <w:rPr>
          <w:b/>
          <w:i w:val="0"/>
          <w:color w:val="157F3C"/>
          <w:sz w:val="21"/>
        </w:rPr>
        <w:t xml:space="preserve">Solution — </w:t>
      </w:r>
      <w:r>
        <w:rPr>
          <w:b w:val="0"/>
          <w:i w:val="0"/>
          <w:sz w:val="21"/>
        </w:rPr>
        <w:t>la collecte a été étendue à 24 h/24. À une mesure par heure et par tronçon, cela représente 144 requêtes Google par jour, très en-dessous du quota de 250. La conformité DEESP est préservée : le rapport officiel reste calculé sur les seules mesures 7 h–19 h par filtrage, tandis que la couverture nocturne enrichit l’analyse et confirme la fluidité hors plage portuaire.</w:t>
      </w:r>
    </w:p>
    <w:p>
      <w:pPr>
        <w:pStyle w:val="Heading3"/>
      </w:pPr>
      <w:r>
        <w:t>10.2 Source TomTom inexploitable en Côte d’Ivoire</w:t>
      </w:r>
    </w:p>
    <w:p>
      <w:pPr>
        <w:spacing w:before="0" w:after="120"/>
      </w:pPr>
      <w:r>
        <w:rPr>
          <w:b/>
          <w:i w:val="0"/>
          <w:color w:val="B42424"/>
          <w:sz w:val="21"/>
        </w:rPr>
        <w:t xml:space="preserve">Problème — </w:t>
      </w:r>
      <w:r>
        <w:rPr>
          <w:b w:val="0"/>
          <w:i w:val="0"/>
          <w:sz w:val="21"/>
        </w:rPr>
        <w:t>les 18 points testés sur les 6 tronçons ont tous renvoyé une erreur « point trop loin d’un segment » — la zone n’est pas cartographiée par TomTom.</w:t>
      </w:r>
    </w:p>
    <w:p>
      <w:pPr>
        <w:spacing w:before="0" w:after="160"/>
      </w:pPr>
      <w:r>
        <w:rPr>
          <w:b/>
          <w:i w:val="0"/>
          <w:color w:val="157F3C"/>
          <w:sz w:val="21"/>
        </w:rPr>
        <w:t xml:space="preserve">Solution — </w:t>
      </w:r>
      <w:r>
        <w:rPr>
          <w:b w:val="0"/>
          <w:i w:val="0"/>
          <w:sz w:val="21"/>
        </w:rPr>
        <w:t>TomTom a été entièrement retiré (client, endpoint, clé). La cascade de dégradation passe de 4 à 3 niveaux, plus simple et plus honnête.</w:t>
      </w:r>
    </w:p>
    <w:p>
      <w:pPr>
        <w:pStyle w:val="Heading3"/>
      </w:pPr>
      <w:r>
        <w:t>10.3 Indices FHWA (TTI/PTI/BTI) trompeurs</w:t>
      </w:r>
    </w:p>
    <w:p>
      <w:pPr>
        <w:spacing w:before="0" w:after="120"/>
      </w:pPr>
      <w:r>
        <w:rPr>
          <w:b/>
          <w:i w:val="0"/>
          <w:color w:val="B42424"/>
          <w:sz w:val="21"/>
        </w:rPr>
        <w:t xml:space="preserve">Problème — </w:t>
      </w:r>
      <w:r>
        <w:rPr>
          <w:b w:val="0"/>
          <w:i w:val="0"/>
          <w:sz w:val="21"/>
        </w:rPr>
        <w:t>le ratio temps observé / temps fluide déclarait « congestion » à cause de simples feux tricolores, sans embouteillage réel.</w:t>
      </w:r>
    </w:p>
    <w:p>
      <w:pPr>
        <w:spacing w:before="0" w:after="160"/>
      </w:pPr>
      <w:r>
        <w:rPr>
          <w:b/>
          <w:i w:val="0"/>
          <w:color w:val="157F3C"/>
          <w:sz w:val="21"/>
        </w:rPr>
        <w:t xml:space="preserve">Solution — </w:t>
      </w:r>
      <w:r>
        <w:rPr>
          <w:b w:val="0"/>
          <w:i w:val="0"/>
          <w:sz w:val="21"/>
        </w:rPr>
        <w:t>bascule vers le critère couleur officiel DEESP lu directement depuis Google Maps (rouge, ou orange ≥ 50 %). Les temps min/moyen/max restent conservés pour les tableaux du rapport.</w:t>
      </w:r>
    </w:p>
    <w:p>
      <w:pPr>
        <w:pStyle w:val="Heading3"/>
      </w:pPr>
      <w:r>
        <w:t>10.4 Perte des fichiers GPX après redéploiement</w:t>
      </w:r>
    </w:p>
    <w:p>
      <w:pPr>
        <w:spacing w:before="0" w:after="120"/>
      </w:pPr>
      <w:r>
        <w:rPr>
          <w:b/>
          <w:i w:val="0"/>
          <w:color w:val="B42424"/>
          <w:sz w:val="21"/>
        </w:rPr>
        <w:t xml:space="preserve">Problème — </w:t>
      </w:r>
      <w:r>
        <w:rPr>
          <w:b w:val="0"/>
          <w:i w:val="0"/>
          <w:sz w:val="21"/>
        </w:rPr>
        <w:t>le disque de la plateforme d’hébergement est éphémère : les traces GPX importées disparaissaient à chaque redéploiement.</w:t>
      </w:r>
    </w:p>
    <w:p>
      <w:pPr>
        <w:spacing w:before="0" w:after="160"/>
      </w:pPr>
      <w:r>
        <w:rPr>
          <w:b/>
          <w:i w:val="0"/>
          <w:color w:val="157F3C"/>
          <w:sz w:val="21"/>
        </w:rPr>
        <w:t xml:space="preserve">Solution — </w:t>
      </w:r>
      <w:r>
        <w:rPr>
          <w:b w:val="0"/>
          <w:i w:val="0"/>
          <w:sz w:val="21"/>
        </w:rPr>
        <w:t>le contenu binaire des GPX est désormais stocké en base (colonne BYTEA) comme source de vérité, survivant à tous les redéploiements.</w:t>
      </w:r>
    </w:p>
    <w:p>
      <w:pPr>
        <w:pStyle w:val="Heading3"/>
      </w:pPr>
      <w:r>
        <w:t>10.5 OSRM trop lourd pour l’hébergement principal</w:t>
      </w:r>
    </w:p>
    <w:p>
      <w:pPr>
        <w:spacing w:before="0" w:after="120"/>
      </w:pPr>
      <w:r>
        <w:rPr>
          <w:b/>
          <w:i w:val="0"/>
          <w:color w:val="B42424"/>
          <w:sz w:val="21"/>
        </w:rPr>
        <w:t xml:space="preserve">Problème — </w:t>
      </w:r>
      <w:r>
        <w:rPr>
          <w:b w:val="0"/>
          <w:i w:val="0"/>
          <w:sz w:val="21"/>
        </w:rPr>
        <w:t>le moteur de routage OSRM et l’extrait cartographique de la Côte d’Ivoire (~800 Mo) ne tiennent pas sur le tier gratuit de la plateforme backend.</w:t>
      </w:r>
    </w:p>
    <w:p>
      <w:pPr>
        <w:spacing w:before="0" w:after="160"/>
      </w:pPr>
      <w:r>
        <w:rPr>
          <w:b/>
          <w:i w:val="0"/>
          <w:color w:val="157F3C"/>
          <w:sz w:val="21"/>
        </w:rPr>
        <w:t xml:space="preserve">Solution — </w:t>
      </w:r>
      <w:r>
        <w:rPr>
          <w:b w:val="0"/>
          <w:i w:val="0"/>
          <w:sz w:val="21"/>
        </w:rPr>
        <w:t>OSRM est hébergé séparément sur une VM cloud gratuite, appelé uniquement pour générer les polylines routières. L’application fonctionne parfaitement sans lui : les polylines sont persistées en base une fois calculées.</w:t>
      </w:r>
    </w:p>
    <w:p>
      <w:pPr>
        <w:pStyle w:val="Heading3"/>
      </w:pPr>
      <w:r>
        <w:t>10.6 Migrations bloquant le démarrage du serveur</w:t>
      </w:r>
    </w:p>
    <w:p>
      <w:pPr>
        <w:spacing w:before="0" w:after="120"/>
      </w:pPr>
      <w:r>
        <w:rPr>
          <w:b/>
          <w:i w:val="0"/>
          <w:color w:val="B42424"/>
          <w:sz w:val="21"/>
        </w:rPr>
        <w:t xml:space="preserve">Problème — </w:t>
      </w:r>
      <w:r>
        <w:rPr>
          <w:b w:val="0"/>
          <w:i w:val="0"/>
          <w:sz w:val="21"/>
        </w:rPr>
        <w:t>lancer les migrations dans la commande de démarrage provoquait un verrou persistant qui faisait échouer le healthcheck.</w:t>
      </w:r>
    </w:p>
    <w:p>
      <w:pPr>
        <w:spacing w:before="0" w:after="160"/>
      </w:pPr>
      <w:r>
        <w:rPr>
          <w:b/>
          <w:i w:val="0"/>
          <w:color w:val="157F3C"/>
          <w:sz w:val="21"/>
        </w:rPr>
        <w:t xml:space="preserve">Solution — </w:t>
      </w:r>
      <w:r>
        <w:rPr>
          <w:b w:val="0"/>
          <w:i w:val="0"/>
          <w:sz w:val="21"/>
        </w:rPr>
        <w:t>les migrations sont exécutées manuellement depuis la console d’administration après chaque déploiement qui en contient une nouvelle ; la commande de démarrage ne fait plus que lancer le serveur.</w:t>
      </w:r>
    </w:p>
    <w:p>
      <w:pPr>
        <w:pStyle w:val="Heading3"/>
      </w:pPr>
      <w:r>
        <w:t>10.7 Déploiement partiel via git push</w:t>
      </w:r>
    </w:p>
    <w:p>
      <w:pPr>
        <w:spacing w:before="0" w:after="120"/>
      </w:pPr>
      <w:r>
        <w:rPr>
          <w:b/>
          <w:i w:val="0"/>
          <w:color w:val="B42424"/>
          <w:sz w:val="21"/>
        </w:rPr>
        <w:t xml:space="preserve">Problème — </w:t>
      </w:r>
      <w:r>
        <w:rPr>
          <w:b w:val="0"/>
          <w:i w:val="0"/>
          <w:sz w:val="21"/>
        </w:rPr>
        <w:t>un simple push ne déclenchait pas toujours une reconstruction complète, omettant parfois de nouveaux fichiers.</w:t>
      </w:r>
    </w:p>
    <w:p>
      <w:pPr>
        <w:spacing w:before="0" w:after="160"/>
      </w:pPr>
      <w:r>
        <w:rPr>
          <w:b/>
          <w:i w:val="0"/>
          <w:color w:val="157F3C"/>
          <w:sz w:val="21"/>
        </w:rPr>
        <w:t xml:space="preserve">Solution — </w:t>
      </w:r>
      <w:r>
        <w:rPr>
          <w:b w:val="0"/>
          <w:i w:val="0"/>
          <w:sz w:val="21"/>
        </w:rPr>
        <w:t>règle établie : déployer chaque service par la commande dédiée (railway up) depuis son dossier, après un commit de tous les fichiers.</w:t>
      </w:r>
    </w:p>
    <w:p>
      <w:pPr>
        <w:pStyle w:val="Heading3"/>
      </w:pPr>
      <w:r>
        <w:t>10.8 Vulnérabilités bloquant la génération PDF</w:t>
      </w:r>
    </w:p>
    <w:p>
      <w:pPr>
        <w:spacing w:before="0" w:after="120"/>
      </w:pPr>
      <w:r>
        <w:rPr>
          <w:b/>
          <w:i w:val="0"/>
          <w:color w:val="B42424"/>
          <w:sz w:val="21"/>
        </w:rPr>
        <w:t xml:space="preserve">Problème — </w:t>
      </w:r>
      <w:r>
        <w:rPr>
          <w:b w:val="0"/>
          <w:i w:val="0"/>
          <w:sz w:val="21"/>
        </w:rPr>
        <w:t>la piste d’une génération PDF côté navigateur apportait des dépendances marquées de failles critiques, refusées par le scan de sécurité au build.</w:t>
      </w:r>
    </w:p>
    <w:p>
      <w:pPr>
        <w:spacing w:before="0" w:after="160"/>
      </w:pPr>
      <w:r>
        <w:rPr>
          <w:b/>
          <w:i w:val="0"/>
          <w:color w:val="157F3C"/>
          <w:sz w:val="21"/>
        </w:rPr>
        <w:t xml:space="preserve">Solution — </w:t>
      </w:r>
      <w:r>
        <w:rPr>
          <w:b w:val="0"/>
          <w:i w:val="0"/>
          <w:sz w:val="21"/>
        </w:rPr>
        <w:t>génération PDF côté serveur en pur Python (fpdf2), sans dépendance vulnérable ; téléchargement direct sans fenêtre intermédiaire.</w:t>
      </w:r>
    </w:p>
    <w:p>
      <w:pPr>
        <w:pStyle w:val="Heading3"/>
      </w:pPr>
      <w:r>
        <w:t>10.9 Caractères spéciaux cassant le PDF</w:t>
      </w:r>
    </w:p>
    <w:p>
      <w:pPr>
        <w:spacing w:before="0" w:after="120"/>
      </w:pPr>
      <w:r>
        <w:rPr>
          <w:b/>
          <w:i w:val="0"/>
          <w:color w:val="B42424"/>
          <w:sz w:val="21"/>
        </w:rPr>
        <w:t xml:space="preserve">Problème — </w:t>
      </w:r>
      <w:r>
        <w:rPr>
          <w:b w:val="0"/>
          <w:i w:val="0"/>
          <w:sz w:val="21"/>
        </w:rPr>
        <w:t>les noms de tronçons contiennent des flèches « → » et symboles non gérés par la police du PDF, provoquant une erreur d’encodage.</w:t>
      </w:r>
    </w:p>
    <w:p>
      <w:pPr>
        <w:spacing w:before="0" w:after="160"/>
      </w:pPr>
      <w:r>
        <w:rPr>
          <w:b/>
          <w:i w:val="0"/>
          <w:color w:val="157F3C"/>
          <w:sz w:val="21"/>
        </w:rPr>
        <w:t xml:space="preserve">Solution — </w:t>
      </w:r>
      <w:r>
        <w:rPr>
          <w:b w:val="0"/>
          <w:i w:val="0"/>
          <w:sz w:val="21"/>
        </w:rPr>
        <w:t>une fonction de nettoyage convertit les caractères spéciaux en équivalents ASCII avant écriture.</w:t>
      </w:r>
    </w:p>
    <w:p>
      <w:pPr>
        <w:pStyle w:val="Heading3"/>
      </w:pPr>
      <w:r>
        <w:t>10.10 Bug d’affichage : min = moyen = max</w:t>
      </w:r>
    </w:p>
    <w:p>
      <w:pPr>
        <w:spacing w:before="0" w:after="120"/>
      </w:pPr>
      <w:r>
        <w:rPr>
          <w:b/>
          <w:i w:val="0"/>
          <w:color w:val="B42424"/>
          <w:sz w:val="21"/>
        </w:rPr>
        <w:t xml:space="preserve">Problème — </w:t>
      </w:r>
      <w:r>
        <w:rPr>
          <w:b w:val="0"/>
          <w:i w:val="0"/>
          <w:sz w:val="21"/>
        </w:rPr>
        <w:t>sur la page Heure optimale, les trois valeurs étaient identiques à cause d’un triple-comptage des fenêtres d’agrégation.</w:t>
      </w:r>
    </w:p>
    <w:p>
      <w:pPr>
        <w:spacing w:before="0" w:after="160"/>
      </w:pPr>
      <w:r>
        <w:rPr>
          <w:b/>
          <w:i w:val="0"/>
          <w:color w:val="157F3C"/>
          <w:sz w:val="21"/>
        </w:rPr>
        <w:t xml:space="preserve">Solution — </w:t>
      </w:r>
      <w:r>
        <w:rPr>
          <w:b w:val="0"/>
          <w:i w:val="0"/>
          <w:sz w:val="21"/>
        </w:rPr>
        <w:t>la requête a été corrigée (vrais minimum et maximum globaux) et filtrée sur une seule fenêtre.</w:t>
      </w:r>
    </w:p>
    <w:p>
      <w:pPr>
        <w:pStyle w:val="Heading3"/>
      </w:pPr>
      <w:r>
        <w:t>10.11 Incidents disparaissant trop vite</w:t>
      </w:r>
    </w:p>
    <w:p>
      <w:pPr>
        <w:spacing w:before="0" w:after="120"/>
      </w:pPr>
      <w:r>
        <w:rPr>
          <w:b/>
          <w:i w:val="0"/>
          <w:color w:val="B42424"/>
          <w:sz w:val="21"/>
        </w:rPr>
        <w:t xml:space="preserve">Problème — </w:t>
      </w:r>
      <w:r>
        <w:rPr>
          <w:b w:val="0"/>
          <w:i w:val="0"/>
          <w:sz w:val="21"/>
        </w:rPr>
        <w:t>un incident restait « actif » seulement 6 heures, ce qui faisait disparaître des travaux ou routes barrées durant plusieurs jours.</w:t>
      </w:r>
    </w:p>
    <w:p>
      <w:pPr>
        <w:spacing w:before="0" w:after="160"/>
      </w:pPr>
      <w:r>
        <w:rPr>
          <w:b/>
          <w:i w:val="0"/>
          <w:color w:val="157F3C"/>
          <w:sz w:val="21"/>
        </w:rPr>
        <w:t xml:space="preserve">Solution — </w:t>
      </w:r>
      <w:r>
        <w:rPr>
          <w:b w:val="0"/>
          <w:i w:val="0"/>
          <w:sz w:val="21"/>
        </w:rPr>
        <w:t>le seuil est passé à 30 jours et rendu configurable, adapté à la durée réelle des perturbations.</w:t>
      </w:r>
    </w:p>
    <w:p>
      <w:pPr>
        <w:pStyle w:val="Heading3"/>
      </w:pPr>
      <w:r>
        <w:t>10.12 Bouton invisible en mode clair</w:t>
      </w:r>
    </w:p>
    <w:p>
      <w:pPr>
        <w:spacing w:before="0" w:after="120"/>
      </w:pPr>
      <w:r>
        <w:rPr>
          <w:b/>
          <w:i w:val="0"/>
          <w:color w:val="B42424"/>
          <w:sz w:val="21"/>
        </w:rPr>
        <w:t xml:space="preserve">Problème — </w:t>
      </w:r>
      <w:r>
        <w:rPr>
          <w:b w:val="0"/>
          <w:i w:val="0"/>
          <w:sz w:val="21"/>
        </w:rPr>
        <w:t>un bouton utilisait une nuance de bleu absente de la palette, le rendant invisible sur fond blanc.</w:t>
      </w:r>
    </w:p>
    <w:p>
      <w:pPr>
        <w:spacing w:before="0" w:after="160"/>
      </w:pPr>
      <w:r>
        <w:rPr>
          <w:b/>
          <w:i w:val="0"/>
          <w:color w:val="157F3C"/>
          <w:sz w:val="21"/>
        </w:rPr>
        <w:t xml:space="preserve">Solution — </w:t>
      </w:r>
      <w:r>
        <w:rPr>
          <w:b w:val="0"/>
          <w:i w:val="0"/>
          <w:sz w:val="21"/>
        </w:rPr>
        <w:t>correction par une couleur existante de la charte, cohérente avec le reste de l’interface.</w:t>
      </w:r>
    </w:p>
    <w:p>
      <w:r>
        <w:br w:type="page"/>
      </w:r>
    </w:p>
    <w:p>
      <w:pPr>
        <w:pStyle w:val="Heading1"/>
      </w:pPr>
      <w:r>
        <w:t>11. Déroulement du projet et organisation de l’équipe</w:t>
      </w:r>
    </w:p>
    <w:p>
      <w:pPr>
        <w:pStyle w:val="Heading2"/>
      </w:pPr>
      <w:r>
        <w:t>11.1 L’équipe HACKHATONIA</w:t>
      </w:r>
    </w:p>
    <w:tbl>
      <w:tblPr>
        <w:tblStyle w:val="TableGrid"/>
        <w:tblW w:type="auto" w:w="0"/>
        <w:jc w:val="center"/>
        <w:tblLook w:firstColumn="1" w:firstRow="1" w:lastColumn="0" w:lastRow="0" w:noHBand="0" w:noVBand="1" w:val="04A0"/>
      </w:tblPr>
      <w:tblGrid>
        <w:gridCol w:w="3249"/>
        <w:gridCol w:w="3249"/>
        <w:gridCol w:w="3249"/>
      </w:tblGrid>
      <w:tr>
        <w:tc>
          <w:tcPr>
            <w:tcW w:type="dxa" w:w="2016"/>
            <w:shd w:val="clear" w:color="auto" w:fill="0F2240"/>
            <w:tcMar>
              <w:top w:w="60" w:type="dxa"/>
              <w:bottom w:w="60" w:type="dxa"/>
              <w:start w:w="110" w:type="dxa"/>
              <w:end w:w="110" w:type="dxa"/>
            </w:tcMar>
          </w:tcPr>
          <w:p>
            <w:pPr>
              <w:jc w:val="left"/>
            </w:pPr>
            <w:r>
              <w:rPr>
                <w:b/>
                <w:color w:val="FFFFFF"/>
                <w:sz w:val="19"/>
              </w:rPr>
              <w:t>Membre</w:t>
            </w:r>
          </w:p>
        </w:tc>
        <w:tc>
          <w:tcPr>
            <w:tcW w:type="dxa" w:w="2736"/>
            <w:shd w:val="clear" w:color="auto" w:fill="0F2240"/>
            <w:tcMar>
              <w:top w:w="60" w:type="dxa"/>
              <w:bottom w:w="60" w:type="dxa"/>
              <w:start w:w="110" w:type="dxa"/>
              <w:end w:w="110" w:type="dxa"/>
            </w:tcMar>
          </w:tcPr>
          <w:p>
            <w:pPr>
              <w:jc w:val="left"/>
            </w:pPr>
            <w:r>
              <w:rPr>
                <w:b/>
                <w:color w:val="FFFFFF"/>
                <w:sz w:val="19"/>
              </w:rPr>
              <w:t>Rôle</w:t>
            </w:r>
          </w:p>
        </w:tc>
        <w:tc>
          <w:tcPr>
            <w:tcW w:type="dxa" w:w="4320"/>
            <w:shd w:val="clear" w:color="auto" w:fill="0F2240"/>
            <w:tcMar>
              <w:top w:w="60" w:type="dxa"/>
              <w:bottom w:w="60" w:type="dxa"/>
              <w:start w:w="110" w:type="dxa"/>
              <w:end w:w="110" w:type="dxa"/>
            </w:tcMar>
          </w:tcPr>
          <w:p>
            <w:pPr>
              <w:jc w:val="left"/>
            </w:pPr>
            <w:r>
              <w:rPr>
                <w:b/>
                <w:color w:val="FFFFFF"/>
                <w:sz w:val="19"/>
              </w:rPr>
              <w:t>Mission principale</w:t>
            </w:r>
          </w:p>
        </w:tc>
      </w:tr>
      <w:tr>
        <w:tc>
          <w:tcPr>
            <w:tcW w:type="dxa" w:w="2016"/>
            <w:tcMar>
              <w:top w:w="60" w:type="dxa"/>
              <w:bottom w:w="60" w:type="dxa"/>
              <w:start w:w="110" w:type="dxa"/>
              <w:end w:w="110" w:type="dxa"/>
            </w:tcMar>
          </w:tcPr>
          <w:p>
            <w:r>
              <w:rPr>
                <w:b/>
                <w:color w:val="1B3A63"/>
                <w:sz w:val="18"/>
              </w:rPr>
              <w:t>Manga Wilfried</w:t>
            </w:r>
          </w:p>
        </w:tc>
        <w:tc>
          <w:tcPr>
            <w:tcW w:type="dxa" w:w="2736"/>
            <w:tcMar>
              <w:top w:w="60" w:type="dxa"/>
              <w:bottom w:w="60" w:type="dxa"/>
              <w:start w:w="110" w:type="dxa"/>
              <w:end w:w="110" w:type="dxa"/>
            </w:tcMar>
          </w:tcPr>
          <w:p>
            <w:r>
              <w:rPr>
                <w:sz w:val="18"/>
              </w:rPr>
              <w:t>Chef de projet</w:t>
            </w:r>
          </w:p>
        </w:tc>
        <w:tc>
          <w:tcPr>
            <w:tcW w:type="dxa" w:w="4320"/>
            <w:tcMar>
              <w:top w:w="60" w:type="dxa"/>
              <w:bottom w:w="60" w:type="dxa"/>
              <w:start w:w="110" w:type="dxa"/>
              <w:end w:w="110" w:type="dxa"/>
            </w:tcMar>
          </w:tcPr>
          <w:p>
            <w:r>
              <w:rPr>
                <w:sz w:val="18"/>
              </w:rPr>
              <w:t>Pilotage, coordination, sécurisation des délais, arbitrages.</w:t>
            </w:r>
          </w:p>
        </w:tc>
      </w:tr>
      <w:tr>
        <w:tc>
          <w:tcPr>
            <w:tcW w:type="dxa" w:w="2016"/>
            <w:tcMar>
              <w:top w:w="60" w:type="dxa"/>
              <w:bottom w:w="60" w:type="dxa"/>
              <w:start w:w="110" w:type="dxa"/>
              <w:end w:w="110" w:type="dxa"/>
            </w:tcMar>
            <w:shd w:val="clear" w:color="auto" w:fill="F4F7FB"/>
          </w:tcPr>
          <w:p>
            <w:r>
              <w:rPr>
                <w:b/>
                <w:color w:val="1B3A63"/>
                <w:sz w:val="18"/>
              </w:rPr>
              <w:t>Assamoi Ruth</w:t>
            </w:r>
          </w:p>
        </w:tc>
        <w:tc>
          <w:tcPr>
            <w:tcW w:type="dxa" w:w="2736"/>
            <w:tcMar>
              <w:top w:w="60" w:type="dxa"/>
              <w:bottom w:w="60" w:type="dxa"/>
              <w:start w:w="110" w:type="dxa"/>
              <w:end w:w="110" w:type="dxa"/>
            </w:tcMar>
            <w:shd w:val="clear" w:color="auto" w:fill="F4F7FB"/>
          </w:tcPr>
          <w:p>
            <w:r>
              <w:rPr>
                <w:sz w:val="18"/>
              </w:rPr>
              <w:t>Data Analyst / Statisticienne</w:t>
            </w:r>
          </w:p>
        </w:tc>
        <w:tc>
          <w:tcPr>
            <w:tcW w:type="dxa" w:w="4320"/>
            <w:tcMar>
              <w:top w:w="60" w:type="dxa"/>
              <w:bottom w:w="60" w:type="dxa"/>
              <w:start w:w="110" w:type="dxa"/>
              <w:end w:w="110" w:type="dxa"/>
            </w:tcMar>
            <w:shd w:val="clear" w:color="auto" w:fill="F4F7FB"/>
          </w:tcPr>
          <w:p>
            <w:r>
              <w:rPr>
                <w:sz w:val="18"/>
              </w:rPr>
              <w:t>Chaîne analytique, indicateurs, contrôles qualité, note méthodologique.</w:t>
            </w:r>
          </w:p>
        </w:tc>
      </w:tr>
      <w:tr>
        <w:tc>
          <w:tcPr>
            <w:tcW w:type="dxa" w:w="2016"/>
            <w:tcMar>
              <w:top w:w="60" w:type="dxa"/>
              <w:bottom w:w="60" w:type="dxa"/>
              <w:start w:w="110" w:type="dxa"/>
              <w:end w:w="110" w:type="dxa"/>
            </w:tcMar>
          </w:tcPr>
          <w:p>
            <w:r>
              <w:rPr>
                <w:b/>
                <w:color w:val="1B3A63"/>
                <w:sz w:val="18"/>
              </w:rPr>
              <w:t>Sakam Emmanuel</w:t>
            </w:r>
          </w:p>
        </w:tc>
        <w:tc>
          <w:tcPr>
            <w:tcW w:type="dxa" w:w="2736"/>
            <w:tcMar>
              <w:top w:w="60" w:type="dxa"/>
              <w:bottom w:w="60" w:type="dxa"/>
              <w:start w:w="110" w:type="dxa"/>
              <w:end w:w="110" w:type="dxa"/>
            </w:tcMar>
          </w:tcPr>
          <w:p>
            <w:r>
              <w:rPr>
                <w:sz w:val="18"/>
              </w:rPr>
              <w:t>Développeur / Prototypeur</w:t>
            </w:r>
          </w:p>
        </w:tc>
        <w:tc>
          <w:tcPr>
            <w:tcW w:type="dxa" w:w="4320"/>
            <w:tcMar>
              <w:top w:w="60" w:type="dxa"/>
              <w:bottom w:w="60" w:type="dxa"/>
              <w:start w:w="110" w:type="dxa"/>
              <w:end w:w="110" w:type="dxa"/>
            </w:tcMar>
          </w:tcPr>
          <w:p>
            <w:r>
              <w:rPr>
                <w:sz w:val="18"/>
              </w:rPr>
              <w:t>Architecture web, backend, frontend, cartographie, visualisations.</w:t>
            </w:r>
          </w:p>
        </w:tc>
      </w:tr>
      <w:tr>
        <w:tc>
          <w:tcPr>
            <w:tcW w:type="dxa" w:w="2016"/>
            <w:tcMar>
              <w:top w:w="60" w:type="dxa"/>
              <w:bottom w:w="60" w:type="dxa"/>
              <w:start w:w="110" w:type="dxa"/>
              <w:end w:w="110" w:type="dxa"/>
            </w:tcMar>
            <w:shd w:val="clear" w:color="auto" w:fill="F4F7FB"/>
          </w:tcPr>
          <w:p>
            <w:r>
              <w:rPr>
                <w:b/>
                <w:color w:val="1B3A63"/>
                <w:sz w:val="18"/>
              </w:rPr>
              <w:t>Chewo Helena</w:t>
            </w:r>
          </w:p>
        </w:tc>
        <w:tc>
          <w:tcPr>
            <w:tcW w:type="dxa" w:w="2736"/>
            <w:tcMar>
              <w:top w:w="60" w:type="dxa"/>
              <w:bottom w:w="60" w:type="dxa"/>
              <w:start w:w="110" w:type="dxa"/>
              <w:end w:w="110" w:type="dxa"/>
            </w:tcMar>
            <w:shd w:val="clear" w:color="auto" w:fill="F4F7FB"/>
          </w:tcPr>
          <w:p>
            <w:r>
              <w:rPr>
                <w:sz w:val="18"/>
              </w:rPr>
              <w:t>Rapporteuse / Pitcheuse</w:t>
            </w:r>
          </w:p>
        </w:tc>
        <w:tc>
          <w:tcPr>
            <w:tcW w:type="dxa" w:w="4320"/>
            <w:tcMar>
              <w:top w:w="60" w:type="dxa"/>
              <w:bottom w:w="60" w:type="dxa"/>
              <w:start w:w="110" w:type="dxa"/>
              <w:end w:w="110" w:type="dxa"/>
            </w:tcMar>
            <w:shd w:val="clear" w:color="auto" w:fill="F4F7FB"/>
          </w:tcPr>
          <w:p>
            <w:r>
              <w:rPr>
                <w:sz w:val="18"/>
              </w:rPr>
              <w:t>Récit du projet, livrables narratifs, restitution orale.</w:t>
            </w:r>
          </w:p>
        </w:tc>
      </w:tr>
    </w:tbl>
    <w:p>
      <w:pPr>
        <w:spacing w:after="40"/>
      </w:pPr>
    </w:p>
    <w:p>
      <w:pPr>
        <w:pStyle w:val="Heading2"/>
      </w:pPr>
      <w:r>
        <w:t>11.2 Les 5 phases (09 juin → 03 juillet 2026)</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864"/>
            <w:shd w:val="clear" w:color="auto" w:fill="0F2240"/>
            <w:tcMar>
              <w:top w:w="60" w:type="dxa"/>
              <w:bottom w:w="60" w:type="dxa"/>
              <w:start w:w="110" w:type="dxa"/>
              <w:end w:w="110" w:type="dxa"/>
            </w:tcMar>
          </w:tcPr>
          <w:p>
            <w:pPr>
              <w:jc w:val="left"/>
            </w:pPr>
            <w:r>
              <w:rPr>
                <w:b/>
                <w:color w:val="FFFFFF"/>
                <w:sz w:val="19"/>
              </w:rPr>
              <w:t>Phase</w:t>
            </w:r>
          </w:p>
        </w:tc>
        <w:tc>
          <w:tcPr>
            <w:tcW w:type="dxa" w:w="3456"/>
            <w:shd w:val="clear" w:color="auto" w:fill="0F2240"/>
            <w:tcMar>
              <w:top w:w="60" w:type="dxa"/>
              <w:bottom w:w="60" w:type="dxa"/>
              <w:start w:w="110" w:type="dxa"/>
              <w:end w:w="110" w:type="dxa"/>
            </w:tcMar>
          </w:tcPr>
          <w:p>
            <w:pPr>
              <w:jc w:val="left"/>
            </w:pPr>
            <w:r>
              <w:rPr>
                <w:b/>
                <w:color w:val="FFFFFF"/>
                <w:sz w:val="19"/>
              </w:rPr>
              <w:t>Intitulé</w:t>
            </w:r>
          </w:p>
        </w:tc>
        <w:tc>
          <w:tcPr>
            <w:tcW w:type="dxa" w:w="2160"/>
            <w:shd w:val="clear" w:color="auto" w:fill="0F2240"/>
            <w:tcMar>
              <w:top w:w="60" w:type="dxa"/>
              <w:bottom w:w="60" w:type="dxa"/>
              <w:start w:w="110" w:type="dxa"/>
              <w:end w:w="110" w:type="dxa"/>
            </w:tcMar>
          </w:tcPr>
          <w:p>
            <w:pPr>
              <w:jc w:val="left"/>
            </w:pPr>
            <w:r>
              <w:rPr>
                <w:b/>
                <w:color w:val="FFFFFF"/>
                <w:sz w:val="19"/>
              </w:rPr>
              <w:t>Dates</w:t>
            </w:r>
          </w:p>
        </w:tc>
        <w:tc>
          <w:tcPr>
            <w:tcW w:type="dxa" w:w="2880"/>
            <w:shd w:val="clear" w:color="auto" w:fill="0F2240"/>
            <w:tcMar>
              <w:top w:w="60" w:type="dxa"/>
              <w:bottom w:w="60" w:type="dxa"/>
              <w:start w:w="110" w:type="dxa"/>
              <w:end w:w="110" w:type="dxa"/>
            </w:tcMar>
          </w:tcPr>
          <w:p>
            <w:pPr>
              <w:jc w:val="left"/>
            </w:pPr>
            <w:r>
              <w:rPr>
                <w:b/>
                <w:color w:val="FFFFFF"/>
                <w:sz w:val="19"/>
              </w:rPr>
              <w:t>Jalon de sortie</w:t>
            </w:r>
          </w:p>
        </w:tc>
      </w:tr>
      <w:tr>
        <w:tc>
          <w:tcPr>
            <w:tcW w:type="dxa" w:w="864"/>
            <w:tcMar>
              <w:top w:w="60" w:type="dxa"/>
              <w:bottom w:w="60" w:type="dxa"/>
              <w:start w:w="110" w:type="dxa"/>
              <w:end w:w="110" w:type="dxa"/>
            </w:tcMar>
          </w:tcPr>
          <w:p>
            <w:r>
              <w:rPr>
                <w:b/>
                <w:color w:val="1B3A63"/>
                <w:sz w:val="18"/>
              </w:rPr>
              <w:t>1</w:t>
            </w:r>
          </w:p>
        </w:tc>
        <w:tc>
          <w:tcPr>
            <w:tcW w:type="dxa" w:w="3456"/>
            <w:tcMar>
              <w:top w:w="60" w:type="dxa"/>
              <w:bottom w:w="60" w:type="dxa"/>
              <w:start w:w="110" w:type="dxa"/>
              <w:end w:w="110" w:type="dxa"/>
            </w:tcMar>
          </w:tcPr>
          <w:p>
            <w:r>
              <w:rPr>
                <w:sz w:val="18"/>
              </w:rPr>
              <w:t>Cadrage &amp; appropriation</w:t>
            </w:r>
          </w:p>
        </w:tc>
        <w:tc>
          <w:tcPr>
            <w:tcW w:type="dxa" w:w="2160"/>
            <w:tcMar>
              <w:top w:w="60" w:type="dxa"/>
              <w:bottom w:w="60" w:type="dxa"/>
              <w:start w:w="110" w:type="dxa"/>
              <w:end w:w="110" w:type="dxa"/>
            </w:tcMar>
          </w:tcPr>
          <w:p>
            <w:r>
              <w:rPr>
                <w:sz w:val="18"/>
              </w:rPr>
              <w:t>09 – 12 juin</w:t>
            </w:r>
          </w:p>
        </w:tc>
        <w:tc>
          <w:tcPr>
            <w:tcW w:type="dxa" w:w="2880"/>
            <w:tcMar>
              <w:top w:w="60" w:type="dxa"/>
              <w:bottom w:w="60" w:type="dxa"/>
              <w:start w:w="110" w:type="dxa"/>
              <w:end w:w="110" w:type="dxa"/>
            </w:tcMar>
          </w:tcPr>
          <w:p>
            <w:r>
              <w:rPr>
                <w:sz w:val="18"/>
              </w:rPr>
              <w:t>Note de cadrage validée</w:t>
            </w:r>
          </w:p>
        </w:tc>
      </w:tr>
      <w:tr>
        <w:tc>
          <w:tcPr>
            <w:tcW w:type="dxa" w:w="864"/>
            <w:tcMar>
              <w:top w:w="60" w:type="dxa"/>
              <w:bottom w:w="60" w:type="dxa"/>
              <w:start w:w="110" w:type="dxa"/>
              <w:end w:w="110" w:type="dxa"/>
            </w:tcMar>
            <w:shd w:val="clear" w:color="auto" w:fill="F4F7FB"/>
          </w:tcPr>
          <w:p>
            <w:r>
              <w:rPr>
                <w:b/>
                <w:color w:val="1B3A63"/>
                <w:sz w:val="18"/>
              </w:rPr>
              <w:t>2</w:t>
            </w:r>
          </w:p>
        </w:tc>
        <w:tc>
          <w:tcPr>
            <w:tcW w:type="dxa" w:w="3456"/>
            <w:tcMar>
              <w:top w:w="60" w:type="dxa"/>
              <w:bottom w:w="60" w:type="dxa"/>
              <w:start w:w="110" w:type="dxa"/>
              <w:end w:w="110" w:type="dxa"/>
            </w:tcMar>
            <w:shd w:val="clear" w:color="auto" w:fill="F4F7FB"/>
          </w:tcPr>
          <w:p>
            <w:r>
              <w:rPr>
                <w:sz w:val="18"/>
              </w:rPr>
              <w:t>Conception &amp; architecture</w:t>
            </w:r>
          </w:p>
        </w:tc>
        <w:tc>
          <w:tcPr>
            <w:tcW w:type="dxa" w:w="2160"/>
            <w:tcMar>
              <w:top w:w="60" w:type="dxa"/>
              <w:bottom w:w="60" w:type="dxa"/>
              <w:start w:w="110" w:type="dxa"/>
              <w:end w:w="110" w:type="dxa"/>
            </w:tcMar>
            <w:shd w:val="clear" w:color="auto" w:fill="F4F7FB"/>
          </w:tcPr>
          <w:p>
            <w:r>
              <w:rPr>
                <w:sz w:val="18"/>
              </w:rPr>
              <w:t>13 – 17 juin</w:t>
            </w:r>
          </w:p>
        </w:tc>
        <w:tc>
          <w:tcPr>
            <w:tcW w:type="dxa" w:w="2880"/>
            <w:tcMar>
              <w:top w:w="60" w:type="dxa"/>
              <w:bottom w:w="60" w:type="dxa"/>
              <w:start w:w="110" w:type="dxa"/>
              <w:end w:w="110" w:type="dxa"/>
            </w:tcMar>
            <w:shd w:val="clear" w:color="auto" w:fill="F4F7FB"/>
          </w:tcPr>
          <w:p>
            <w:r>
              <w:rPr>
                <w:sz w:val="18"/>
              </w:rPr>
              <w:t>Maquettes + plan de données validés</w:t>
            </w:r>
          </w:p>
        </w:tc>
      </w:tr>
      <w:tr>
        <w:tc>
          <w:tcPr>
            <w:tcW w:type="dxa" w:w="864"/>
            <w:tcMar>
              <w:top w:w="60" w:type="dxa"/>
              <w:bottom w:w="60" w:type="dxa"/>
              <w:start w:w="110" w:type="dxa"/>
              <w:end w:w="110" w:type="dxa"/>
            </w:tcMar>
          </w:tcPr>
          <w:p>
            <w:r>
              <w:rPr>
                <w:b/>
                <w:color w:val="1B3A63"/>
                <w:sz w:val="18"/>
              </w:rPr>
              <w:t>3</w:t>
            </w:r>
          </w:p>
        </w:tc>
        <w:tc>
          <w:tcPr>
            <w:tcW w:type="dxa" w:w="3456"/>
            <w:tcMar>
              <w:top w:w="60" w:type="dxa"/>
              <w:bottom w:w="60" w:type="dxa"/>
              <w:start w:w="110" w:type="dxa"/>
              <w:end w:w="110" w:type="dxa"/>
            </w:tcMar>
          </w:tcPr>
          <w:p>
            <w:r>
              <w:rPr>
                <w:sz w:val="18"/>
              </w:rPr>
              <w:t>Production &amp; développement</w:t>
            </w:r>
          </w:p>
        </w:tc>
        <w:tc>
          <w:tcPr>
            <w:tcW w:type="dxa" w:w="2160"/>
            <w:tcMar>
              <w:top w:w="60" w:type="dxa"/>
              <w:bottom w:w="60" w:type="dxa"/>
              <w:start w:w="110" w:type="dxa"/>
              <w:end w:w="110" w:type="dxa"/>
            </w:tcMar>
          </w:tcPr>
          <w:p>
            <w:r>
              <w:rPr>
                <w:sz w:val="18"/>
              </w:rPr>
              <w:t>18 – 27 juin</w:t>
            </w:r>
          </w:p>
        </w:tc>
        <w:tc>
          <w:tcPr>
            <w:tcW w:type="dxa" w:w="2880"/>
            <w:tcMar>
              <w:top w:w="60" w:type="dxa"/>
              <w:bottom w:w="60" w:type="dxa"/>
              <w:start w:w="110" w:type="dxa"/>
              <w:end w:w="110" w:type="dxa"/>
            </w:tcMar>
          </w:tcPr>
          <w:p>
            <w:r>
              <w:rPr>
                <w:sz w:val="18"/>
              </w:rPr>
              <w:t>Prototype fonctionnel</w:t>
            </w:r>
          </w:p>
        </w:tc>
      </w:tr>
      <w:tr>
        <w:tc>
          <w:tcPr>
            <w:tcW w:type="dxa" w:w="864"/>
            <w:tcMar>
              <w:top w:w="60" w:type="dxa"/>
              <w:bottom w:w="60" w:type="dxa"/>
              <w:start w:w="110" w:type="dxa"/>
              <w:end w:w="110" w:type="dxa"/>
            </w:tcMar>
            <w:shd w:val="clear" w:color="auto" w:fill="F4F7FB"/>
          </w:tcPr>
          <w:p>
            <w:r>
              <w:rPr>
                <w:b/>
                <w:color w:val="1B3A63"/>
                <w:sz w:val="18"/>
              </w:rPr>
              <w:t>4</w:t>
            </w:r>
          </w:p>
        </w:tc>
        <w:tc>
          <w:tcPr>
            <w:tcW w:type="dxa" w:w="3456"/>
            <w:tcMar>
              <w:top w:w="60" w:type="dxa"/>
              <w:bottom w:w="60" w:type="dxa"/>
              <w:start w:w="110" w:type="dxa"/>
              <w:end w:w="110" w:type="dxa"/>
            </w:tcMar>
            <w:shd w:val="clear" w:color="auto" w:fill="F4F7FB"/>
          </w:tcPr>
          <w:p>
            <w:r>
              <w:rPr>
                <w:sz w:val="18"/>
              </w:rPr>
              <w:t>Intégration &amp; tests</w:t>
            </w:r>
          </w:p>
        </w:tc>
        <w:tc>
          <w:tcPr>
            <w:tcW w:type="dxa" w:w="2160"/>
            <w:tcMar>
              <w:top w:w="60" w:type="dxa"/>
              <w:bottom w:w="60" w:type="dxa"/>
              <w:start w:w="110" w:type="dxa"/>
              <w:end w:w="110" w:type="dxa"/>
            </w:tcMar>
            <w:shd w:val="clear" w:color="auto" w:fill="F4F7FB"/>
          </w:tcPr>
          <w:p>
            <w:r>
              <w:rPr>
                <w:sz w:val="18"/>
              </w:rPr>
              <w:t>28 juin – 01 juil.</w:t>
            </w:r>
          </w:p>
        </w:tc>
        <w:tc>
          <w:tcPr>
            <w:tcW w:type="dxa" w:w="2880"/>
            <w:tcMar>
              <w:top w:w="60" w:type="dxa"/>
              <w:bottom w:w="60" w:type="dxa"/>
              <w:start w:w="110" w:type="dxa"/>
              <w:end w:w="110" w:type="dxa"/>
            </w:tcMar>
            <w:shd w:val="clear" w:color="auto" w:fill="F4F7FB"/>
          </w:tcPr>
          <w:p>
            <w:r>
              <w:rPr>
                <w:sz w:val="18"/>
              </w:rPr>
              <w:t>Solution recettée + rapport rédigé</w:t>
            </w:r>
          </w:p>
        </w:tc>
      </w:tr>
      <w:tr>
        <w:tc>
          <w:tcPr>
            <w:tcW w:type="dxa" w:w="864"/>
            <w:tcMar>
              <w:top w:w="60" w:type="dxa"/>
              <w:bottom w:w="60" w:type="dxa"/>
              <w:start w:w="110" w:type="dxa"/>
              <w:end w:w="110" w:type="dxa"/>
            </w:tcMar>
          </w:tcPr>
          <w:p>
            <w:r>
              <w:rPr>
                <w:b/>
                <w:color w:val="1B3A63"/>
                <w:sz w:val="18"/>
              </w:rPr>
              <w:t>5</w:t>
            </w:r>
          </w:p>
        </w:tc>
        <w:tc>
          <w:tcPr>
            <w:tcW w:type="dxa" w:w="3456"/>
            <w:tcMar>
              <w:top w:w="60" w:type="dxa"/>
              <w:bottom w:w="60" w:type="dxa"/>
              <w:start w:w="110" w:type="dxa"/>
              <w:end w:w="110" w:type="dxa"/>
            </w:tcMar>
          </w:tcPr>
          <w:p>
            <w:r>
              <w:rPr>
                <w:sz w:val="18"/>
              </w:rPr>
              <w:t>Finalisation &amp; livraison</w:t>
            </w:r>
          </w:p>
        </w:tc>
        <w:tc>
          <w:tcPr>
            <w:tcW w:type="dxa" w:w="2160"/>
            <w:tcMar>
              <w:top w:w="60" w:type="dxa"/>
              <w:bottom w:w="60" w:type="dxa"/>
              <w:start w:w="110" w:type="dxa"/>
              <w:end w:w="110" w:type="dxa"/>
            </w:tcMar>
          </w:tcPr>
          <w:p>
            <w:r>
              <w:rPr>
                <w:sz w:val="18"/>
              </w:rPr>
              <w:t>02 – 03 juillet</w:t>
            </w:r>
          </w:p>
        </w:tc>
        <w:tc>
          <w:tcPr>
            <w:tcW w:type="dxa" w:w="2880"/>
            <w:tcMar>
              <w:top w:w="60" w:type="dxa"/>
              <w:bottom w:w="60" w:type="dxa"/>
              <w:start w:w="110" w:type="dxa"/>
              <w:end w:w="110" w:type="dxa"/>
            </w:tcMar>
          </w:tcPr>
          <w:p>
            <w:r>
              <w:rPr>
                <w:sz w:val="18"/>
              </w:rPr>
              <w:t>Dossier complet déposé</w:t>
            </w:r>
          </w:p>
        </w:tc>
      </w:tr>
    </w:tbl>
    <w:p>
      <w:pPr>
        <w:spacing w:after="40"/>
      </w:pPr>
    </w:p>
    <w:p>
      <w:pPr>
        <w:spacing w:before="0" w:after="80"/>
      </w:pPr>
      <w:r>
        <w:rPr>
          <w:b w:val="0"/>
          <w:i w:val="0"/>
          <w:sz w:val="21"/>
        </w:rPr>
        <w:t>Le périmètre effectivement livré a largement dépassé le MVP initial : les phases techniques internes P1 à P10.16 (collecte, indicateurs DEESP, cartographie, validation terrain, incidents, chatbot, tronçons codifiés, authentification, exports) ont toutes été menées à leur terme et déployées en production.</w:t>
      </w:r>
    </w:p>
    <w:p>
      <w:r>
        <w:br w:type="page"/>
      </w:r>
    </w:p>
    <w:p>
      <w:pPr>
        <w:pStyle w:val="Heading1"/>
      </w:pPr>
      <w:r>
        <w:t>12. Conformité DEESP et recommandations opérationnelles</w:t>
      </w:r>
    </w:p>
    <w:p>
      <w:pPr>
        <w:spacing w:before="0" w:after="120"/>
      </w:pPr>
      <w:r>
        <w:rPr>
          <w:b w:val="0"/>
          <w:i w:val="0"/>
          <w:sz w:val="21"/>
        </w:rPr>
        <w:t>L’application implémente la méthodologie officielle du rapport DEESP/DEEF d’octobre 2025 : collecte à l’heure pleine, distinction jours ouvrables / week-ends, critère couleur de congestion, règles d’occurrence (un tronçon est congestionné s’il l’est au moins 3 fois sur un jour-type ou au moins 4 fois dans la semaine à la même tranche horaire), et publication des 5 indicateurs DEESP en minutes.</w:t>
      </w:r>
    </w:p>
    <w:p>
      <w:pPr>
        <w:spacing w:before="0" w:after="120"/>
      </w:pPr>
      <w:r>
        <w:rPr>
          <w:b w:val="0"/>
          <w:i w:val="0"/>
          <w:sz w:val="21"/>
        </w:rPr>
        <w:t>Le rapport officiel conclut sur cinq recommandations. PAA-Traverse en éclaire directement plusieurs :</w:t>
      </w:r>
    </w:p>
    <w:tbl>
      <w:tblPr>
        <w:tblStyle w:val="TableGrid"/>
        <w:tblW w:type="auto" w:w="0"/>
        <w:jc w:val="center"/>
        <w:tblLook w:firstColumn="1" w:firstRow="1" w:lastColumn="0" w:lastRow="0" w:noHBand="0" w:noVBand="1" w:val="04A0"/>
      </w:tblPr>
      <w:tblGrid>
        <w:gridCol w:w="4873"/>
        <w:gridCol w:w="4873"/>
      </w:tblGrid>
      <w:tr>
        <w:tc>
          <w:tcPr>
            <w:tcW w:type="dxa" w:w="4176"/>
            <w:shd w:val="clear" w:color="auto" w:fill="0F2240"/>
            <w:tcMar>
              <w:top w:w="60" w:type="dxa"/>
              <w:bottom w:w="60" w:type="dxa"/>
              <w:start w:w="110" w:type="dxa"/>
              <w:end w:w="110" w:type="dxa"/>
            </w:tcMar>
          </w:tcPr>
          <w:p>
            <w:pPr>
              <w:jc w:val="left"/>
            </w:pPr>
            <w:r>
              <w:rPr>
                <w:b/>
                <w:color w:val="FFFFFF"/>
                <w:sz w:val="19"/>
              </w:rPr>
              <w:t>Recommandation DEESP</w:t>
            </w:r>
          </w:p>
        </w:tc>
        <w:tc>
          <w:tcPr>
            <w:tcW w:type="dxa" w:w="4896"/>
            <w:shd w:val="clear" w:color="auto" w:fill="0F2240"/>
            <w:tcMar>
              <w:top w:w="60" w:type="dxa"/>
              <w:bottom w:w="60" w:type="dxa"/>
              <w:start w:w="110" w:type="dxa"/>
              <w:end w:w="110" w:type="dxa"/>
            </w:tcMar>
          </w:tcPr>
          <w:p>
            <w:pPr>
              <w:jc w:val="left"/>
            </w:pPr>
            <w:r>
              <w:rPr>
                <w:b/>
                <w:color w:val="FFFFFF"/>
                <w:sz w:val="19"/>
              </w:rPr>
              <w:t>Apport de PAA-Traverse</w:t>
            </w:r>
          </w:p>
        </w:tc>
      </w:tr>
      <w:tr>
        <w:tc>
          <w:tcPr>
            <w:tcW w:type="dxa" w:w="4176"/>
            <w:tcMar>
              <w:top w:w="60" w:type="dxa"/>
              <w:bottom w:w="60" w:type="dxa"/>
              <w:start w:w="110" w:type="dxa"/>
              <w:end w:w="110" w:type="dxa"/>
            </w:tcMar>
          </w:tcPr>
          <w:p>
            <w:r>
              <w:rPr>
                <w:b/>
                <w:color w:val="1B3A63"/>
                <w:sz w:val="18"/>
              </w:rPr>
              <w:t>Programmation et appel des camions hors congestion</w:t>
            </w:r>
          </w:p>
        </w:tc>
        <w:tc>
          <w:tcPr>
            <w:tcW w:type="dxa" w:w="4896"/>
            <w:tcMar>
              <w:top w:w="60" w:type="dxa"/>
              <w:bottom w:w="60" w:type="dxa"/>
              <w:start w:w="110" w:type="dxa"/>
              <w:end w:w="110" w:type="dxa"/>
            </w:tcMar>
          </w:tcPr>
          <w:p>
            <w:r>
              <w:rPr>
                <w:sz w:val="18"/>
              </w:rPr>
              <w:t>La page Heure optimale identifie les créneaux fluides par tronçon.</w:t>
            </w:r>
          </w:p>
        </w:tc>
      </w:tr>
      <w:tr>
        <w:tc>
          <w:tcPr>
            <w:tcW w:type="dxa" w:w="4176"/>
            <w:tcMar>
              <w:top w:w="60" w:type="dxa"/>
              <w:bottom w:w="60" w:type="dxa"/>
              <w:start w:w="110" w:type="dxa"/>
              <w:end w:w="110" w:type="dxa"/>
            </w:tcMar>
            <w:shd w:val="clear" w:color="auto" w:fill="F4F7FB"/>
          </w:tcPr>
          <w:p>
            <w:r>
              <w:rPr>
                <w:b/>
                <w:color w:val="1B3A63"/>
                <w:sz w:val="18"/>
              </w:rPr>
              <w:t>Relocalisation des cités résidentielles du port</w:t>
            </w:r>
          </w:p>
        </w:tc>
        <w:tc>
          <w:tcPr>
            <w:tcW w:type="dxa" w:w="4896"/>
            <w:tcMar>
              <w:top w:w="60" w:type="dxa"/>
              <w:bottom w:w="60" w:type="dxa"/>
              <w:start w:w="110" w:type="dxa"/>
              <w:end w:w="110" w:type="dxa"/>
            </w:tcMar>
            <w:shd w:val="clear" w:color="auto" w:fill="F4F7FB"/>
          </w:tcPr>
          <w:p>
            <w:r>
              <w:rPr>
                <w:sz w:val="18"/>
              </w:rPr>
              <w:t>Les tronçons fréquemment congestionnés sont objectivés par la donnée.</w:t>
            </w:r>
          </w:p>
        </w:tc>
      </w:tr>
      <w:tr>
        <w:tc>
          <w:tcPr>
            <w:tcW w:type="dxa" w:w="4176"/>
            <w:tcMar>
              <w:top w:w="60" w:type="dxa"/>
              <w:bottom w:w="60" w:type="dxa"/>
              <w:start w:w="110" w:type="dxa"/>
              <w:end w:w="110" w:type="dxa"/>
            </w:tcMar>
          </w:tcPr>
          <w:p>
            <w:r>
              <w:rPr>
                <w:b/>
                <w:color w:val="1B3A63"/>
                <w:sz w:val="18"/>
              </w:rPr>
              <w:t>Délocalisation de la SICTA</w:t>
            </w:r>
          </w:p>
        </w:tc>
        <w:tc>
          <w:tcPr>
            <w:tcW w:type="dxa" w:w="4896"/>
            <w:tcMar>
              <w:top w:w="60" w:type="dxa"/>
              <w:bottom w:w="60" w:type="dxa"/>
              <w:start w:w="110" w:type="dxa"/>
              <w:end w:w="110" w:type="dxa"/>
            </w:tcMar>
          </w:tcPr>
          <w:p>
            <w:r>
              <w:rPr>
                <w:sz w:val="18"/>
              </w:rPr>
              <w:t>L’impact d’un flux additionnel sur les axes saturés est mesurable.</w:t>
            </w:r>
          </w:p>
        </w:tc>
      </w:tr>
      <w:tr>
        <w:tc>
          <w:tcPr>
            <w:tcW w:type="dxa" w:w="4176"/>
            <w:tcMar>
              <w:top w:w="60" w:type="dxa"/>
              <w:bottom w:w="60" w:type="dxa"/>
              <w:start w:w="110" w:type="dxa"/>
              <w:end w:w="110" w:type="dxa"/>
            </w:tcMar>
            <w:shd w:val="clear" w:color="auto" w:fill="F4F7FB"/>
          </w:tcPr>
          <w:p>
            <w:r>
              <w:rPr>
                <w:b/>
                <w:color w:val="1B3A63"/>
                <w:sz w:val="18"/>
              </w:rPr>
              <w:t>Réparation des défauts d’asphaltage</w:t>
            </w:r>
          </w:p>
        </w:tc>
        <w:tc>
          <w:tcPr>
            <w:tcW w:type="dxa" w:w="4896"/>
            <w:tcMar>
              <w:top w:w="60" w:type="dxa"/>
              <w:bottom w:w="60" w:type="dxa"/>
              <w:start w:w="110" w:type="dxa"/>
              <w:end w:w="110" w:type="dxa"/>
            </w:tcMar>
            <w:shd w:val="clear" w:color="auto" w:fill="F4F7FB"/>
          </w:tcPr>
          <w:p>
            <w:r>
              <w:rPr>
                <w:sz w:val="18"/>
              </w:rPr>
              <w:t>Les tronçons codifiés localisent les points de ralentissement à traiter.</w:t>
            </w:r>
          </w:p>
        </w:tc>
      </w:tr>
      <w:tr>
        <w:tc>
          <w:tcPr>
            <w:tcW w:type="dxa" w:w="4176"/>
            <w:tcMar>
              <w:top w:w="60" w:type="dxa"/>
              <w:bottom w:w="60" w:type="dxa"/>
              <w:start w:w="110" w:type="dxa"/>
              <w:end w:w="110" w:type="dxa"/>
            </w:tcMar>
          </w:tcPr>
          <w:p>
            <w:r>
              <w:rPr>
                <w:b/>
                <w:color w:val="1B3A63"/>
                <w:sz w:val="18"/>
              </w:rPr>
              <w:t>Système d’alerte temps réel</w:t>
            </w:r>
          </w:p>
        </w:tc>
        <w:tc>
          <w:tcPr>
            <w:tcW w:type="dxa" w:w="4896"/>
            <w:tcMar>
              <w:top w:w="60" w:type="dxa"/>
              <w:bottom w:w="60" w:type="dxa"/>
              <w:start w:w="110" w:type="dxa"/>
              <w:end w:w="110" w:type="dxa"/>
            </w:tcMar>
          </w:tcPr>
          <w:p>
            <w:r>
              <w:rPr>
                <w:sz w:val="18"/>
              </w:rPr>
              <w:t>Cœur de l’application : carte temps réel, badge incidents, WebSocket.</w:t>
            </w:r>
          </w:p>
        </w:tc>
      </w:tr>
    </w:tbl>
    <w:p>
      <w:pPr>
        <w:spacing w:after="40"/>
      </w:pPr>
    </w:p>
    <w:tbl>
      <w:tblPr>
        <w:tblStyle w:val="TableGrid"/>
        <w:tblW w:type="auto" w:w="0"/>
        <w:jc w:val="center"/>
        <w:tblLook w:firstColumn="1" w:firstRow="1" w:lastColumn="0" w:lastRow="0" w:noHBand="0" w:noVBand="1" w:val="04A0"/>
      </w:tblPr>
      <w:tblGrid>
        <w:gridCol w:w="9746"/>
      </w:tblGrid>
      <w:tr>
        <w:tc>
          <w:tcPr>
            <w:tcW w:type="dxa" w:w="9072"/>
            <w:shd w:val="clear" w:color="auto" w:fill="EAF0F7"/>
            <w:tcMar>
              <w:top w:w="110" w:type="dxa"/>
              <w:bottom w:w="110" w:type="dxa"/>
              <w:start w:w="150" w:type="dxa"/>
              <w:end w:w="150" w:type="dxa"/>
            </w:tcMar>
          </w:tcPr>
          <w:p>
            <w:r>
              <w:rPr>
                <w:b/>
                <w:color w:val="1E5F9E"/>
                <w:sz w:val="20"/>
              </w:rPr>
              <w:t>Le point 5 est la contribution directe du prototype</w:t>
            </w:r>
          </w:p>
          <w:p>
            <w:r>
              <w:rPr>
                <w:sz w:val="20"/>
              </w:rPr>
              <w:t>La recommandation d’un « système d’alerte temps réel sur les conditions de circulation » correspond exactement à ce que PAA-Traverse met en œuvre. C’est l’argument à mettre en avant devant les autorités.</w:t>
            </w:r>
          </w:p>
        </w:tc>
      </w:tr>
    </w:tbl>
    <w:p>
      <w:pPr>
        <w:spacing w:after="40"/>
      </w:pPr>
    </w:p>
    <w:p>
      <w:r>
        <w:br w:type="page"/>
      </w:r>
    </w:p>
    <w:p>
      <w:pPr>
        <w:pStyle w:val="Heading1"/>
      </w:pPr>
      <w:r>
        <w:t>13. Limites actuelles et perspectives</w:t>
      </w:r>
    </w:p>
    <w:p>
      <w:pPr>
        <w:pStyle w:val="Heading2"/>
      </w:pPr>
      <w:r>
        <w:t>13.1 Limites assumées</w:t>
      </w:r>
    </w:p>
    <w:p>
      <w:pPr>
        <w:pStyle w:val="ListBullet"/>
        <w:spacing w:after="60"/>
      </w:pPr>
      <w:r>
        <w:rPr>
          <w:sz w:val="21"/>
        </w:rPr>
        <w:t>Relevés terrain encore partiellement synthétiques : la boucle de validation fonctionne, mais l’alignement définitif exige des campagnes GPS régulières d’un opérateur PAA.</w:t>
      </w:r>
    </w:p>
    <w:p>
      <w:pPr>
        <w:pStyle w:val="ListBullet"/>
        <w:spacing w:after="60"/>
      </w:pPr>
      <w:r>
        <w:rPr>
          <w:sz w:val="21"/>
        </w:rPr>
        <w:t>OSRM optionnel : sans lui, les nouveaux tronçons s’affichent en ligne droite (esthétique) ; la collecte et l’analyse ne sont pas affectées.</w:t>
      </w:r>
    </w:p>
    <w:p>
      <w:pPr>
        <w:pStyle w:val="ListBullet"/>
        <w:spacing w:after="60"/>
      </w:pPr>
      <w:r>
        <w:rPr>
          <w:sz w:val="21"/>
        </w:rPr>
        <w:t>Couverture Google : en l’absence de couleurs fournies par Google sur un tronçon, l’état reste « indéterminé » (gris) — aucune valeur n’est inventée.</w:t>
      </w:r>
    </w:p>
    <w:p>
      <w:pPr>
        <w:pStyle w:val="ListBullet"/>
        <w:spacing w:after="60"/>
      </w:pPr>
      <w:r>
        <w:rPr>
          <w:sz w:val="21"/>
        </w:rPr>
        <w:t>Historique pluriannuel : les nouveaux tronçons n’apparaissent dans le graphe pluriannuel qu’une fois un mois complet collecté.</w:t>
      </w:r>
    </w:p>
    <w:p>
      <w:pPr>
        <w:pStyle w:val="Heading2"/>
      </w:pPr>
      <w:r>
        <w:t>13.2 Perspectives post-hackathon</w:t>
      </w:r>
    </w:p>
    <w:p>
      <w:pPr>
        <w:pStyle w:val="ListBullet"/>
        <w:spacing w:after="60"/>
      </w:pPr>
      <w:r>
        <w:rPr>
          <w:sz w:val="21"/>
        </w:rPr>
        <w:t>Campagnes GPS terrain régulières pour consolider la calibration.</w:t>
      </w:r>
    </w:p>
    <w:p>
      <w:pPr>
        <w:pStyle w:val="ListBullet"/>
        <w:spacing w:after="60"/>
      </w:pPr>
      <w:r>
        <w:rPr>
          <w:sz w:val="21"/>
        </w:rPr>
        <w:t>OSRM en production permanente pour les polylines routières et la confiance de matching.</w:t>
      </w:r>
    </w:p>
    <w:p>
      <w:pPr>
        <w:pStyle w:val="ListBullet"/>
        <w:spacing w:after="60"/>
      </w:pPr>
      <w:r>
        <w:rPr>
          <w:sz w:val="21"/>
        </w:rPr>
        <w:t>Modèle prédictif (Random Forest) évalué honnêtement face au prédicteur par profils horaires.</w:t>
      </w:r>
    </w:p>
    <w:p>
      <w:pPr>
        <w:pStyle w:val="ListBullet"/>
        <w:spacing w:after="60"/>
      </w:pPr>
      <w:r>
        <w:rPr>
          <w:sz w:val="21"/>
        </w:rPr>
        <w:t>Tests automatisés, cache Redis étendu et optimisation des performances mobiles.</w:t>
      </w:r>
    </w:p>
    <w:p>
      <w:r>
        <w:br w:type="page"/>
      </w:r>
    </w:p>
    <w:p>
      <w:pPr>
        <w:pStyle w:val="Heading1"/>
      </w:pPr>
      <w:r>
        <w:t>14. Liens d’accès et ressources</w:t>
      </w:r>
    </w:p>
    <w:p>
      <w:pPr>
        <w:spacing w:before="0" w:after="120"/>
      </w:pPr>
      <w:r>
        <w:rPr>
          <w:b w:val="0"/>
          <w:i w:val="0"/>
          <w:sz w:val="21"/>
        </w:rPr>
        <w:t>Les liens ci-dessous donnent accès à l’application en ligne, à son code source et à sa documentation technique interactive.</w:t>
      </w:r>
    </w:p>
    <w:tbl>
      <w:tblPr>
        <w:tblStyle w:val="TableGrid"/>
        <w:tblW w:type="auto" w:w="0"/>
        <w:jc w:val="center"/>
        <w:tblLook w:firstColumn="1" w:firstRow="1" w:lastColumn="0" w:lastRow="0" w:noHBand="0" w:noVBand="1" w:val="04A0"/>
      </w:tblPr>
      <w:tblGrid>
        <w:gridCol w:w="4873"/>
        <w:gridCol w:w="4873"/>
      </w:tblGrid>
      <w:tr>
        <w:tc>
          <w:tcPr>
            <w:tcW w:type="dxa" w:w="3888"/>
            <w:shd w:val="clear" w:color="auto" w:fill="0F2240"/>
            <w:tcMar>
              <w:top w:w="60" w:type="dxa"/>
              <w:bottom w:w="60" w:type="dxa"/>
              <w:start w:w="110" w:type="dxa"/>
              <w:end w:w="110" w:type="dxa"/>
            </w:tcMar>
          </w:tcPr>
          <w:p>
            <w:pPr>
              <w:jc w:val="left"/>
            </w:pPr>
            <w:r>
              <w:rPr>
                <w:b/>
                <w:color w:val="FFFFFF"/>
                <w:sz w:val="19"/>
              </w:rPr>
              <w:t>Ressource</w:t>
            </w:r>
          </w:p>
        </w:tc>
        <w:tc>
          <w:tcPr>
            <w:tcW w:type="dxa" w:w="5184"/>
            <w:shd w:val="clear" w:color="auto" w:fill="0F2240"/>
            <w:tcMar>
              <w:top w:w="60" w:type="dxa"/>
              <w:bottom w:w="60" w:type="dxa"/>
              <w:start w:w="110" w:type="dxa"/>
              <w:end w:w="110" w:type="dxa"/>
            </w:tcMar>
          </w:tcPr>
          <w:p>
            <w:pPr>
              <w:jc w:val="left"/>
            </w:pPr>
            <w:r>
              <w:rPr>
                <w:b/>
                <w:color w:val="FFFFFF"/>
                <w:sz w:val="19"/>
              </w:rPr>
              <w:t>Lien</w:t>
            </w:r>
          </w:p>
        </w:tc>
      </w:tr>
      <w:tr>
        <w:tc>
          <w:tcPr>
            <w:tcW w:type="dxa" w:w="3888"/>
            <w:tcMar>
              <w:top w:w="60" w:type="dxa"/>
              <w:bottom w:w="60" w:type="dxa"/>
              <w:start w:w="110" w:type="dxa"/>
              <w:end w:w="110" w:type="dxa"/>
            </w:tcMar>
          </w:tcPr>
          <w:p>
            <w:r>
              <w:rPr>
                <w:b/>
                <w:color w:val="1B3A63"/>
                <w:sz w:val="18"/>
              </w:rPr>
              <w:t>Application en ligne (frontend)</w:t>
            </w:r>
          </w:p>
        </w:tc>
        <w:tc>
          <w:tcPr>
            <w:tcW w:type="dxa" w:w="5184"/>
            <w:tcMar>
              <w:top w:w="60" w:type="dxa"/>
              <w:bottom w:w="60" w:type="dxa"/>
              <w:start w:w="110" w:type="dxa"/>
              <w:end w:w="110" w:type="dxa"/>
            </w:tcMar>
          </w:tcPr>
          <w:p>
            <w:r>
              <w:rPr>
                <w:sz w:val="18"/>
              </w:rPr>
              <w:t>https://frontend-production-599c.up.railway.app</w:t>
            </w:r>
          </w:p>
        </w:tc>
      </w:tr>
      <w:tr>
        <w:tc>
          <w:tcPr>
            <w:tcW w:type="dxa" w:w="3888"/>
            <w:tcMar>
              <w:top w:w="60" w:type="dxa"/>
              <w:bottom w:w="60" w:type="dxa"/>
              <w:start w:w="110" w:type="dxa"/>
              <w:end w:w="110" w:type="dxa"/>
            </w:tcMar>
            <w:shd w:val="clear" w:color="auto" w:fill="F4F7FB"/>
          </w:tcPr>
          <w:p>
            <w:r>
              <w:rPr>
                <w:b/>
                <w:color w:val="1B3A63"/>
                <w:sz w:val="18"/>
              </w:rPr>
              <w:t>API backend (production)</w:t>
            </w:r>
          </w:p>
        </w:tc>
        <w:tc>
          <w:tcPr>
            <w:tcW w:type="dxa" w:w="5184"/>
            <w:tcMar>
              <w:top w:w="60" w:type="dxa"/>
              <w:bottom w:w="60" w:type="dxa"/>
              <w:start w:w="110" w:type="dxa"/>
              <w:end w:w="110" w:type="dxa"/>
            </w:tcMar>
            <w:shd w:val="clear" w:color="auto" w:fill="F4F7FB"/>
          </w:tcPr>
          <w:p>
            <w:r>
              <w:rPr>
                <w:sz w:val="18"/>
              </w:rPr>
              <w:t>https://backend-production-6cbf.up.railway.app</w:t>
            </w:r>
          </w:p>
        </w:tc>
      </w:tr>
      <w:tr>
        <w:tc>
          <w:tcPr>
            <w:tcW w:type="dxa" w:w="3888"/>
            <w:tcMar>
              <w:top w:w="60" w:type="dxa"/>
              <w:bottom w:w="60" w:type="dxa"/>
              <w:start w:w="110" w:type="dxa"/>
              <w:end w:w="110" w:type="dxa"/>
            </w:tcMar>
          </w:tcPr>
          <w:p>
            <w:r>
              <w:rPr>
                <w:b/>
                <w:color w:val="1B3A63"/>
                <w:sz w:val="18"/>
              </w:rPr>
              <w:t>Documentation interactive de l’API (Swagger)</w:t>
            </w:r>
          </w:p>
        </w:tc>
        <w:tc>
          <w:tcPr>
            <w:tcW w:type="dxa" w:w="5184"/>
            <w:tcMar>
              <w:top w:w="60" w:type="dxa"/>
              <w:bottom w:w="60" w:type="dxa"/>
              <w:start w:w="110" w:type="dxa"/>
              <w:end w:w="110" w:type="dxa"/>
            </w:tcMar>
          </w:tcPr>
          <w:p>
            <w:r>
              <w:rPr>
                <w:sz w:val="18"/>
              </w:rPr>
              <w:t>https://backend-production-6cbf.up.railway.app/docs</w:t>
            </w:r>
          </w:p>
        </w:tc>
      </w:tr>
      <w:tr>
        <w:tc>
          <w:tcPr>
            <w:tcW w:type="dxa" w:w="3888"/>
            <w:tcMar>
              <w:top w:w="60" w:type="dxa"/>
              <w:bottom w:w="60" w:type="dxa"/>
              <w:start w:w="110" w:type="dxa"/>
              <w:end w:w="110" w:type="dxa"/>
            </w:tcMar>
            <w:shd w:val="clear" w:color="auto" w:fill="F4F7FB"/>
          </w:tcPr>
          <w:p>
            <w:r>
              <w:rPr>
                <w:b/>
                <w:color w:val="1B3A63"/>
                <w:sz w:val="18"/>
              </w:rPr>
              <w:t>Dépôt de code source (GitHub)</w:t>
            </w:r>
          </w:p>
        </w:tc>
        <w:tc>
          <w:tcPr>
            <w:tcW w:type="dxa" w:w="5184"/>
            <w:tcMar>
              <w:top w:w="60" w:type="dxa"/>
              <w:bottom w:w="60" w:type="dxa"/>
              <w:start w:w="110" w:type="dxa"/>
              <w:end w:w="110" w:type="dxa"/>
            </w:tcMar>
            <w:shd w:val="clear" w:color="auto" w:fill="F4F7FB"/>
          </w:tcPr>
          <w:p>
            <w:r>
              <w:rPr>
                <w:sz w:val="18"/>
              </w:rPr>
              <w:t>https://github.com/jasonemmanue/PAA_Project</w:t>
            </w:r>
          </w:p>
        </w:tc>
      </w:tr>
      <w:tr>
        <w:tc>
          <w:tcPr>
            <w:tcW w:type="dxa" w:w="3888"/>
            <w:tcMar>
              <w:top w:w="60" w:type="dxa"/>
              <w:bottom w:w="60" w:type="dxa"/>
              <w:start w:w="110" w:type="dxa"/>
              <w:end w:w="110" w:type="dxa"/>
            </w:tcMar>
          </w:tcPr>
          <w:p>
            <w:r>
              <w:rPr>
                <w:b/>
                <w:color w:val="1B3A63"/>
                <w:sz w:val="18"/>
              </w:rPr>
              <w:t>Lien de démonstration / vidéo (à compléter)</w:t>
            </w:r>
          </w:p>
        </w:tc>
        <w:tc>
          <w:tcPr>
            <w:tcW w:type="dxa" w:w="5184"/>
            <w:tcMar>
              <w:top w:w="60" w:type="dxa"/>
              <w:bottom w:w="60" w:type="dxa"/>
              <w:start w:w="110" w:type="dxa"/>
              <w:end w:w="110" w:type="dxa"/>
            </w:tcMar>
          </w:tcPr>
          <w:p>
            <w:r>
              <w:rPr>
                <w:sz w:val="18"/>
              </w:rPr>
              <w:t>[ EMPLACEMENT — insérer le lien de la vidéo de démonstration ]</w:t>
            </w:r>
          </w:p>
        </w:tc>
      </w:tr>
      <w:tr>
        <w:tc>
          <w:tcPr>
            <w:tcW w:type="dxa" w:w="3888"/>
            <w:tcMar>
              <w:top w:w="60" w:type="dxa"/>
              <w:bottom w:w="60" w:type="dxa"/>
              <w:start w:w="110" w:type="dxa"/>
              <w:end w:w="110" w:type="dxa"/>
            </w:tcMar>
            <w:shd w:val="clear" w:color="auto" w:fill="F4F7FB"/>
          </w:tcPr>
          <w:p>
            <w:r>
              <w:rPr>
                <w:b/>
                <w:color w:val="1B3A63"/>
                <w:sz w:val="18"/>
              </w:rPr>
              <w:t>Dépôt public / miroir (facultatif)</w:t>
            </w:r>
          </w:p>
        </w:tc>
        <w:tc>
          <w:tcPr>
            <w:tcW w:type="dxa" w:w="5184"/>
            <w:tcMar>
              <w:top w:w="60" w:type="dxa"/>
              <w:bottom w:w="60" w:type="dxa"/>
              <w:start w:w="110" w:type="dxa"/>
              <w:end w:w="110" w:type="dxa"/>
            </w:tcMar>
            <w:shd w:val="clear" w:color="auto" w:fill="F4F7FB"/>
          </w:tcPr>
          <w:p>
            <w:r>
              <w:rPr>
                <w:sz w:val="18"/>
              </w:rPr>
              <w:t>[ EMPLACEMENT — insérer un lien GitHub public nettoyé si besoin ]</w:t>
            </w:r>
          </w:p>
        </w:tc>
      </w:tr>
    </w:tbl>
    <w:p>
      <w:pPr>
        <w:spacing w:after="40"/>
      </w:pPr>
    </w:p>
    <w:tbl>
      <w:tblPr>
        <w:tblStyle w:val="TableGrid"/>
        <w:tblW w:type="auto" w:w="0"/>
        <w:jc w:val="center"/>
        <w:tblLook w:firstColumn="1" w:firstRow="1" w:lastColumn="0" w:lastRow="0" w:noHBand="0" w:noVBand="1" w:val="04A0"/>
      </w:tblPr>
      <w:tblGrid>
        <w:gridCol w:w="9746"/>
      </w:tblGrid>
      <w:tr>
        <w:tc>
          <w:tcPr>
            <w:tcW w:type="dxa" w:w="9072"/>
            <w:shd w:val="clear" w:color="auto" w:fill="EAF0F7"/>
            <w:tcMar>
              <w:top w:w="110" w:type="dxa"/>
              <w:bottom w:w="110" w:type="dxa"/>
              <w:start w:w="150" w:type="dxa"/>
              <w:end w:w="150" w:type="dxa"/>
            </w:tcMar>
          </w:tcPr>
          <w:p>
            <w:r>
              <w:rPr>
                <w:b/>
                <w:color w:val="1E5F9E"/>
                <w:sz w:val="20"/>
              </w:rPr>
              <w:t>Identifiants de démonstration</w:t>
            </w:r>
          </w:p>
          <w:p>
            <w:r>
              <w:rPr>
                <w:sz w:val="20"/>
              </w:rPr>
              <w:t>L’accès se fait par mot de passe à deux niveaux : un mot de passe « lecture seule » pour la consultation et un mot de passe « lecture / écriture » pour les actions d’administration. Communiquer le niveau lecture au jury pour la démonstration. [ Préciser ici les identifiants de démonstration à remettre. ]</w:t>
            </w:r>
          </w:p>
        </w:tc>
      </w:tr>
    </w:tbl>
    <w:p>
      <w:pPr>
        <w:spacing w:after="40"/>
      </w:pPr>
    </w:p>
    <w:p>
      <w:r>
        <w:br w:type="page"/>
      </w:r>
    </w:p>
    <w:p>
      <w:pPr>
        <w:pStyle w:val="Heading1"/>
      </w:pPr>
      <w:r>
        <w:t>15. Annexes</w:t>
      </w:r>
    </w:p>
    <w:p>
      <w:pPr>
        <w:pStyle w:val="Heading2"/>
      </w:pPr>
      <w:r>
        <w:t>15.1 Principaux points d’accès de l’API</w:t>
      </w:r>
    </w:p>
    <w:tbl>
      <w:tblPr>
        <w:tblStyle w:val="TableGrid"/>
        <w:tblW w:type="auto" w:w="0"/>
        <w:jc w:val="center"/>
        <w:tblLook w:firstColumn="1" w:firstRow="1" w:lastColumn="0" w:lastRow="0" w:noHBand="0" w:noVBand="1" w:val="04A0"/>
      </w:tblPr>
      <w:tblGrid>
        <w:gridCol w:w="4873"/>
        <w:gridCol w:w="4873"/>
      </w:tblGrid>
      <w:tr>
        <w:tc>
          <w:tcPr>
            <w:tcW w:type="dxa" w:w="4176"/>
            <w:shd w:val="clear" w:color="auto" w:fill="0F2240"/>
            <w:tcMar>
              <w:top w:w="60" w:type="dxa"/>
              <w:bottom w:w="60" w:type="dxa"/>
              <w:start w:w="110" w:type="dxa"/>
              <w:end w:w="110" w:type="dxa"/>
            </w:tcMar>
          </w:tcPr>
          <w:p>
            <w:pPr>
              <w:jc w:val="left"/>
            </w:pPr>
            <w:r>
              <w:rPr>
                <w:b/>
                <w:color w:val="FFFFFF"/>
                <w:sz w:val="19"/>
              </w:rPr>
              <w:t>Endpoint</w:t>
            </w:r>
          </w:p>
        </w:tc>
        <w:tc>
          <w:tcPr>
            <w:tcW w:type="dxa" w:w="4896"/>
            <w:shd w:val="clear" w:color="auto" w:fill="0F2240"/>
            <w:tcMar>
              <w:top w:w="60" w:type="dxa"/>
              <w:bottom w:w="60" w:type="dxa"/>
              <w:start w:w="110" w:type="dxa"/>
              <w:end w:w="110" w:type="dxa"/>
            </w:tcMar>
          </w:tcPr>
          <w:p>
            <w:pPr>
              <w:jc w:val="left"/>
            </w:pPr>
            <w:r>
              <w:rPr>
                <w:b/>
                <w:color w:val="FFFFFF"/>
                <w:sz w:val="19"/>
              </w:rPr>
              <w:t>Rôle</w:t>
            </w:r>
          </w:p>
        </w:tc>
      </w:tr>
      <w:tr>
        <w:tc>
          <w:tcPr>
            <w:tcW w:type="dxa" w:w="4176"/>
            <w:tcMar>
              <w:top w:w="60" w:type="dxa"/>
              <w:bottom w:w="60" w:type="dxa"/>
              <w:start w:w="110" w:type="dxa"/>
              <w:end w:w="110" w:type="dxa"/>
            </w:tcMar>
          </w:tcPr>
          <w:p>
            <w:r>
              <w:rPr>
                <w:b/>
                <w:color w:val="1B3A63"/>
                <w:sz w:val="18"/>
              </w:rPr>
              <w:t>GET /carte/etat</w:t>
            </w:r>
          </w:p>
        </w:tc>
        <w:tc>
          <w:tcPr>
            <w:tcW w:type="dxa" w:w="4896"/>
            <w:tcMar>
              <w:top w:w="60" w:type="dxa"/>
              <w:bottom w:w="60" w:type="dxa"/>
              <w:start w:w="110" w:type="dxa"/>
              <w:end w:w="110" w:type="dxa"/>
            </w:tcMar>
          </w:tcPr>
          <w:p>
            <w:r>
              <w:rPr>
                <w:sz w:val="18"/>
              </w:rPr>
              <w:t>État temps réel des tronçons (classe, couleurs, dernière mesure).</w:t>
            </w:r>
          </w:p>
        </w:tc>
      </w:tr>
      <w:tr>
        <w:tc>
          <w:tcPr>
            <w:tcW w:type="dxa" w:w="4176"/>
            <w:tcMar>
              <w:top w:w="60" w:type="dxa"/>
              <w:bottom w:w="60" w:type="dxa"/>
              <w:start w:w="110" w:type="dxa"/>
              <w:end w:w="110" w:type="dxa"/>
            </w:tcMar>
            <w:shd w:val="clear" w:color="auto" w:fill="F4F7FB"/>
          </w:tcPr>
          <w:p>
            <w:r>
              <w:rPr>
                <w:b/>
                <w:color w:val="1B3A63"/>
                <w:sz w:val="18"/>
              </w:rPr>
              <w:t>GET /collecte/status</w:t>
            </w:r>
          </w:p>
        </w:tc>
        <w:tc>
          <w:tcPr>
            <w:tcW w:type="dxa" w:w="4896"/>
            <w:tcMar>
              <w:top w:w="60" w:type="dxa"/>
              <w:bottom w:w="60" w:type="dxa"/>
              <w:start w:w="110" w:type="dxa"/>
              <w:end w:w="110" w:type="dxa"/>
            </w:tcMar>
            <w:shd w:val="clear" w:color="auto" w:fill="F4F7FB"/>
          </w:tcPr>
          <w:p>
            <w:r>
              <w:rPr>
                <w:sz w:val="18"/>
              </w:rPr>
              <w:t>État du robot de collecte et compteurs du jour.</w:t>
            </w:r>
          </w:p>
        </w:tc>
      </w:tr>
      <w:tr>
        <w:tc>
          <w:tcPr>
            <w:tcW w:type="dxa" w:w="4176"/>
            <w:tcMar>
              <w:top w:w="60" w:type="dxa"/>
              <w:bottom w:w="60" w:type="dxa"/>
              <w:start w:w="110" w:type="dxa"/>
              <w:end w:w="110" w:type="dxa"/>
            </w:tcMar>
          </w:tcPr>
          <w:p>
            <w:r>
              <w:rPr>
                <w:b/>
                <w:color w:val="1B3A63"/>
                <w:sz w:val="18"/>
              </w:rPr>
              <w:t>GET /troncons/{id}/indicateurs</w:t>
            </w:r>
          </w:p>
        </w:tc>
        <w:tc>
          <w:tcPr>
            <w:tcW w:type="dxa" w:w="4896"/>
            <w:tcMar>
              <w:top w:w="60" w:type="dxa"/>
              <w:bottom w:w="60" w:type="dxa"/>
              <w:start w:w="110" w:type="dxa"/>
              <w:end w:w="110" w:type="dxa"/>
            </w:tcMar>
          </w:tcPr>
          <w:p>
            <w:r>
              <w:rPr>
                <w:sz w:val="18"/>
              </w:rPr>
              <w:t>KPI d’un tronçon sur une période.</w:t>
            </w:r>
          </w:p>
        </w:tc>
      </w:tr>
      <w:tr>
        <w:tc>
          <w:tcPr>
            <w:tcW w:type="dxa" w:w="4176"/>
            <w:tcMar>
              <w:top w:w="60" w:type="dxa"/>
              <w:bottom w:w="60" w:type="dxa"/>
              <w:start w:w="110" w:type="dxa"/>
              <w:end w:w="110" w:type="dxa"/>
            </w:tcMar>
            <w:shd w:val="clear" w:color="auto" w:fill="F4F7FB"/>
          </w:tcPr>
          <w:p>
            <w:r>
              <w:rPr>
                <w:b/>
                <w:color w:val="1B3A63"/>
                <w:sz w:val="18"/>
              </w:rPr>
              <w:t>GET /rapport/tableaux</w:t>
            </w:r>
          </w:p>
        </w:tc>
        <w:tc>
          <w:tcPr>
            <w:tcW w:type="dxa" w:w="4896"/>
            <w:tcMar>
              <w:top w:w="60" w:type="dxa"/>
              <w:bottom w:w="60" w:type="dxa"/>
              <w:start w:w="110" w:type="dxa"/>
              <w:end w:w="110" w:type="dxa"/>
            </w:tcMar>
            <w:shd w:val="clear" w:color="auto" w:fill="F4F7FB"/>
          </w:tcPr>
          <w:p>
            <w:r>
              <w:rPr>
                <w:sz w:val="18"/>
              </w:rPr>
              <w:t>Tous les tableaux DEESP en JSON.</w:t>
            </w:r>
          </w:p>
        </w:tc>
      </w:tr>
      <w:tr>
        <w:tc>
          <w:tcPr>
            <w:tcW w:type="dxa" w:w="4176"/>
            <w:tcMar>
              <w:top w:w="60" w:type="dxa"/>
              <w:bottom w:w="60" w:type="dxa"/>
              <w:start w:w="110" w:type="dxa"/>
              <w:end w:w="110" w:type="dxa"/>
            </w:tcMar>
          </w:tcPr>
          <w:p>
            <w:r>
              <w:rPr>
                <w:b/>
                <w:color w:val="1B3A63"/>
                <w:sz w:val="18"/>
              </w:rPr>
              <w:t>GET /rapport/zones-congestionnees/pdf</w:t>
            </w:r>
          </w:p>
        </w:tc>
        <w:tc>
          <w:tcPr>
            <w:tcW w:type="dxa" w:w="4896"/>
            <w:tcMar>
              <w:top w:w="60" w:type="dxa"/>
              <w:bottom w:w="60" w:type="dxa"/>
              <w:start w:w="110" w:type="dxa"/>
              <w:end w:w="110" w:type="dxa"/>
            </w:tcMar>
          </w:tcPr>
          <w:p>
            <w:r>
              <w:rPr>
                <w:sz w:val="18"/>
              </w:rPr>
              <w:t>PDF du Tableau 16 (zones congestionnées).</w:t>
            </w:r>
          </w:p>
        </w:tc>
      </w:tr>
      <w:tr>
        <w:tc>
          <w:tcPr>
            <w:tcW w:type="dxa" w:w="4176"/>
            <w:tcMar>
              <w:top w:w="60" w:type="dxa"/>
              <w:bottom w:w="60" w:type="dxa"/>
              <w:start w:w="110" w:type="dxa"/>
              <w:end w:w="110" w:type="dxa"/>
            </w:tcMar>
            <w:shd w:val="clear" w:color="auto" w:fill="F4F7FB"/>
          </w:tcPr>
          <w:p>
            <w:r>
              <w:rPr>
                <w:b/>
                <w:color w:val="1B3A63"/>
                <w:sz w:val="18"/>
              </w:rPr>
              <w:t>GET /evolution/troncon/{id}</w:t>
            </w:r>
          </w:p>
        </w:tc>
        <w:tc>
          <w:tcPr>
            <w:tcW w:type="dxa" w:w="4896"/>
            <w:tcMar>
              <w:top w:w="60" w:type="dxa"/>
              <w:bottom w:w="60" w:type="dxa"/>
              <w:start w:w="110" w:type="dxa"/>
              <w:end w:w="110" w:type="dxa"/>
            </w:tcMar>
            <w:shd w:val="clear" w:color="auto" w:fill="F4F7FB"/>
          </w:tcPr>
          <w:p>
            <w:r>
              <w:rPr>
                <w:sz w:val="18"/>
              </w:rPr>
              <w:t>Évolution pluriannuelle + mois courant.</w:t>
            </w:r>
          </w:p>
        </w:tc>
      </w:tr>
      <w:tr>
        <w:tc>
          <w:tcPr>
            <w:tcW w:type="dxa" w:w="4176"/>
            <w:tcMar>
              <w:top w:w="60" w:type="dxa"/>
              <w:bottom w:w="60" w:type="dxa"/>
              <w:start w:w="110" w:type="dxa"/>
              <w:end w:w="110" w:type="dxa"/>
            </w:tcMar>
          </w:tcPr>
          <w:p>
            <w:r>
              <w:rPr>
                <w:b/>
                <w:color w:val="1B3A63"/>
                <w:sz w:val="18"/>
              </w:rPr>
              <w:t>GET /predire/resume</w:t>
            </w:r>
          </w:p>
        </w:tc>
        <w:tc>
          <w:tcPr>
            <w:tcW w:type="dxa" w:w="4896"/>
            <w:tcMar>
              <w:top w:w="60" w:type="dxa"/>
              <w:bottom w:w="60" w:type="dxa"/>
              <w:start w:w="110" w:type="dxa"/>
              <w:end w:w="110" w:type="dxa"/>
            </w:tcMar>
          </w:tcPr>
          <w:p>
            <w:r>
              <w:rPr>
                <w:sz w:val="18"/>
              </w:rPr>
              <w:t>Résumé Google Maps par période.</w:t>
            </w:r>
          </w:p>
        </w:tc>
      </w:tr>
      <w:tr>
        <w:tc>
          <w:tcPr>
            <w:tcW w:type="dxa" w:w="4176"/>
            <w:tcMar>
              <w:top w:w="60" w:type="dxa"/>
              <w:bottom w:w="60" w:type="dxa"/>
              <w:start w:w="110" w:type="dxa"/>
              <w:end w:w="110" w:type="dxa"/>
            </w:tcMar>
            <w:shd w:val="clear" w:color="auto" w:fill="F4F7FB"/>
          </w:tcPr>
          <w:p>
            <w:r>
              <w:rPr>
                <w:b/>
                <w:color w:val="1B3A63"/>
                <w:sz w:val="18"/>
              </w:rPr>
              <w:t>GET /incidents  ·  /incidents/stats  ·  /incidents/export</w:t>
            </w:r>
          </w:p>
        </w:tc>
        <w:tc>
          <w:tcPr>
            <w:tcW w:type="dxa" w:w="4896"/>
            <w:tcMar>
              <w:top w:w="60" w:type="dxa"/>
              <w:bottom w:w="60" w:type="dxa"/>
              <w:start w:w="110" w:type="dxa"/>
              <w:end w:w="110" w:type="dxa"/>
            </w:tcMar>
            <w:shd w:val="clear" w:color="auto" w:fill="F4F7FB"/>
          </w:tcPr>
          <w:p>
            <w:r>
              <w:rPr>
                <w:sz w:val="18"/>
              </w:rPr>
              <w:t>Incidents : liste, statistiques, export CSV.</w:t>
            </w:r>
          </w:p>
        </w:tc>
      </w:tr>
      <w:tr>
        <w:tc>
          <w:tcPr>
            <w:tcW w:type="dxa" w:w="4176"/>
            <w:tcMar>
              <w:top w:w="60" w:type="dxa"/>
              <w:bottom w:w="60" w:type="dxa"/>
              <w:start w:w="110" w:type="dxa"/>
              <w:end w:w="110" w:type="dxa"/>
            </w:tcMar>
          </w:tcPr>
          <w:p>
            <w:r>
              <w:rPr>
                <w:b/>
                <w:color w:val="1B3A63"/>
                <w:sz w:val="18"/>
              </w:rPr>
              <w:t>POST /administration/troncons</w:t>
            </w:r>
          </w:p>
        </w:tc>
        <w:tc>
          <w:tcPr>
            <w:tcW w:type="dxa" w:w="4896"/>
            <w:tcMar>
              <w:top w:w="60" w:type="dxa"/>
              <w:bottom w:w="60" w:type="dxa"/>
              <w:start w:w="110" w:type="dxa"/>
              <w:end w:w="110" w:type="dxa"/>
            </w:tcMar>
          </w:tcPr>
          <w:p>
            <w:r>
              <w:rPr>
                <w:sz w:val="18"/>
              </w:rPr>
              <w:t>Création d’un tronçon / axe sans redéploiement.</w:t>
            </w:r>
          </w:p>
        </w:tc>
      </w:tr>
      <w:tr>
        <w:tc>
          <w:tcPr>
            <w:tcW w:type="dxa" w:w="4176"/>
            <w:tcMar>
              <w:top w:w="60" w:type="dxa"/>
              <w:bottom w:w="60" w:type="dxa"/>
              <w:start w:w="110" w:type="dxa"/>
              <w:end w:w="110" w:type="dxa"/>
            </w:tcMar>
            <w:shd w:val="clear" w:color="auto" w:fill="F4F7FB"/>
          </w:tcPr>
          <w:p>
            <w:r>
              <w:rPr>
                <w:b/>
                <w:color w:val="1B3A63"/>
                <w:sz w:val="18"/>
              </w:rPr>
              <w:t>POST /chatbot/message</w:t>
            </w:r>
          </w:p>
        </w:tc>
        <w:tc>
          <w:tcPr>
            <w:tcW w:type="dxa" w:w="4896"/>
            <w:tcMar>
              <w:top w:w="60" w:type="dxa"/>
              <w:bottom w:w="60" w:type="dxa"/>
              <w:start w:w="110" w:type="dxa"/>
              <w:end w:w="110" w:type="dxa"/>
            </w:tcMar>
            <w:shd w:val="clear" w:color="auto" w:fill="F4F7FB"/>
          </w:tcPr>
          <w:p>
            <w:r>
              <w:rPr>
                <w:sz w:val="18"/>
              </w:rPr>
              <w:t>Message au chatbot guide.</w:t>
            </w:r>
          </w:p>
        </w:tc>
      </w:tr>
      <w:tr>
        <w:tc>
          <w:tcPr>
            <w:tcW w:type="dxa" w:w="4176"/>
            <w:tcMar>
              <w:top w:w="60" w:type="dxa"/>
              <w:bottom w:w="60" w:type="dxa"/>
              <w:start w:w="110" w:type="dxa"/>
              <w:end w:w="110" w:type="dxa"/>
            </w:tcMar>
          </w:tcPr>
          <w:p>
            <w:r>
              <w:rPr>
                <w:b/>
                <w:color w:val="1B3A63"/>
                <w:sz w:val="18"/>
              </w:rPr>
              <w:t>GET /docs</w:t>
            </w:r>
          </w:p>
        </w:tc>
        <w:tc>
          <w:tcPr>
            <w:tcW w:type="dxa" w:w="4896"/>
            <w:tcMar>
              <w:top w:w="60" w:type="dxa"/>
              <w:bottom w:w="60" w:type="dxa"/>
              <w:start w:w="110" w:type="dxa"/>
              <w:end w:w="110" w:type="dxa"/>
            </w:tcMar>
          </w:tcPr>
          <w:p>
            <w:r>
              <w:rPr>
                <w:sz w:val="18"/>
              </w:rPr>
              <w:t>Documentation Swagger interactive.</w:t>
            </w:r>
          </w:p>
        </w:tc>
      </w:tr>
    </w:tbl>
    <w:p>
      <w:pPr>
        <w:spacing w:after="40"/>
      </w:pPr>
    </w:p>
    <w:p>
      <w:pPr>
        <w:pStyle w:val="Heading2"/>
      </w:pPr>
      <w:r>
        <w:t>15.2 Glossaire</w:t>
      </w:r>
    </w:p>
    <w:tbl>
      <w:tblPr>
        <w:tblStyle w:val="TableGrid"/>
        <w:tblW w:type="auto" w:w="0"/>
        <w:jc w:val="center"/>
        <w:tblLook w:firstColumn="1" w:firstRow="1" w:lastColumn="0" w:lastRow="0" w:noHBand="0" w:noVBand="1" w:val="04A0"/>
      </w:tblPr>
      <w:tblGrid>
        <w:gridCol w:w="4873"/>
        <w:gridCol w:w="4873"/>
      </w:tblGrid>
      <w:tr>
        <w:tc>
          <w:tcPr>
            <w:tcW w:type="dxa" w:w="2736"/>
            <w:shd w:val="clear" w:color="auto" w:fill="0F2240"/>
            <w:tcMar>
              <w:top w:w="60" w:type="dxa"/>
              <w:bottom w:w="60" w:type="dxa"/>
              <w:start w:w="110" w:type="dxa"/>
              <w:end w:w="110" w:type="dxa"/>
            </w:tcMar>
          </w:tcPr>
          <w:p>
            <w:pPr>
              <w:jc w:val="left"/>
            </w:pPr>
            <w:r>
              <w:rPr>
                <w:b/>
                <w:color w:val="FFFFFF"/>
                <w:sz w:val="19"/>
              </w:rPr>
              <w:t>Terme</w:t>
            </w:r>
          </w:p>
        </w:tc>
        <w:tc>
          <w:tcPr>
            <w:tcW w:type="dxa" w:w="6336"/>
            <w:shd w:val="clear" w:color="auto" w:fill="0F2240"/>
            <w:tcMar>
              <w:top w:w="60" w:type="dxa"/>
              <w:bottom w:w="60" w:type="dxa"/>
              <w:start w:w="110" w:type="dxa"/>
              <w:end w:w="110" w:type="dxa"/>
            </w:tcMar>
          </w:tcPr>
          <w:p>
            <w:pPr>
              <w:jc w:val="left"/>
            </w:pPr>
            <w:r>
              <w:rPr>
                <w:b/>
                <w:color w:val="FFFFFF"/>
                <w:sz w:val="19"/>
              </w:rPr>
              <w:t>Définition</w:t>
            </w:r>
          </w:p>
        </w:tc>
      </w:tr>
      <w:tr>
        <w:tc>
          <w:tcPr>
            <w:tcW w:type="dxa" w:w="2736"/>
            <w:tcMar>
              <w:top w:w="60" w:type="dxa"/>
              <w:bottom w:w="60" w:type="dxa"/>
              <w:start w:w="110" w:type="dxa"/>
              <w:end w:w="110" w:type="dxa"/>
            </w:tcMar>
          </w:tcPr>
          <w:p>
            <w:r>
              <w:rPr>
                <w:b/>
                <w:color w:val="1B3A63"/>
                <w:sz w:val="18"/>
              </w:rPr>
              <w:t>Tronçon</w:t>
            </w:r>
          </w:p>
        </w:tc>
        <w:tc>
          <w:tcPr>
            <w:tcW w:type="dxa" w:w="6336"/>
            <w:tcMar>
              <w:top w:w="60" w:type="dxa"/>
              <w:bottom w:w="60" w:type="dxa"/>
              <w:start w:w="110" w:type="dxa"/>
              <w:end w:w="110" w:type="dxa"/>
            </w:tcMar>
          </w:tcPr>
          <w:p>
            <w:r>
              <w:rPr>
                <w:sz w:val="18"/>
              </w:rPr>
              <w:t>Un sens de circulation sur un axe (aller ou retour).</w:t>
            </w:r>
          </w:p>
        </w:tc>
      </w:tr>
      <w:tr>
        <w:tc>
          <w:tcPr>
            <w:tcW w:type="dxa" w:w="2736"/>
            <w:tcMar>
              <w:top w:w="60" w:type="dxa"/>
              <w:bottom w:w="60" w:type="dxa"/>
              <w:start w:w="110" w:type="dxa"/>
              <w:end w:w="110" w:type="dxa"/>
            </w:tcMar>
            <w:shd w:val="clear" w:color="auto" w:fill="F4F7FB"/>
          </w:tcPr>
          <w:p>
            <w:r>
              <w:rPr>
                <w:b/>
                <w:color w:val="1B3A63"/>
                <w:sz w:val="18"/>
              </w:rPr>
              <w:t>Tronçon codifié</w:t>
            </w:r>
          </w:p>
        </w:tc>
        <w:tc>
          <w:tcPr>
            <w:tcW w:type="dxa" w:w="6336"/>
            <w:tcMar>
              <w:top w:w="60" w:type="dxa"/>
              <w:bottom w:w="60" w:type="dxa"/>
              <w:start w:w="110" w:type="dxa"/>
              <w:end w:w="110" w:type="dxa"/>
            </w:tcMar>
            <w:shd w:val="clear" w:color="auto" w:fill="F4F7FB"/>
          </w:tcPr>
          <w:p>
            <w:r>
              <w:rPr>
                <w:sz w:val="18"/>
              </w:rPr>
              <w:t>Subdivision d’un axe parent (T1A, T1B…) selon la convention DEESP, pour localiser finement la congestion. Appelé « sous-tronçon » dans l’ancienne terminologie.</w:t>
            </w:r>
          </w:p>
        </w:tc>
      </w:tr>
      <w:tr>
        <w:tc>
          <w:tcPr>
            <w:tcW w:type="dxa" w:w="2736"/>
            <w:tcMar>
              <w:top w:w="60" w:type="dxa"/>
              <w:bottom w:w="60" w:type="dxa"/>
              <w:start w:w="110" w:type="dxa"/>
              <w:end w:w="110" w:type="dxa"/>
            </w:tcMar>
          </w:tcPr>
          <w:p>
            <w:r>
              <w:rPr>
                <w:b/>
                <w:color w:val="1B3A63"/>
                <w:sz w:val="18"/>
              </w:rPr>
              <w:t>Axe parent</w:t>
            </w:r>
          </w:p>
        </w:tc>
        <w:tc>
          <w:tcPr>
            <w:tcW w:type="dxa" w:w="6336"/>
            <w:tcMar>
              <w:top w:w="60" w:type="dxa"/>
              <w:bottom w:w="60" w:type="dxa"/>
              <w:start w:w="110" w:type="dxa"/>
              <w:end w:w="110" w:type="dxa"/>
            </w:tcMar>
          </w:tcPr>
          <w:p>
            <w:r>
              <w:rPr>
                <w:sz w:val="18"/>
              </w:rPr>
              <w:t>L’axe officiel dont un tronçon codifié est la subdivision (ex. axe 1 CARENA → Palm Beach pour T1A, T1B…).</w:t>
            </w:r>
          </w:p>
        </w:tc>
      </w:tr>
      <w:tr>
        <w:tc>
          <w:tcPr>
            <w:tcW w:type="dxa" w:w="2736"/>
            <w:tcMar>
              <w:top w:w="60" w:type="dxa"/>
              <w:bottom w:w="60" w:type="dxa"/>
              <w:start w:w="110" w:type="dxa"/>
              <w:end w:w="110" w:type="dxa"/>
            </w:tcMar>
            <w:shd w:val="clear" w:color="auto" w:fill="F4F7FB"/>
          </w:tcPr>
          <w:p>
            <w:r>
              <w:rPr>
                <w:b/>
                <w:color w:val="1B3A63"/>
                <w:sz w:val="18"/>
              </w:rPr>
              <w:t>Tronçon supplémentaire</w:t>
            </w:r>
          </w:p>
        </w:tc>
        <w:tc>
          <w:tcPr>
            <w:tcW w:type="dxa" w:w="6336"/>
            <w:tcMar>
              <w:top w:w="60" w:type="dxa"/>
              <w:bottom w:w="60" w:type="dxa"/>
              <w:start w:w="110" w:type="dxa"/>
              <w:end w:w="110" w:type="dxa"/>
            </w:tcMar>
            <w:shd w:val="clear" w:color="auto" w:fill="F4F7FB"/>
          </w:tcPr>
          <w:p>
            <w:r>
              <w:rPr>
                <w:sz w:val="18"/>
              </w:rPr>
              <w:t>Parcours créé en complément des 6 axes officiels DEESP (est_axe = false). Affiché avec un badge « Tronçon » distinct du badge « AXE ».</w:t>
            </w:r>
          </w:p>
        </w:tc>
      </w:tr>
      <w:tr>
        <w:tc>
          <w:tcPr>
            <w:tcW w:type="dxa" w:w="2736"/>
            <w:tcMar>
              <w:top w:w="60" w:type="dxa"/>
              <w:bottom w:w="60" w:type="dxa"/>
              <w:start w:w="110" w:type="dxa"/>
              <w:end w:w="110" w:type="dxa"/>
            </w:tcMar>
          </w:tcPr>
          <w:p>
            <w:r>
              <w:rPr>
                <w:b/>
                <w:color w:val="1B3A63"/>
                <w:sz w:val="18"/>
              </w:rPr>
              <w:t>DEESP / DEEF</w:t>
            </w:r>
          </w:p>
        </w:tc>
        <w:tc>
          <w:tcPr>
            <w:tcW w:type="dxa" w:w="6336"/>
            <w:tcMar>
              <w:top w:w="60" w:type="dxa"/>
              <w:bottom w:w="60" w:type="dxa"/>
              <w:start w:w="110" w:type="dxa"/>
              <w:end w:w="110" w:type="dxa"/>
            </w:tcMar>
          </w:tcPr>
          <w:p>
            <w:r>
              <w:rPr>
                <w:sz w:val="18"/>
              </w:rPr>
              <w:t>Direction de l’Exploitation et des Études Spécialisées Portuaires du PAA.</w:t>
            </w:r>
          </w:p>
        </w:tc>
      </w:tr>
      <w:tr>
        <w:tc>
          <w:tcPr>
            <w:tcW w:type="dxa" w:w="2736"/>
            <w:tcMar>
              <w:top w:w="60" w:type="dxa"/>
              <w:bottom w:w="60" w:type="dxa"/>
              <w:start w:w="110" w:type="dxa"/>
              <w:end w:w="110" w:type="dxa"/>
            </w:tcMar>
            <w:shd w:val="clear" w:color="auto" w:fill="F4F7FB"/>
          </w:tcPr>
          <w:p>
            <w:r>
              <w:rPr>
                <w:b/>
                <w:color w:val="1B3A63"/>
                <w:sz w:val="18"/>
              </w:rPr>
              <w:t>Cascade de dégradation</w:t>
            </w:r>
          </w:p>
        </w:tc>
        <w:tc>
          <w:tcPr>
            <w:tcW w:type="dxa" w:w="6336"/>
            <w:tcMar>
              <w:top w:w="60" w:type="dxa"/>
              <w:bottom w:w="60" w:type="dxa"/>
              <w:start w:w="110" w:type="dxa"/>
              <w:end w:w="110" w:type="dxa"/>
            </w:tcMar>
            <w:shd w:val="clear" w:color="auto" w:fill="F4F7FB"/>
          </w:tcPr>
          <w:p>
            <w:r>
              <w:rPr>
                <w:sz w:val="18"/>
              </w:rPr>
              <w:t>Enchaînement de sources de repli garantissant la disponibilité sans inventer de valeur.</w:t>
            </w:r>
          </w:p>
        </w:tc>
      </w:tr>
      <w:tr>
        <w:tc>
          <w:tcPr>
            <w:tcW w:type="dxa" w:w="2736"/>
            <w:tcMar>
              <w:top w:w="60" w:type="dxa"/>
              <w:bottom w:w="60" w:type="dxa"/>
              <w:start w:w="110" w:type="dxa"/>
              <w:end w:w="110" w:type="dxa"/>
            </w:tcMar>
          </w:tcPr>
          <w:p>
            <w:r>
              <w:rPr>
                <w:b/>
                <w:color w:val="1B3A63"/>
                <w:sz w:val="18"/>
              </w:rPr>
              <w:t>Trou de mesure</w:t>
            </w:r>
          </w:p>
        </w:tc>
        <w:tc>
          <w:tcPr>
            <w:tcW w:type="dxa" w:w="6336"/>
            <w:tcMar>
              <w:top w:w="60" w:type="dxa"/>
              <w:bottom w:w="60" w:type="dxa"/>
              <w:start w:w="110" w:type="dxa"/>
              <w:end w:w="110" w:type="dxa"/>
            </w:tcMar>
          </w:tcPr>
          <w:p>
            <w:r>
              <w:rPr>
                <w:sz w:val="18"/>
              </w:rPr>
              <w:t>Absence de mesure enregistrée comme telle quand toutes les sources échouent.</w:t>
            </w:r>
          </w:p>
        </w:tc>
      </w:tr>
      <w:tr>
        <w:tc>
          <w:tcPr>
            <w:tcW w:type="dxa" w:w="2736"/>
            <w:tcMar>
              <w:top w:w="60" w:type="dxa"/>
              <w:bottom w:w="60" w:type="dxa"/>
              <w:start w:w="110" w:type="dxa"/>
              <w:end w:w="110" w:type="dxa"/>
            </w:tcMar>
            <w:shd w:val="clear" w:color="auto" w:fill="F4F7FB"/>
          </w:tcPr>
          <w:p>
            <w:r>
              <w:rPr>
                <w:b/>
                <w:color w:val="1B3A63"/>
                <w:sz w:val="18"/>
              </w:rPr>
              <w:t>Critère couleur DEESP</w:t>
            </w:r>
          </w:p>
        </w:tc>
        <w:tc>
          <w:tcPr>
            <w:tcW w:type="dxa" w:w="6336"/>
            <w:tcMar>
              <w:top w:w="60" w:type="dxa"/>
              <w:bottom w:w="60" w:type="dxa"/>
              <w:start w:w="110" w:type="dxa"/>
              <w:end w:w="110" w:type="dxa"/>
            </w:tcMar>
            <w:shd w:val="clear" w:color="auto" w:fill="F4F7FB"/>
          </w:tcPr>
          <w:p>
            <w:r>
              <w:rPr>
                <w:sz w:val="18"/>
              </w:rPr>
              <w:t>Qualification de congestion fondée sur les couleurs Google Maps (rouge / orange).</w:t>
            </w:r>
          </w:p>
        </w:tc>
      </w:tr>
      <w:tr>
        <w:tc>
          <w:tcPr>
            <w:tcW w:type="dxa" w:w="2736"/>
            <w:tcMar>
              <w:top w:w="60" w:type="dxa"/>
              <w:bottom w:w="60" w:type="dxa"/>
              <w:start w:w="110" w:type="dxa"/>
              <w:end w:w="110" w:type="dxa"/>
            </w:tcMar>
          </w:tcPr>
          <w:p>
            <w:r>
              <w:rPr>
                <w:b/>
                <w:color w:val="1B3A63"/>
                <w:sz w:val="18"/>
              </w:rPr>
              <w:t>Type de jour</w:t>
            </w:r>
          </w:p>
        </w:tc>
        <w:tc>
          <w:tcPr>
            <w:tcW w:type="dxa" w:w="6336"/>
            <w:tcMar>
              <w:top w:w="60" w:type="dxa"/>
              <w:bottom w:w="60" w:type="dxa"/>
              <w:start w:w="110" w:type="dxa"/>
              <w:end w:w="110" w:type="dxa"/>
            </w:tcMar>
          </w:tcPr>
          <w:p>
            <w:r>
              <w:rPr>
                <w:sz w:val="18"/>
              </w:rPr>
              <w:t>Distinction jours ouvrables / week-ends, systématique dans le rapport DEESP.</w:t>
            </w:r>
          </w:p>
        </w:tc>
      </w:tr>
    </w:tbl>
    <w:p>
      <w:pPr>
        <w:spacing w:after="40"/>
      </w:pPr>
    </w:p>
    <w:p>
      <w:pPr>
        <w:spacing w:after="200"/>
      </w:pPr>
    </w:p>
    <w:p>
      <w:pPr>
        <w:spacing w:before="0" w:after="120"/>
        <w:jc w:val="center"/>
      </w:pPr>
      <w:r>
        <w:rPr>
          <w:b w:val="0"/>
          <w:i/>
          <w:color w:val="505050"/>
          <w:sz w:val="21"/>
        </w:rPr>
        <w:t>— Fin du rapport d’activité —</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 xml:space="preserve">PAA-Traverse — Rapport d’activité   ·   </w:t>
    </w:r>
    <w:r>
      <w:fldChar w:fldCharType="begin"/>
      <w:instrText xml:space="preserve">PAGE</w:instrText>
      <w:fldChar w:fldCharType="end"/>
    </w:r>
    <w:r>
      <w:rPr>
        <w:color w:val="505050"/>
        <w:sz w:val="16"/>
      </w:rPr>
      <w:t xml:space="preserve"> /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F224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A63"/>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E5F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F224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