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4514" w14:textId="77F0F369" w:rsidR="00F854EE" w:rsidRDefault="00000000">
      <w:r>
        <w:t>Below is a defensible, regulator-ready roadmap to project population and convert those projections into design wastewater flows and loadings for a new municipal WRRF in Washington State. It aligns with Ecology’s Criteria for Sewage Works Design (CSWD/Orange Book), WAC 173-240 submittal and review standards, EPA wet‑weather/I&amp;amp;I guidance, and WEF/ASCE best practices. Where local, measured data are available, use them to replace defaults per Ecology’s expectation to use “current design criteria” and actual data where possible.</w:t>
      </w:r>
    </w:p>
    <w:p w14:paraId="589E179E" w14:textId="3531C07C" w:rsidR="00F854EE" w:rsidRDefault="00000000">
      <w:r>
        <w:t>Regulatory framework to cite in the engineering report</w:t>
      </w:r>
    </w:p>
    <w:p w14:paraId="43FCF305" w14:textId="77777777" w:rsidR="00F854EE" w:rsidRDefault="00000000">
      <w:r>
        <w:t>- Washington requirements and Ecology expectations:</w:t>
      </w:r>
    </w:p>
    <w:p w14:paraId="5A03F2DD" w14:textId="77777777" w:rsidR="00F854EE" w:rsidRDefault="00000000">
      <w:r>
        <w:t xml:space="preserve">  - WAC 173-240-060 requires an engineering report that is “sufficiently complete,” includes population trends for the design period, present and future quantity and quality, and discussion of I/I and how it will be addressed [21]. Ecology expects consistency with the CSWD (Orange Book) [27].</w:t>
      </w:r>
    </w:p>
    <w:p w14:paraId="6488DF46" w14:textId="77777777" w:rsidR="00F854EE" w:rsidRDefault="00000000">
      <w:r>
        <w:t xml:space="preserve">  - Ecology CSWD requires: use current criteria; include peak sewage flows from all sources, I/I, and seasonal/wet‑weather effects; justify safety factors; and design biological processes to treat up to maximum wet‑day flow (MWDF) and maximum dry‑day flow (MDDF) as applicable [1], [8].</w:t>
      </w:r>
    </w:p>
    <w:p w14:paraId="71EA7C35" w14:textId="77777777" w:rsidR="00F854EE" w:rsidRDefault="00000000">
      <w:r>
        <w:t xml:space="preserve">  - AKART is a foundational state concept (All Known, Available, and Reasonable methods) referenced in the CSWD; apply it to I/I reduction and capacity assurance [19].</w:t>
      </w:r>
    </w:p>
    <w:p w14:paraId="4BAC0027" w14:textId="77777777" w:rsidR="00F854EE" w:rsidRDefault="00000000">
      <w:r>
        <w:t>- Federal considerations to reflect:</w:t>
      </w:r>
    </w:p>
    <w:p w14:paraId="208EBE99" w14:textId="77777777" w:rsidR="00F854EE" w:rsidRDefault="00000000">
      <w:r>
        <w:t xml:space="preserve">  - EPA SSO capacity assurance/CMOM expectations; new systems are commonly designed to prevent SSOs under wet weather [2], [35].</w:t>
      </w:r>
    </w:p>
    <w:p w14:paraId="1F32B2AD" w14:textId="77777777" w:rsidR="00F854EE" w:rsidRDefault="00000000">
      <w:r>
        <w:t xml:space="preserve">  - Percent‑removal adjustments in NPDES permits if influent is dilute not due to excessive I/I; thresholds (e.g., 275 gpcd total, 120 gpcd domestic base+infiltration for nonexcessive infiltration) guide determinations [30], [34].</w:t>
      </w:r>
    </w:p>
    <w:p w14:paraId="76FD4813" w14:textId="45236BB7" w:rsidR="00F854EE" w:rsidRDefault="00000000">
      <w:r>
        <w:t xml:space="preserve">  - Industrial contribution adjustments if industrial BOD5/TSS flows or loads exceed 10% of design; mass limits based on actual flows for TBELs when applicable [28], [33].</w:t>
      </w:r>
    </w:p>
    <w:p w14:paraId="6DC2E7B4" w14:textId="50B22BF7" w:rsidR="00F854EE" w:rsidRDefault="00000000">
      <w:r>
        <w:t xml:space="preserve">Planning </w:t>
      </w:r>
      <w:proofErr w:type="gramStart"/>
      <w:r>
        <w:t>horizon</w:t>
      </w:r>
      <w:proofErr w:type="gramEnd"/>
      <w:r>
        <w:t>, submittals, and documentation</w:t>
      </w:r>
    </w:p>
    <w:p w14:paraId="693FC652" w14:textId="77777777" w:rsidR="00F854EE" w:rsidRDefault="00000000">
      <w:r>
        <w:t>- Planning horizon: Typically 20 years from report date; use OFM and local planning agency data and obtain concurrence as required by WAC 173‑240‑060 [10], [21].</w:t>
      </w:r>
    </w:p>
    <w:p w14:paraId="4EA82136" w14:textId="77777777" w:rsidR="00F854EE" w:rsidRDefault="00000000">
      <w:r>
        <w:t>- Subareas: Divide the service area into topography- and land-use‑based subareas and compute flows manhole‑by‑manhole; this supports defensible sizing and clarifies where RDII is significant [9], [16], [18].</w:t>
      </w:r>
    </w:p>
    <w:p w14:paraId="230F0443" w14:textId="77777777" w:rsidR="00F854EE" w:rsidRDefault="00000000">
      <w:r>
        <w:t>- Data program (strongly recommended by Ecology/WEF/EPA):</w:t>
      </w:r>
    </w:p>
    <w:p w14:paraId="12234A8C" w14:textId="77777777" w:rsidR="00F854EE" w:rsidRDefault="00000000">
      <w:r>
        <w:lastRenderedPageBreak/>
        <w:t xml:space="preserve">  - Water use data and billed usage for return ratios [1], [4], [31].</w:t>
      </w:r>
    </w:p>
    <w:p w14:paraId="6EEF85EB" w14:textId="7AE812A9" w:rsidR="00F854EE" w:rsidRDefault="00000000">
      <w:r>
        <w:t xml:space="preserve">  - Seasonal flow monitoring (especially early spring) to quantify BWF, GWI, and RDII and to develop local peaking factors [4], [1], [17].</w:t>
      </w:r>
    </w:p>
    <w:p w14:paraId="75F176E3" w14:textId="5E4D712E" w:rsidR="00F854EE" w:rsidRDefault="00000000">
      <w:r>
        <w:t>Population projection methods (use multiple, reconcile, and document)</w:t>
      </w:r>
    </w:p>
    <w:p w14:paraId="4B6ADFAB" w14:textId="77777777" w:rsidR="00F854EE" w:rsidRDefault="00000000">
      <w:r>
        <w:t>- Housing unit (EDU) and land use-based:</w:t>
      </w:r>
    </w:p>
    <w:p w14:paraId="5E13910A" w14:textId="77777777" w:rsidR="00F854EE" w:rsidRDefault="00000000">
      <w:r>
        <w:t xml:space="preserve">  - Use general plan/zoning densities (DU/acre) and persons/DU by density class; example ranges from WEF FD‑5: ≤4 DU/ac at 3.0 persons/DU; 4–10 DU/ac at 2.8; &amp;gt;10 DU/ac at 2.5 [9]. Adjust for vacancy rates.</w:t>
      </w:r>
    </w:p>
    <w:p w14:paraId="2FB01862" w14:textId="77777777" w:rsidR="00F854EE" w:rsidRDefault="00000000">
      <w:r>
        <w:t>- Per capita method:</w:t>
      </w:r>
    </w:p>
    <w:p w14:paraId="11A422B9" w14:textId="77777777" w:rsidR="00F854EE" w:rsidRDefault="00000000">
      <w:r>
        <w:t xml:space="preserve">  - Population x 100 gpd/capita for domestic sanitary flow, consistent with CSWD Table G2‑2 and Ten‑States [5], [2]. Ecology allows alternative methods if documented [1].</w:t>
      </w:r>
    </w:p>
    <w:p w14:paraId="60D4D2BF" w14:textId="77777777" w:rsidR="00F854EE" w:rsidRDefault="00000000">
      <w:r>
        <w:t>- Employment-based nonresidential projections:</w:t>
      </w:r>
    </w:p>
    <w:p w14:paraId="5FA5C46C" w14:textId="77777777" w:rsidR="00F854EE" w:rsidRDefault="00000000">
      <w:r>
        <w:t xml:space="preserve">  - Forecast employees by land use and apply unit wastewater rates per use; compile with specific categories in CSWD Table G2‑2 (e.g., restaurants per seat, schools per person) [7], [5].</w:t>
      </w:r>
    </w:p>
    <w:p w14:paraId="756D57AC" w14:textId="77777777" w:rsidR="00F854EE" w:rsidRDefault="00000000">
      <w:r>
        <w:t>- Regression/return-ratio method:</w:t>
      </w:r>
    </w:p>
    <w:p w14:paraId="7EC945A9" w14:textId="77777777" w:rsidR="00F854EE" w:rsidRDefault="00000000">
      <w:r>
        <w:t xml:space="preserve">  - Regress billed water use vs. measured dry‑weather sanitary flows to develop resident and nonresident return ratios; recommended by EPA/WEF to reflect conservation trends and local habits [4], [6], [31].</w:t>
      </w:r>
    </w:p>
    <w:p w14:paraId="0A825F0E" w14:textId="77777777" w:rsidR="00F854EE" w:rsidRDefault="00000000">
      <w:r>
        <w:t>- Cohort/official demographic forecasts:</w:t>
      </w:r>
    </w:p>
    <w:p w14:paraId="46855CE6" w14:textId="3420CCAA" w:rsidR="00F854EE" w:rsidRDefault="00000000">
      <w:r>
        <w:t xml:space="preserve">  - Use official OFM/local planning population forecasts; WAC requires method description and agency concurrence [21], [10]. If cohort-survival or similar models are used by planning agencies, cite the adopted products; otherwise “unknown” (no specific cohort method is provided in the sources).</w:t>
      </w:r>
    </w:p>
    <w:p w14:paraId="0549C1F8" w14:textId="5BFBD25E" w:rsidR="00F854EE" w:rsidRDefault="00000000">
      <w:r>
        <w:t>Translating projections to flows (terminology and steps)</w:t>
      </w:r>
    </w:p>
    <w:p w14:paraId="79A2F579" w14:textId="77777777" w:rsidR="00F854EE" w:rsidRDefault="00000000">
      <w:r>
        <w:t>- Flow components to compute at each subarea’s key node [17], [16], [18]:</w:t>
      </w:r>
    </w:p>
    <w:p w14:paraId="7BB00D80" w14:textId="77777777" w:rsidR="00F854EE" w:rsidRDefault="00000000">
      <w:r>
        <w:t xml:space="preserve">  1) Base wastewater flow (BWF): residential + nonresidential sanitary flows; may include “normal” infiltration.</w:t>
      </w:r>
    </w:p>
    <w:p w14:paraId="2C02F318" w14:textId="77777777" w:rsidR="00F854EE" w:rsidRDefault="00000000">
      <w:r>
        <w:t xml:space="preserve">  2) Groundwater infiltration (GWI): persistent infiltration embedded in DWF; quantify from monitoring. Typical allowance used in design references ~1,000 gpd/acre (some up to 2,000 gpd/acre), but use local data wherever possible [4]. Per Ten‑States/CSWD, 100 gpcd is assumed to include “normal” infiltration; add allowance if conditions are unfavorable (older sewers, high groundwater) [2], [1].</w:t>
      </w:r>
    </w:p>
    <w:p w14:paraId="0834A27C" w14:textId="77777777" w:rsidR="00F854EE" w:rsidRDefault="00000000">
      <w:r>
        <w:lastRenderedPageBreak/>
        <w:t xml:space="preserve">  3) Rainfall‑Derived I/I (RDII): wet‑weather response; quantify from monitoring/hydrologic modeling; if not available, jurisdictions sometimes add areal inflow allowances (e.g., 1,000 gpd/acre to peak) but Ecology prefers site‑specific data [3], [1], [2], [17].</w:t>
      </w:r>
    </w:p>
    <w:p w14:paraId="664A1C74" w14:textId="77777777" w:rsidR="00F854EE" w:rsidRDefault="00000000">
      <w:r>
        <w:t>- Design average daily flow (DADF, Qavg2 in WEF FD‑5):</w:t>
      </w:r>
    </w:p>
    <w:p w14:paraId="44326AD4" w14:textId="77777777" w:rsidR="00F854EE" w:rsidRDefault="00000000">
      <w:r>
        <w:t xml:space="preserve">  - At “design day” (end of planning period), sum residential and nonresidential average sanitary flows plus “normal” infiltration (as included in 100 gpcd) and any justified GWI allowance for existing segments [2], [1], [6].</w:t>
      </w:r>
    </w:p>
    <w:p w14:paraId="5D3914F1" w14:textId="77777777" w:rsidR="00F854EE" w:rsidRDefault="00000000">
      <w:r>
        <w:t xml:space="preserve">  - For existing systems, base plant design on observed flows and loading records per CSWD [5].</w:t>
      </w:r>
    </w:p>
    <w:p w14:paraId="71E537CA" w14:textId="77777777" w:rsidR="00F854EE" w:rsidRDefault="00000000">
      <w:r>
        <w:t>- Maximum dry‑day flow (MDDF):</w:t>
      </w:r>
    </w:p>
    <w:p w14:paraId="019A4336" w14:textId="77777777" w:rsidR="00F854EE" w:rsidRDefault="00000000">
      <w:r>
        <w:t xml:space="preserve">  - Determine from dry‑weather diurnal patterns/monitoring: the largest daily total under dry‑weather (no rainfall) conditions over design period; required for process checks per CSWD Table G2‑1 [8]. If no data, develop from diurnal curves of comparable communities; document basis [5], [8].</w:t>
      </w:r>
    </w:p>
    <w:p w14:paraId="161127CA" w14:textId="77777777" w:rsidR="00F854EE" w:rsidRDefault="00000000">
      <w:r>
        <w:t>- Maximum wet‑day flow (MWDF):</w:t>
      </w:r>
    </w:p>
    <w:p w14:paraId="2B303A91" w14:textId="77777777" w:rsidR="00F854EE" w:rsidRDefault="00000000">
      <w:r>
        <w:t xml:space="preserve">  - Add RDII to BWF+GWI; use event/seasonal analysis or continuous simulation; the biology must treat up to MWDF for secondary limits per CSWD [8].</w:t>
      </w:r>
    </w:p>
    <w:p w14:paraId="744384E8" w14:textId="77777777" w:rsidR="00F854EE" w:rsidRDefault="00000000">
      <w:r>
        <w:t>- Peak hour design flow (PHDF, Qmax in WEF FD‑5):</w:t>
      </w:r>
    </w:p>
    <w:p w14:paraId="5D4EB1A0" w14:textId="77777777" w:rsidR="00F854EE" w:rsidRDefault="00000000">
      <w:r>
        <w:t xml:space="preserve">  - PHDF = DADF × peaking factor (PF). Ecology directs use of Ten‑States curve or a local PF curve based on measured data; minimum PF = 2.5 [1]. Ten‑States PF values decrease with population (e.g., ~3.4 at 1,000 pop., ~2.5 at 10,000) [1]. WEF provides the common equation PF = (18 + √P) / (4 + √P), P in thousands; some agencies mandate it though it may be conservative for modern systems [13]. Use local PF if supported by data [1].</w:t>
      </w:r>
    </w:p>
    <w:p w14:paraId="2F013A97" w14:textId="6958658E" w:rsidR="00F854EE" w:rsidRDefault="00000000">
      <w:r>
        <w:t xml:space="preserve">  - Apply PF point‑by‑point down the system; use Qavg1 for early‑life self‑cleansing checks and Qavg2 for capacity at design day [16], [6].</w:t>
      </w:r>
    </w:p>
    <w:p w14:paraId="5D31892C" w14:textId="66C24620" w:rsidR="00F854EE" w:rsidRDefault="00000000">
      <w:r>
        <w:t xml:space="preserve">I/I </w:t>
      </w:r>
      <w:proofErr w:type="gramStart"/>
      <w:r>
        <w:t>allowances</w:t>
      </w:r>
      <w:proofErr w:type="gramEnd"/>
      <w:r>
        <w:t xml:space="preserve"> and wet‑weather performance</w:t>
      </w:r>
    </w:p>
    <w:p w14:paraId="5068406A" w14:textId="77777777" w:rsidR="00F854EE" w:rsidRDefault="00000000">
      <w:r>
        <w:t>- New systems: CSWD/Ten‑States intend 100 gpcd and PF to cover “normal” I/I; add extra allowance only where conditions are unfavorable, with documentation [1], [2].</w:t>
      </w:r>
    </w:p>
    <w:p w14:paraId="4A7BFDC5" w14:textId="77777777" w:rsidR="00F854EE" w:rsidRDefault="00000000">
      <w:r>
        <w:t>- Existing systems: quantify GWI and RDII from monitoring; typical GWI design allowance often starts at ~1,000 gpd/acre (sometimes 2,000 gpd/acre) but should be replaced by measured, seasonally representative values [4], [2].</w:t>
      </w:r>
    </w:p>
    <w:p w14:paraId="11C3518D" w14:textId="7F3CE394" w:rsidR="00F854EE" w:rsidRDefault="00000000">
      <w:r>
        <w:t>- EPA wet‑weather/SSO policy: Design and operate to avoid SSOs; CMOM/capacity assurance applies; states use these principles in permits [2], [35].</w:t>
      </w:r>
    </w:p>
    <w:p w14:paraId="0D1C3FAE" w14:textId="46091BA2" w:rsidR="00F854EE" w:rsidRDefault="00000000">
      <w:r>
        <w:lastRenderedPageBreak/>
        <w:t>Safety/contingency and process design mapping (CSWD)</w:t>
      </w:r>
    </w:p>
    <w:p w14:paraId="0FC3A532" w14:textId="77777777" w:rsidR="00F854EE" w:rsidRDefault="00000000">
      <w:r>
        <w:t>- Provide and justify safety factors that ensure compliance at maximum flow/loading conditions [8].</w:t>
      </w:r>
    </w:p>
    <w:p w14:paraId="5FA51E5E" w14:textId="77777777" w:rsidR="00F854EE" w:rsidRDefault="00000000">
      <w:r>
        <w:t>- Parallel trains are required if peak‑hour plant flow and solids loading are ≥3× average dry‑weather values [8].</w:t>
      </w:r>
    </w:p>
    <w:p w14:paraId="5C8AE69F" w14:textId="5DF3B3A7" w:rsidR="00F854EE" w:rsidRDefault="00000000">
      <w:r>
        <w:t>- Use CSWD Table G2‑1 to map which design flows govern each process (e.g., biological reactor at MWDF and MDDF; clarifiers at PHDF plus recirculation; plant pumping at peak instantaneous) [8]. Consider equalization/surge analysis if needed [8].</w:t>
      </w:r>
    </w:p>
    <w:p w14:paraId="57BE3FDF" w14:textId="6675DFCE" w:rsidR="00F854EE" w:rsidRDefault="00000000">
      <w:r>
        <w:t>Translating to loadings (BOD5, TSS, TN, TP, ammonia)</w:t>
      </w:r>
    </w:p>
    <w:p w14:paraId="38A52D3F" w14:textId="77777777" w:rsidR="00F854EE" w:rsidRDefault="00000000">
      <w:r>
        <w:t>- CSWD Table G2‑2 per‑capita organic loads for new systems:</w:t>
      </w:r>
    </w:p>
    <w:p w14:paraId="33C59E8F" w14:textId="77777777" w:rsidR="00F854EE" w:rsidRDefault="00000000">
      <w:r>
        <w:t xml:space="preserve">  - BOD5: 0.2 lb/person·day; TSS: 0.2 lb/person·day [5]. Use these for residential contributions; add nonresidential categories (e.g., restaurants per seat) from Table G2‑2 [5].</w:t>
      </w:r>
    </w:p>
    <w:p w14:paraId="3F60912A" w14:textId="77777777" w:rsidR="00F854EE" w:rsidRDefault="00000000">
      <w:r>
        <w:t>- Existing systems: Base design loadings on observed plant records; at least one full year recommended (more preferred) [10], [5].</w:t>
      </w:r>
    </w:p>
    <w:p w14:paraId="76ADE174" w14:textId="77777777" w:rsidR="00F854EE" w:rsidRDefault="00000000">
      <w:r>
        <w:t>- Nitrogen and phosphorus:</w:t>
      </w:r>
    </w:p>
    <w:p w14:paraId="07AF203F" w14:textId="77777777" w:rsidR="00F854EE" w:rsidRDefault="00000000">
      <w:r>
        <w:t xml:space="preserve">  - Method: Use measured concentrations and seasonal statistics from the sewershed or influent to derive average, maximum month, and peak hour mass loadings (L = Q × C). Where monitoring is not yet available, use data from similar municipalities and document justification (as CSWD directs) [5], [8].</w:t>
      </w:r>
    </w:p>
    <w:p w14:paraId="6474C329" w14:textId="77777777" w:rsidR="00F854EE" w:rsidRDefault="00000000">
      <w:r>
        <w:t xml:space="preserve">  - Example of typical municipal-strength concentrations from WEF MOP 8 design example (for illustration where local data are not yet available, to be replaced by site data): TKN ≈ 30 mg/L (average), TP ≈ 7 mg/L (average) [11]. Seasonal maxima (“maximum month”) should be established from local records as they can occur in warm or cold seasons [11]. Total nitrogen (TN) is typically computed as TKN + NOx; determine NOx fraction from monitoring.</w:t>
      </w:r>
    </w:p>
    <w:p w14:paraId="6E6FF786" w14:textId="77777777" w:rsidR="00F854EE" w:rsidRDefault="00000000">
      <w:r>
        <w:t xml:space="preserve">  - Ammonia: Use local monitoring to apportion TKN between NH3–N and organic N; do not assume septic‑tank‑influenced values unless the collection system uses STEP/effluent sewers (which can elevate ammonia) [24].</w:t>
      </w:r>
    </w:p>
    <w:p w14:paraId="5877C4A4" w14:textId="77777777" w:rsidR="00F854EE" w:rsidRDefault="00000000">
      <w:r>
        <w:t>- Peak loading conditions:</w:t>
      </w:r>
    </w:p>
    <w:p w14:paraId="05BFB640" w14:textId="693FF67E" w:rsidR="00F854EE" w:rsidRDefault="00000000">
      <w:r>
        <w:t xml:space="preserve">  - Define average day, maximum month, and peak hour mass loads consistent with WEF MOP 8 </w:t>
      </w:r>
      <w:proofErr w:type="gramStart"/>
      <w:r>
        <w:t>practice;</w:t>
      </w:r>
      <w:proofErr w:type="gramEnd"/>
      <w:r>
        <w:t xml:space="preserve"> e.g., capacity design for peak 1‑hr at design day, maximum month for biological sizing and aeration checks, and verify under MWDF/MDDF per CSWD [6], [8], [11].</w:t>
      </w:r>
    </w:p>
    <w:p w14:paraId="26BF7398" w14:textId="5317C664" w:rsidR="00F854EE" w:rsidRDefault="00000000">
      <w:r>
        <w:t>Putting it together: Calculation workflow and equations (document in the report)</w:t>
      </w:r>
    </w:p>
    <w:p w14:paraId="19C2467E" w14:textId="77777777" w:rsidR="00F854EE" w:rsidRDefault="00000000">
      <w:r>
        <w:lastRenderedPageBreak/>
        <w:t>1) Forecast population and employment by subarea for beginning and end of period [9], [21], [10].</w:t>
      </w:r>
    </w:p>
    <w:p w14:paraId="4D17130F" w14:textId="77777777" w:rsidR="00F854EE" w:rsidRDefault="00000000">
      <w:r>
        <w:t>2) Compute average sanitary flows:</w:t>
      </w:r>
    </w:p>
    <w:p w14:paraId="094304A3" w14:textId="77777777" w:rsidR="00F854EE" w:rsidRDefault="00000000">
      <w:r>
        <w:t xml:space="preserve">   - Residential sanitary flow: POP × 100 gpd/capita [5], [2].</w:t>
      </w:r>
    </w:p>
    <w:p w14:paraId="6B15A10D" w14:textId="77777777" w:rsidR="00F854EE" w:rsidRDefault="00000000">
      <w:r>
        <w:t xml:space="preserve">   - Add nonresidential per Table G2‑2 units (e.g., restaurants per seat × 50 gpd/seat; schools per person, etc.) [5].</w:t>
      </w:r>
    </w:p>
    <w:p w14:paraId="37D066A2" w14:textId="77777777" w:rsidR="00F854EE" w:rsidRDefault="00000000">
      <w:r>
        <w:t xml:space="preserve">   - Validate/adjust with return ratios from water-use vs. flow regression [4], [31], and with data from similar municipalities [5].</w:t>
      </w:r>
    </w:p>
    <w:p w14:paraId="50FE38E1" w14:textId="77777777" w:rsidR="00F854EE" w:rsidRDefault="00000000">
      <w:r>
        <w:t>3) Add GWI:</w:t>
      </w:r>
    </w:p>
    <w:p w14:paraId="43D8FC62" w14:textId="77777777" w:rsidR="00F854EE" w:rsidRDefault="00000000">
      <w:r>
        <w:t xml:space="preserve">   - From monitoring; if interim allowance needed: start with 1,000 gpd/acre for existing areas (up to 2,000 where justified) and replace with measured values when available [4], [2]. Note: “normal” infiltration is assumed within 100 gpcd for new construction; only add if conditions are unfavorable and document [1], [2].</w:t>
      </w:r>
    </w:p>
    <w:p w14:paraId="765723F9" w14:textId="77777777" w:rsidR="00F854EE" w:rsidRDefault="00000000">
      <w:r>
        <w:t>4) Establish DADF (Qavg2) at design year: Sum residential + nonres + “normal” infiltration (+ justified GWI) [6], [2], [1].</w:t>
      </w:r>
    </w:p>
    <w:p w14:paraId="080C08A3" w14:textId="77777777" w:rsidR="00F854EE" w:rsidRDefault="00000000">
      <w:r>
        <w:t>5) Establish MDDF and MWDF:</w:t>
      </w:r>
    </w:p>
    <w:p w14:paraId="50B40E62" w14:textId="77777777" w:rsidR="00F854EE" w:rsidRDefault="00000000">
      <w:r>
        <w:t xml:space="preserve">   - MDDF: from dry‑weather diurnal monitoring or similar community data; identify the highest 24‑hr dry‑weather day [8], [5].</w:t>
      </w:r>
    </w:p>
    <w:p w14:paraId="2698B625" w14:textId="77777777" w:rsidR="00F854EE" w:rsidRDefault="00000000">
      <w:r>
        <w:t xml:space="preserve">   - MWDF: from monitored wet‑weather events or model; include BWF + GWI + RDII [8], [17]. Consider continuous flow routing if using equalization [8].</w:t>
      </w:r>
    </w:p>
    <w:p w14:paraId="4B907C89" w14:textId="77777777" w:rsidR="00F854EE" w:rsidRDefault="00000000">
      <w:r>
        <w:t>6) Derive PHDF:</w:t>
      </w:r>
    </w:p>
    <w:p w14:paraId="01067E79" w14:textId="77777777" w:rsidR="00F854EE" w:rsidRDefault="00000000">
      <w:r>
        <w:t xml:space="preserve">   - PHDF = DADF × PF. Use Ecology/Ten‑States PF curve (minimum 2.5) or a local PF based on measured data [1]. Example Ten‑States PFs by population (thousands): 0.5→~3.6, 1→~3.4, 5→~2.7, 10→~2.5 [1]. Alternatively, where allowed, PF = (18 + √P)/(4 + √P) [13].</w:t>
      </w:r>
    </w:p>
    <w:p w14:paraId="712E8E3E" w14:textId="77777777" w:rsidR="00F854EE" w:rsidRDefault="00000000">
      <w:r>
        <w:t>7) Develop mass loadings:</w:t>
      </w:r>
    </w:p>
    <w:p w14:paraId="2213D9C3" w14:textId="77777777" w:rsidR="00F854EE" w:rsidRDefault="00000000">
      <w:r>
        <w:t xml:space="preserve">   - BOD5 avg mass: POP × 0.2 lb/d + nonresidential per Table G2‑2 [5].</w:t>
      </w:r>
    </w:p>
    <w:p w14:paraId="6E95C8CE" w14:textId="77777777" w:rsidR="00F854EE" w:rsidRDefault="00000000">
      <w:r>
        <w:t xml:space="preserve">   - TSS avg mass: POP × 0.2 lb/d + nonresidential per Table G2‑2 [5].</w:t>
      </w:r>
    </w:p>
    <w:p w14:paraId="0345852B" w14:textId="77777777" w:rsidR="00F854EE" w:rsidRDefault="00000000">
      <w:r>
        <w:t xml:space="preserve">   - TN/TKN, TP, NH3–N: L = Q × C using local monitoring; if interim, use comparable municipal values (e.g., TKN ~30 mg/L, TP ~7 mg/L) and replace with site data during design development [11], [5]. Establish maximum month and peak‑hour conditions consistent with observed variability [11].</w:t>
      </w:r>
    </w:p>
    <w:p w14:paraId="1D127FB1" w14:textId="77777777" w:rsidR="00F854EE" w:rsidRDefault="00000000">
      <w:r>
        <w:t>8) Map flows and loads to process design per CSWD Table G2‑1:</w:t>
      </w:r>
    </w:p>
    <w:p w14:paraId="69B95E33" w14:textId="77777777" w:rsidR="00F854EE" w:rsidRDefault="00000000">
      <w:r>
        <w:lastRenderedPageBreak/>
        <w:t xml:space="preserve">   - Biological reactor checks at MWDF and MDDF with corresponding loads; clarifiers at PHDF + recirculation; pumping/structures at PIDF/PHDF [8].</w:t>
      </w:r>
    </w:p>
    <w:p w14:paraId="075FC484" w14:textId="55E01E08" w:rsidR="00F854EE" w:rsidRDefault="00000000">
      <w:r>
        <w:t xml:space="preserve">   - Provide safety factor justification; include multiple trains if PHDF/loads ≥3× ADWF/loads [8].</w:t>
      </w:r>
    </w:p>
    <w:p w14:paraId="0002A458" w14:textId="5222BB06" w:rsidR="00F854EE" w:rsidRDefault="00000000">
      <w:r>
        <w:t>I/I control, compliance, and permitting notes to include</w:t>
      </w:r>
    </w:p>
    <w:p w14:paraId="006773C7" w14:textId="77777777" w:rsidR="00F854EE" w:rsidRDefault="00000000">
      <w:r>
        <w:t>- Document current I/I and a plan to eliminate or manage excessive I/I so there is no impairment of treatment or inadequately treated discharges; this is required for existing systems in CSWD G2‑1.2.3 [5].</w:t>
      </w:r>
    </w:p>
    <w:p w14:paraId="1BD1486D" w14:textId="77777777" w:rsidR="00F854EE" w:rsidRDefault="00000000">
      <w:r>
        <w:t>- Note EPA percent‑removal adjustment pathways if influent is dilute without excessive I/I; and industrial adjustment provisions (if industrial BOD5/TSS &amp;gt;10% design) [30], [28], [34].</w:t>
      </w:r>
    </w:p>
    <w:p w14:paraId="46D44893" w14:textId="11ED0614" w:rsidR="00F854EE" w:rsidRDefault="00000000">
      <w:r>
        <w:t xml:space="preserve">- Reflect EPA/State SSO policy: no SSOs; ensure capacity assurance and </w:t>
      </w:r>
      <w:proofErr w:type="spellStart"/>
      <w:r>
        <w:t>O&amp;</w:t>
      </w:r>
      <w:proofErr w:type="gramStart"/>
      <w:r>
        <w:t>amp;M</w:t>
      </w:r>
      <w:proofErr w:type="spellEnd"/>
      <w:proofErr w:type="gramEnd"/>
      <w:r>
        <w:t xml:space="preserve"> plans [2], [35].</w:t>
      </w:r>
    </w:p>
    <w:p w14:paraId="58F10964" w14:textId="196DC713" w:rsidR="00F854EE" w:rsidRDefault="00000000">
      <w:r>
        <w:t>Seasonal adjustments and contingency</w:t>
      </w:r>
    </w:p>
    <w:p w14:paraId="320220F0" w14:textId="77777777" w:rsidR="00F854EE" w:rsidRDefault="00000000">
      <w:r>
        <w:t>- GWI varies seasonally (highest in spring); plan monitoring and design allowances accordingly [4].</w:t>
      </w:r>
    </w:p>
    <w:p w14:paraId="16B66856" w14:textId="77777777" w:rsidR="00F854EE" w:rsidRDefault="00000000">
      <w:r>
        <w:t>- Maximum month design loads can occur in either warm or cold season; check both [11].</w:t>
      </w:r>
    </w:p>
    <w:p w14:paraId="6ECD7A37" w14:textId="4D0EF9B1" w:rsidR="00F854EE" w:rsidRDefault="00000000">
      <w:r>
        <w:t>- Consider flow equalization where small systems have high diurnal/weekly variability [15]; and use modular design for seasonal flow swings [15].</w:t>
      </w:r>
    </w:p>
    <w:p w14:paraId="5BD67B0D" w14:textId="237ADAFA" w:rsidR="00F854EE" w:rsidRDefault="00000000">
      <w:r>
        <w:t>Minimums and velocities for conveyance (if collection sizing is within scope)</w:t>
      </w:r>
    </w:p>
    <w:p w14:paraId="4E3B914A" w14:textId="77777777" w:rsidR="00F854EE" w:rsidRDefault="00000000">
      <w:r>
        <w:t>- Gravity sewers not less than 8 inches unless Ecology approves 6‑inch under strict criteria [1].</w:t>
      </w:r>
    </w:p>
    <w:p w14:paraId="5E41AF7A" w14:textId="528DDFA1" w:rsidR="00F854EE" w:rsidRDefault="00000000">
      <w:r>
        <w:t>- Traditional minimum velocity 2 fps at peak flow; design for self‑cleansing (tractive force) and recognize modern PFs may be lower than legacy standards; where allowed, full‑pipe design is acceptable when justified [13].</w:t>
      </w:r>
    </w:p>
    <w:p w14:paraId="18F5D53B" w14:textId="3B2F6FB4" w:rsidR="00F854EE" w:rsidRDefault="00000000">
      <w:r>
        <w:t>What to submit to Ecology (tie back to WAC/CSWD)</w:t>
      </w:r>
    </w:p>
    <w:p w14:paraId="2A020037" w14:textId="77777777" w:rsidR="00F854EE" w:rsidRDefault="00000000">
      <w:r>
        <w:t>- A complete engineering report per WAC 173‑240‑060 with:</w:t>
      </w:r>
    </w:p>
    <w:p w14:paraId="29CF1845" w14:textId="77777777" w:rsidR="00F854EE" w:rsidRDefault="00000000">
      <w:r>
        <w:t xml:space="preserve">  - Population trends and design period projections; concurrence with local planning [21], [10].</w:t>
      </w:r>
    </w:p>
    <w:p w14:paraId="08E2E430" w14:textId="77777777" w:rsidR="00F854EE" w:rsidRDefault="00000000">
      <w:r>
        <w:t xml:space="preserve">  - Present and future flow and loading estimates with basis, monitoring summaries, and alternative method documentation if deviating from per‑capita [1], [21].</w:t>
      </w:r>
    </w:p>
    <w:p w14:paraId="0358C61B" w14:textId="77777777" w:rsidR="00F854EE" w:rsidRDefault="00000000">
      <w:r>
        <w:t xml:space="preserve">  - I/I analysis and plan to address excessive I/I [21], [5].</w:t>
      </w:r>
    </w:p>
    <w:p w14:paraId="7FB4A3EA" w14:textId="77777777" w:rsidR="00F854EE" w:rsidRDefault="00000000">
      <w:r>
        <w:lastRenderedPageBreak/>
        <w:t xml:space="preserve">  - Design flow definitions (DADF, MDDF, MWDF, PHDF), PF derivation, seasonal adjustments, safety factor rationale, and process mapping per CSWD Table G2‑1 [8], [5].</w:t>
      </w:r>
    </w:p>
    <w:p w14:paraId="50014B5B" w14:textId="27C905A5" w:rsidR="00F854EE" w:rsidRDefault="00000000">
      <w:r>
        <w:t xml:space="preserve">  - Nonresidential/industrial contributors and pretreatment needs if applicable [10], [28].</w:t>
      </w:r>
    </w:p>
    <w:p w14:paraId="5CB4CBEE" w14:textId="25DD1FCA" w:rsidR="00F854EE" w:rsidRDefault="00000000">
      <w:r>
        <w:t>Short list of key default values and cautions</w:t>
      </w:r>
    </w:p>
    <w:p w14:paraId="1F005C8E" w14:textId="77777777" w:rsidR="00F854EE" w:rsidRDefault="00000000">
      <w:r>
        <w:t>- Use 100 gpd/capita for domestic sanitary design flow for new systems, inclusive of normal infiltration; add allowance where conditions are unfavorable and justify [5], [2], [1].</w:t>
      </w:r>
    </w:p>
    <w:p w14:paraId="6BEB670F" w14:textId="77777777" w:rsidR="00F854EE" w:rsidRDefault="00000000">
      <w:r>
        <w:t>- Use Table G2‑2 unit rates for nonresidential categories (e.g., restaurants per seat, schools per person) [5].</w:t>
      </w:r>
    </w:p>
    <w:p w14:paraId="40DDA27C" w14:textId="77777777" w:rsidR="00F854EE" w:rsidRDefault="00000000">
      <w:r>
        <w:t>- Use CSWD/Ten‑States PFs with minimum PF = 2.5 unless a local PF is justified by data [1].</w:t>
      </w:r>
    </w:p>
    <w:p w14:paraId="11AF4897" w14:textId="77777777" w:rsidR="00F854EE" w:rsidRDefault="00000000">
      <w:r>
        <w:t>- Typical GWI planning allowance for existing systems ~1,000 gpd/acre; some allow up to 2,000 gpd/acre; replace with local monitored values [4], [2].</w:t>
      </w:r>
    </w:p>
    <w:p w14:paraId="0C807EA8" w14:textId="77777777" w:rsidR="00F854EE" w:rsidRDefault="00000000">
      <w:r>
        <w:t>- Per‑capita organic load: 0.2 lb BOD5/person·day and 0.2 lb TSS/person·day [5].</w:t>
      </w:r>
    </w:p>
    <w:p w14:paraId="3887B68B" w14:textId="65EA62D5" w:rsidR="00F854EE" w:rsidRDefault="00000000">
      <w:r>
        <w:t xml:space="preserve">- Nitrogen, phosphorus, ammonia: derive from monitoring; if interim, use values from comparable communities and replace with site data; an example municipal case shows average TKN ~30 mg/L and TP ~7 mg/L [11]. Ammonia </w:t>
      </w:r>
      <w:proofErr w:type="gramStart"/>
      <w:r>
        <w:t>fraction</w:t>
      </w:r>
      <w:proofErr w:type="gramEnd"/>
      <w:r>
        <w:t xml:space="preserve"> should be measured (varies widely by system type and upstream processes) [11], [24].</w:t>
      </w:r>
    </w:p>
    <w:p w14:paraId="4972BF39" w14:textId="2F19423B" w:rsidR="00F854EE" w:rsidRDefault="00000000">
      <w:r>
        <w:t>Quotes (for clarity in the report)</w:t>
      </w:r>
    </w:p>
    <w:p w14:paraId="521EC78C" w14:textId="77777777" w:rsidR="00F854EE" w:rsidRDefault="00000000">
      <w:r>
        <w:t>- “Sewage treatment plants to serve new sewerage systems should be designed on the basis of information in Table G2‑2” (which includes 100 gpd per person and 0.2 lb/d BOD5 and TSS per person) [5].</w:t>
      </w:r>
    </w:p>
    <w:p w14:paraId="01DA1789" w14:textId="77777777" w:rsidR="00F854EE" w:rsidRDefault="00000000">
      <w:r>
        <w:t>- “Generally, the sewers shall be designed to carry at least the peak hourly flow… The peaking factor shall not be less than 2.5” [1].</w:t>
      </w:r>
    </w:p>
    <w:p w14:paraId="26C595CC" w14:textId="77777777" w:rsidR="00F854EE" w:rsidRDefault="00000000">
      <w:r>
        <w:t>- “The 100 gal/capita·d figure is assumed to cover ‘normal’ infiltration but an additional allowance should be made where conditions are unfavorable” [2].</w:t>
      </w:r>
    </w:p>
    <w:p w14:paraId="05108157" w14:textId="77777777" w:rsidR="00F854EE" w:rsidRDefault="00000000">
      <w:r>
        <w:t>- “GWI… customary to include a rate of about 1,000 gal/acre·d, some… as high as 2,000 gal/acre·d” [4].</w:t>
      </w:r>
    </w:p>
    <w:p w14:paraId="653EA2FF" w14:textId="6BDE61B0" w:rsidR="00F854EE" w:rsidRDefault="00000000">
      <w:r>
        <w:t>- “The biological treatment plant must treat all of the flows up to MWDF… and up to MDDF for treatment plants with toxics… engineer must justify… appropriate safety factor” [8].</w:t>
      </w:r>
    </w:p>
    <w:p w14:paraId="2EFFF9EA" w14:textId="770E8D99" w:rsidR="00F854EE" w:rsidRDefault="00000000">
      <w:r>
        <w:t>Bottom line</w:t>
      </w:r>
    </w:p>
    <w:p w14:paraId="2D23415A" w14:textId="4D5694BF" w:rsidR="00F854EE" w:rsidRDefault="00000000">
      <w:r>
        <w:t xml:space="preserve">Follow Ecology’s CSWD and WAC for method, documentation, and safety factors; use Ten‑States/CSWD defaults only as a starting point. Replace defaults with local, seasonally representative measurements (water use, DWF, GWI, RDII, concentrations) and develop local peaking factors whenever possible. Map design flows and loads to each process per </w:t>
      </w:r>
      <w:r>
        <w:lastRenderedPageBreak/>
        <w:t>CSWD Table G2‑</w:t>
      </w:r>
      <w:proofErr w:type="gramStart"/>
      <w:r>
        <w:t>1, and</w:t>
      </w:r>
      <w:proofErr w:type="gramEnd"/>
      <w:r>
        <w:t xml:space="preserve"> explicitly address I/I control and SSO prevention to meet AKART and federal wet‑weather expectations.</w:t>
      </w:r>
    </w:p>
    <w:p w14:paraId="3C8EEE24" w14:textId="045B2152" w:rsidR="00F854EE" w:rsidRDefault="00000000">
      <w:r>
        <w:t>Sources:</w:t>
      </w:r>
    </w:p>
    <w:p w14:paraId="5252A9C1" w14:textId="3719E848" w:rsidR="00F854EE" w:rsidRDefault="00000000">
      <w:r>
        <w:t>[1] DOE_Orange_Book_Design_Standards.pdf - p.209; C1-4.1 MINIMUM SIZE</w:t>
      </w:r>
    </w:p>
    <w:p w14:paraId="48472050" w14:textId="77777777" w:rsidR="00F854EE" w:rsidRDefault="00000000">
      <w:r>
        <w:t>[2] EPA_Infiltration_Inflow_Review.pdf - p.17; &lt;em&gt;The “Ten-State” Standards (1997 Edition)&lt;/em&gt;</w:t>
      </w:r>
    </w:p>
    <w:p w14:paraId="6BAF76AD" w14:textId="77777777" w:rsidR="00F854EE" w:rsidRDefault="00000000">
      <w:r>
        <w:t>[3] EPA_Infiltration_Inflow_Review.pdf - p.19</w:t>
      </w:r>
    </w:p>
    <w:p w14:paraId="4568ADFA" w14:textId="77777777" w:rsidR="00F854EE" w:rsidRDefault="00000000">
      <w:r>
        <w:t>[4] EPA_Infiltration_Inflow_Review.pdf - p.14; &lt;em&gt;Sanitary Flow Contribution&lt;/em&gt;</w:t>
      </w:r>
    </w:p>
    <w:p w14:paraId="5BE735A5" w14:textId="77777777" w:rsidR="00F854EE" w:rsidRDefault="00000000">
      <w:r>
        <w:t>[5] DOE_Orange_Book_Design_Standards.pdf - p.96; Table G2- 2. Design Basis for New Sewage Works</w:t>
      </w:r>
    </w:p>
    <w:p w14:paraId="5001F560" w14:textId="77777777" w:rsidR="00F854EE" w:rsidRDefault="00000000">
      <w:r>
        <w:t>[6] 2013_WEF_FD-5_gravity-sanitary-sewer-design-and-construction.pdf - p.52; QUANTITY OF WASTEWATER</w:t>
      </w:r>
    </w:p>
    <w:p w14:paraId="762F3611" w14:textId="77777777" w:rsidR="00F854EE" w:rsidRDefault="00000000">
      <w:r>
        <w:t>[7] 2013_WEF_FD-5_gravity-sanitary-sewer-design-and-construction.pdf - p.51; GRAVITY SANITARY SEWER DESIGN AND CONSTRUCTION</w:t>
      </w:r>
    </w:p>
    <w:p w14:paraId="0C3A3459" w14:textId="77777777" w:rsidR="00F854EE" w:rsidRDefault="00000000">
      <w:r>
        <w:t>[8] DOE_Orange_Book_Design_Standards.pdf - p.94; General Considerations</w:t>
      </w:r>
    </w:p>
    <w:p w14:paraId="2FF6EBB6" w14:textId="77777777" w:rsidR="00F854EE" w:rsidRDefault="00000000">
      <w:r>
        <w:t>[9] 2013_WEF_FD-5_gravity-sanitary-sewer-design-and-construction.pdf - p.55; GRAVITY SANITARY SEWER DESIGN AND CONSTRUCTION</w:t>
      </w:r>
    </w:p>
    <w:p w14:paraId="2EBD737E" w14:textId="77777777" w:rsidR="00F854EE" w:rsidRDefault="00000000">
      <w:r>
        <w:t>[10] DOE_Orange_Book_Design_Standards.pdf - p.48</w:t>
      </w:r>
    </w:p>
    <w:p w14:paraId="35048277" w14:textId="77777777" w:rsidR="00F854EE" w:rsidRDefault="00000000">
      <w:r>
        <w:t>[11] MOP8_Combined_part02.pdf - p.214; Analysis and Base-Case Assumptions</w:t>
      </w:r>
    </w:p>
    <w:p w14:paraId="090DD2F8" w14:textId="77777777" w:rsidR="00F854EE" w:rsidRDefault="00000000">
      <w:r>
        <w:t>[12] EPA_Infiltration_Inflow_Review.pdf - p.28</w:t>
      </w:r>
    </w:p>
    <w:p w14:paraId="72632F5C" w14:textId="77777777" w:rsidR="00F854EE" w:rsidRDefault="00000000">
      <w:r>
        <w:t>[13] 2013_WEF_FD-5_gravity-sanitary-sewer-design-and-construction.pdf - p.194; DESIGN OF SANITARY SEWER SYSTEMS</w:t>
      </w:r>
    </w:p>
    <w:p w14:paraId="621CD042" w14:textId="77777777" w:rsidR="00F854EE" w:rsidRDefault="00000000">
      <w:r>
        <w:t>[14] EPA_Infiltration_Inflow_Review.pdf - p.27; References</w:t>
      </w:r>
    </w:p>
    <w:p w14:paraId="066E6D4A" w14:textId="77777777" w:rsidR="00F854EE" w:rsidRDefault="00000000">
      <w:r>
        <w:t>[15] WEF_FD-16_Facilities_Design.pdf - p.99; 5.3.1 Wastewater Flows</w:t>
      </w:r>
    </w:p>
    <w:p w14:paraId="55636648" w14:textId="77777777" w:rsidR="00F854EE" w:rsidRDefault="00000000">
      <w:r>
        <w:t>[16] 2013_WEF_FD-5_gravity-sanitary-sewer-design-and-construction.pdf - p.68; Quantity of Wastewater</w:t>
      </w:r>
    </w:p>
    <w:p w14:paraId="6157AD0C" w14:textId="77777777" w:rsidR="00F854EE" w:rsidRDefault="00000000">
      <w:r>
        <w:t>[17] EPA_Infiltration_Inflow_Review.pdf - p.14; Chapter 2 Components of Wastewater Flows for Sanitary Sewer Design</w:t>
      </w:r>
    </w:p>
    <w:p w14:paraId="7B969DD7" w14:textId="77777777" w:rsidR="00F854EE" w:rsidRDefault="00000000">
      <w:r>
        <w:t>[18] 2013_WEF_FD-5_gravity-sanitary-sewer-design-and-construction.pdf - p.50; 3.1. INTRODUCTION</w:t>
      </w:r>
    </w:p>
    <w:p w14:paraId="5C32444E" w14:textId="77777777" w:rsidR="00F854EE" w:rsidRDefault="00000000">
      <w:r>
        <w:lastRenderedPageBreak/>
        <w:t>[19] DOE_Orange_Book_Design_Standards.pdf - p.12; G1 General Engineering Requirements</w:t>
      </w:r>
    </w:p>
    <w:p w14:paraId="0F734047" w14:textId="77777777" w:rsidR="00F854EE" w:rsidRDefault="00000000">
      <w:r>
        <w:t>[20] MOP8_Combined_part01.pdf - p.14; CHAPTER 2: Principles of Integrated Design</w:t>
      </w:r>
    </w:p>
    <w:p w14:paraId="53759266" w14:textId="77777777" w:rsidR="00F854EE" w:rsidRDefault="00000000">
      <w:r>
        <w:t>[21] WAC_173-240_Wastewater_Submission_Plans.pdf - p.6; WAC 173-240-060 Engineering report</w:t>
      </w:r>
    </w:p>
    <w:p w14:paraId="607E2C25" w14:textId="77777777" w:rsidR="00F854EE" w:rsidRDefault="00000000">
      <w:r>
        <w:t>[22] WEF_FD-16_Facilities_Design.pdf - p.83; 4.1 Phase 1: Wastewater Characterization and Treatment Requirements</w:t>
      </w:r>
    </w:p>
    <w:p w14:paraId="63706028" w14:textId="77777777" w:rsidR="00F854EE" w:rsidRDefault="00000000">
      <w:r>
        <w:t>[23] MOP8_Combined_part01.pdf - p.8; Category breakdown (Pie chart data)</w:t>
      </w:r>
    </w:p>
    <w:p w14:paraId="6925BAC4" w14:textId="77777777" w:rsidR="00F854EE" w:rsidRDefault="00000000">
      <w:r>
        <w:t>[24] WEF_FD-16_Facilities_Design.pdf - p.413; 8.4 Fisherman Bay, Washington</w:t>
      </w:r>
    </w:p>
    <w:p w14:paraId="677AE20B" w14:textId="77777777" w:rsidR="00F854EE" w:rsidRDefault="00000000">
      <w:r>
        <w:t>[25] DOE_Orange_Book_Design_Standards.pdf - p.41; G1-3.2 Content of General Sewer Plan</w:t>
      </w:r>
    </w:p>
    <w:p w14:paraId="703EAEF6" w14:textId="77777777" w:rsidR="00F854EE" w:rsidRDefault="00000000">
      <w:r>
        <w:t>[26] WEF_FD-16_Facilities_Design.pdf - p.584; 3.6 Metals Removal</w:t>
      </w:r>
    </w:p>
    <w:p w14:paraId="2FCB13F2" w14:textId="77777777" w:rsidR="00F854EE" w:rsidRDefault="00000000">
      <w:r>
        <w:t>[27] WAC_173-240_Wastewater_Submission_Plans.pdf - p.4; Section (b) through (m)</w:t>
      </w:r>
    </w:p>
    <w:p w14:paraId="1CC8F911" w14:textId="77777777" w:rsidR="00F854EE" w:rsidRDefault="00000000">
      <w:r>
        <w:t>[28] 2010_EPA_Permit_Writers_Manual.pdf - p.78; Adjustments for Industrial Contributions</w:t>
      </w:r>
    </w:p>
    <w:p w14:paraId="6507C5F5" w14:textId="77777777" w:rsidR="00F854EE" w:rsidRDefault="00000000">
      <w:r>
        <w:t>[29] DOE_Orange_Book_Design_Standards.pdf - p.5; Chapter C2, Sewage Pump Stations</w:t>
      </w:r>
    </w:p>
    <w:p w14:paraId="76423E76" w14:textId="77777777" w:rsidR="00F854EE" w:rsidRDefault="00000000">
      <w:r>
        <w:t>[30] 2010_EPA_Permit_Writers_Manual.pdf - p.78; Adjustments to Percent Removal Requirements</w:t>
      </w:r>
    </w:p>
    <w:p w14:paraId="66633BBC" w14:textId="77777777" w:rsidR="00F854EE" w:rsidRDefault="00000000">
      <w:r>
        <w:t>[31] 2010_EPA_Permit_Writers_Manual.pdf - p.64; Example 1:</w:t>
      </w:r>
    </w:p>
    <w:p w14:paraId="07F799B4" w14:textId="77777777" w:rsidR="00F854EE" w:rsidRDefault="00000000">
      <w:r>
        <w:t>[32] MOP8_Combined_part01.pdf - p.6; 1.1 Overview</w:t>
      </w:r>
    </w:p>
    <w:p w14:paraId="40D05247" w14:textId="77777777" w:rsidR="00F854EE" w:rsidRDefault="00000000">
      <w:r>
        <w:t>[33] 2010_EPA_Permit_Writers_Manual.pdf - p.97; Calculating Mass-based TBELs from Flow-Normalized Effluent Guidelines</w:t>
      </w:r>
    </w:p>
    <w:p w14:paraId="12F13700" w14:textId="77777777" w:rsidR="00F854EE" w:rsidRDefault="00000000">
      <w:r>
        <w:t>[34] 2010_EPA_Permit_Writers_Manual.pdf - p.79</w:t>
      </w:r>
    </w:p>
    <w:p w14:paraId="4AD7C03C" w14:textId="77777777" w:rsidR="00F854EE" w:rsidRDefault="00000000">
      <w:r>
        <w:t>[35] 2010_EPA_Permit_Writers_Manual.pdf - p.30; 2.3.1.5 Sanitary Sewer Overflows (SSOs)</w:t>
      </w:r>
    </w:p>
    <w:p w14:paraId="51F69157" w14:textId="77777777" w:rsidR="00F854EE" w:rsidRDefault="00000000">
      <w:r>
        <w:t>[36] MOP8_Combined_part01.pdf - p.9; 2.2 Water Resource Recovery Facility Advances</w:t>
      </w:r>
    </w:p>
    <w:p w14:paraId="7B32A4BF" w14:textId="77777777" w:rsidR="00F854EE" w:rsidRDefault="00000000">
      <w:r>
        <w:t>[37] 2010_EPA_Permit_Writers_Manual.pdf - p.202</w:t>
      </w:r>
    </w:p>
    <w:p w14:paraId="60E73409" w14:textId="33EA0E42" w:rsidR="00F854EE" w:rsidRDefault="00000000">
      <w:r>
        <w:t>[38] 2010_EPA_Permit_Writers_Manual.pdf - p.194</w:t>
      </w:r>
    </w:p>
    <w:sectPr w:rsidR="00F854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401960">
    <w:abstractNumId w:val="8"/>
  </w:num>
  <w:num w:numId="2" w16cid:durableId="1443308619">
    <w:abstractNumId w:val="6"/>
  </w:num>
  <w:num w:numId="3" w16cid:durableId="946741653">
    <w:abstractNumId w:val="5"/>
  </w:num>
  <w:num w:numId="4" w16cid:durableId="519391937">
    <w:abstractNumId w:val="4"/>
  </w:num>
  <w:num w:numId="5" w16cid:durableId="1615215013">
    <w:abstractNumId w:val="7"/>
  </w:num>
  <w:num w:numId="6" w16cid:durableId="412316793">
    <w:abstractNumId w:val="3"/>
  </w:num>
  <w:num w:numId="7" w16cid:durableId="1048189972">
    <w:abstractNumId w:val="2"/>
  </w:num>
  <w:num w:numId="8" w16cid:durableId="579170437">
    <w:abstractNumId w:val="1"/>
  </w:num>
  <w:num w:numId="9" w16cid:durableId="18706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229"/>
    <w:rsid w:val="00326F90"/>
    <w:rsid w:val="00A00662"/>
    <w:rsid w:val="00AA1D8D"/>
    <w:rsid w:val="00B47730"/>
    <w:rsid w:val="00B57163"/>
    <w:rsid w:val="00CB0664"/>
    <w:rsid w:val="00F854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88A64"/>
  <w14:defaultImageDpi w14:val="300"/>
  <w15:docId w15:val="{7048D5ED-D45C-4CAB-B496-D569B35F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2814</Words>
  <Characters>16042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Froelich</cp:lastModifiedBy>
  <cp:revision>2</cp:revision>
  <dcterms:created xsi:type="dcterms:W3CDTF">2013-12-23T23:15:00Z</dcterms:created>
  <dcterms:modified xsi:type="dcterms:W3CDTF">2025-09-04T19:36:00Z</dcterms:modified>
  <cp:category/>
</cp:coreProperties>
</file>