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9778" w14:textId="23DA664A" w:rsidR="000F153E" w:rsidRDefault="00000000">
      <w:r>
        <w:t xml:space="preserve">1) Establish planning horizon and design period                                                                                                                                                                                   </w:t>
      </w:r>
    </w:p>
    <w:p w14:paraId="2551A86B" w14:textId="0CF0D717" w:rsidR="000F153E" w:rsidRDefault="00000000">
      <w:r>
        <w:t xml:space="preserve">- Use the jurisdiction’s adopted plans and expected pipe life: “planning horizon…as little as 10 years…as much as 50 years” and consider “saturation or build-out” where appropriate [13, p.54].                                  </w:t>
      </w:r>
    </w:p>
    <w:p w14:paraId="48B6D1D5" w14:textId="7F01A796" w:rsidR="000F153E" w:rsidRDefault="00000000">
      <w:r>
        <w:t xml:space="preserve">- Forecasts are applied at start and end of design period for flow sizing [1, p.55]. Quote: “done for the beginning and end of the design period” [1, p.55].                                                                        </w:t>
      </w:r>
    </w:p>
    <w:p w14:paraId="289CC4BA" w14:textId="0C92ED0B" w:rsidR="000F153E" w:rsidRDefault="00000000">
      <w:r>
        <w:t xml:space="preserve">2) Confirm regulatory planning framework and submittals                                                                                                                                                                           </w:t>
      </w:r>
    </w:p>
    <w:p w14:paraId="2133E013" w14:textId="39869895" w:rsidR="000F153E" w:rsidRDefault="00000000">
      <w:r>
        <w:t xml:space="preserve">- General sewer plan and engineering report must include population trends and projections: “estimated future population for the stated design period” and describe method and planning-agency concurrence [11, p.1; 6, p.6].     </w:t>
      </w:r>
    </w:p>
    <w:p w14:paraId="5E27FDD6" w14:textId="7D8721F2" w:rsidR="000F153E" w:rsidRDefault="00000000">
      <w:r>
        <w:t xml:space="preserve">- State guidance requires using official data: “Provide Office of Financial Management (OFM) or other population data…Include population projections for the…design period” consistent with local land use agencies [5, p.48].      </w:t>
      </w:r>
    </w:p>
    <w:p w14:paraId="3F41D8C7" w14:textId="7B9C6F65" w:rsidR="000F153E" w:rsidRDefault="00000000">
      <w:r>
        <w:t xml:space="preserve">3) Select data sources and coordinate with planners/demographers                                                                                                                                                                  </w:t>
      </w:r>
    </w:p>
    <w:p w14:paraId="5C26228F" w14:textId="1ECC40F1" w:rsidR="000F153E" w:rsidRDefault="00000000">
      <w:r>
        <w:t xml:space="preserve">- Prefer land-use-based inputs over pure trend extrapolation: “use data on population and residential land use…from the jurisdiction’s planning department” (general plan, zoning, development plans) [1, p.55].                  </w:t>
      </w:r>
    </w:p>
    <w:p w14:paraId="3E08A0BD" w14:textId="442E35E1" w:rsidR="000F153E" w:rsidRDefault="00000000">
      <w:r>
        <w:t xml:space="preserve">- Keep plans current and sequence growth: “planners…inform the engineer as to which parts…will be developed before others” and use “most current versions” [1, p.55].                                                               </w:t>
      </w:r>
    </w:p>
    <w:p w14:paraId="6C0B55DD" w14:textId="3B6A82EF" w:rsidR="000F153E" w:rsidRDefault="00000000">
      <w:r>
        <w:t xml:space="preserve">4) Structure the forecasting workflow (per WEF summary)                                                                                                                                                                           </w:t>
      </w:r>
    </w:p>
    <w:p w14:paraId="09E9EC02" w14:textId="3BD5C10B" w:rsidR="000F153E" w:rsidRDefault="00000000">
      <w:r>
        <w:t xml:space="preserve">- Follow a stepwise procedure: “Step 1: Determine planning horizon… Step 2: Forecast population or number of dwelling units… Step 3: Determine average unit flows… Step 4: Develop average flows” and then “Develop design and peak and minimum flows” [4, p.51].                                                                                                                                                                                                       </w:t>
      </w:r>
    </w:p>
    <w:p w14:paraId="6E0FD1C7" w14:textId="002DCD71" w:rsidR="000F153E" w:rsidRDefault="00000000">
      <w:r>
        <w:t xml:space="preserve">5) Residential population forecast (DU-based)                                                                                                                                                                                     </w:t>
      </w:r>
    </w:p>
    <w:p w14:paraId="6FEFC350" w14:textId="264FEC63" w:rsidR="000F153E" w:rsidRDefault="00000000">
      <w:r>
        <w:t xml:space="preserve">- Use DU/acre and persons/DU by density class. Example densities: “≤4 DU/acre…3.0 persons/DU; 4–10…2.8; &amp;gt;10…2.5 persons/DU” [1, p.55].                                                                                            </w:t>
      </w:r>
    </w:p>
    <w:p w14:paraId="5C24D65D" w14:textId="632C56AC" w:rsidR="000F153E" w:rsidRDefault="00000000">
      <w:r>
        <w:t xml:space="preserve">- Adjust for development timing and vacancy: “% developed at end of planning horizon” and “Population forecasts may also be adjusted by a housing vacancy rate” [8, p.56; 1, p.55].                                               </w:t>
      </w:r>
    </w:p>
    <w:p w14:paraId="0C4082D5" w14:textId="3705F3FB" w:rsidR="000F153E" w:rsidRDefault="00000000">
      <w:r>
        <w:t xml:space="preserve">- Include transients and group quarters: “include transients…group quarters…seasonal-use facilities” and, if needed, “convert to equivalent full-time residents by using multipliers” [1, p.55].                                  </w:t>
      </w:r>
    </w:p>
    <w:p w14:paraId="21E7DF13" w14:textId="125BA7B4" w:rsidR="000F153E" w:rsidRDefault="00000000">
      <w:r>
        <w:t xml:space="preserve">- Apply at subarea key points for hydraulics: “divide into subareas…most downstream point…is the key point” [1, p.55].                                                                                                              </w:t>
      </w:r>
    </w:p>
    <w:p w14:paraId="5765B07F" w14:textId="782F0784" w:rsidR="000F153E" w:rsidRDefault="00000000">
      <w:r>
        <w:lastRenderedPageBreak/>
        <w:t xml:space="preserve">6) Nonresidential projections (employment-based)                                                                                                                                                                                  </w:t>
      </w:r>
    </w:p>
    <w:p w14:paraId="7330D4BF" w14:textId="5AFDED71" w:rsidR="000F153E" w:rsidRDefault="00000000">
      <w:r>
        <w:t xml:space="preserve">- Forecast land uses/employment from plans: “forecast the land use and/or number of employees” using “general plan…zoning…development plans” [7, p.56].                                                                           </w:t>
      </w:r>
    </w:p>
    <w:p w14:paraId="335E90B5" w14:textId="5A8AF5F8" w:rsidR="000F153E" w:rsidRDefault="00000000">
      <w:r>
        <w:t xml:space="preserve">- Use FARs and floor area per employee to estimate employees; apply by category (office, retail, institutional, etc.) [7, p.56; 15, p.57].                                                                                        </w:t>
      </w:r>
    </w:p>
    <w:p w14:paraId="4DE24A31" w14:textId="613D5CA9" w:rsidR="000F153E" w:rsidRDefault="00000000">
      <w:r>
        <w:t xml:space="preserve">- Compute beginning- and end-of-period estimates for each sewer subarea and key point [15, p.57].                                                                                                                                   </w:t>
      </w:r>
    </w:p>
    <w:p w14:paraId="7D451CDA" w14:textId="3F405E3F" w:rsidR="000F153E" w:rsidRDefault="00000000">
      <w:r>
        <w:t xml:space="preserve">7) Translate population to wastewater flows                                                                                                                                                                                       </w:t>
      </w:r>
    </w:p>
    <w:p w14:paraId="5F70DC57" w14:textId="64781796" w:rsidR="000F153E" w:rsidRDefault="00000000">
      <w:r>
        <w:t xml:space="preserve">- Residential per-capita benchmarks: average daily indoor use “600 to 650 L/d (160 to 170 gpd)” for a “median household size of 2.6 persons” [2, p.99].                                                                           </w:t>
      </w:r>
    </w:p>
    <w:p w14:paraId="07C1ED45" w14:textId="6E2DBB64" w:rsidR="000F153E" w:rsidRDefault="00000000">
      <w:r>
        <w:t xml:space="preserve">- For larger household sizes: “use…225 L/capita/d (60 gpd/capita)” [2, p.99].                                                                                                                                                     </w:t>
      </w:r>
    </w:p>
    <w:p w14:paraId="35B8269D" w14:textId="6B7AECBA" w:rsidR="000F153E" w:rsidRDefault="00000000">
      <w:r>
        <w:t xml:space="preserve">- For mixed areas, estimate nonresidential flows individually “for each source using appropriate criteria or metered water use” [2, p.99].                                                                                        </w:t>
      </w:r>
    </w:p>
    <w:p w14:paraId="74AE37DD" w14:textId="0A18A90C" w:rsidR="000F153E" w:rsidRDefault="00000000">
      <w:r>
        <w:t xml:space="preserve">- Recognize small-population variability; consider equalization or modularity when flows vary: “flows vary substantially…consideration should be given to flow equalization…modular designs” [2, p.99].                             </w:t>
      </w:r>
    </w:p>
    <w:p w14:paraId="5AA20987" w14:textId="236C7287" w:rsidR="000F153E" w:rsidRDefault="00000000">
      <w:r>
        <w:t xml:space="preserve">8) Account for infiltration and inflow (I/I)                                                                                                                                                                                      </w:t>
      </w:r>
    </w:p>
    <w:p w14:paraId="15545DC8" w14:textId="401C60DA" w:rsidR="000F153E" w:rsidRDefault="00000000">
      <w:r>
        <w:t xml:space="preserve">- Design must include extraneous flows: estimate “current and future BWF and RDII to </w:t>
      </w:r>
      <w:proofErr w:type="gramStart"/>
      <w:r>
        <w:t>insure</w:t>
      </w:r>
      <w:proofErr w:type="gramEnd"/>
      <w:r>
        <w:t xml:space="preserve"> that sewers have adequate conveyance capacities” [21, p.14].                                                                          </w:t>
      </w:r>
    </w:p>
    <w:p w14:paraId="609E7E0C" w14:textId="1BBC6244" w:rsidR="000F153E" w:rsidRDefault="00000000">
      <w:r>
        <w:t xml:space="preserve">- Definitions to separate components: BSF, GWI, inflow, ADW, peaking, etc. (e.g., “Base Sanitary Flow…excludes infiltration and inflow”) [38, p.3].                                                                               </w:t>
      </w:r>
    </w:p>
    <w:p w14:paraId="3B567BA2" w14:textId="251280BA" w:rsidR="000F153E" w:rsidRDefault="00000000">
      <w:r>
        <w:t xml:space="preserve">- Even for small systems: “Infiltration and inflow should not be overlooked…identify and repair or eliminate…or…handle the excess water” [2, p.99].                                                                               </w:t>
      </w:r>
    </w:p>
    <w:p w14:paraId="7FD1D78E" w14:textId="6F19E92E" w:rsidR="000F153E" w:rsidRDefault="00000000">
      <w:r>
        <w:t xml:space="preserve">- Rationale: “Excess storm and groundwater…robs the system of its valuable capacity” and drives overflows [10, p.7].                                                                                                                </w:t>
      </w:r>
    </w:p>
    <w:p w14:paraId="30475D65" w14:textId="12725E24" w:rsidR="000F153E" w:rsidRDefault="00000000">
      <w:r>
        <w:t xml:space="preserve">9) Develop design, peak, and minimum flows from forecasts                                                                                                                                                                         </w:t>
      </w:r>
    </w:p>
    <w:p w14:paraId="3CD6BA71" w14:textId="482DA546" w:rsidR="000F153E" w:rsidRDefault="00000000">
      <w:r>
        <w:t xml:space="preserve">- After average flows by subarea are developed, proceed to peaks/minima for sizing: “Develop design and peak and minimum flows” following the forecasting steps [4, p.51].                                                        </w:t>
      </w:r>
    </w:p>
    <w:p w14:paraId="14BB5739" w14:textId="50136FEA" w:rsidR="000F153E" w:rsidRDefault="00000000">
      <w:r>
        <w:t xml:space="preserve">- Use beginning- and end-of-period conditions for facility capacity planning; apply at “many key points” in the system [1, p.55; 15, p.57].                                                                                         </w:t>
      </w:r>
    </w:p>
    <w:p w14:paraId="720DD4D6" w14:textId="48924E4A" w:rsidR="000F153E" w:rsidRDefault="00000000">
      <w:r>
        <w:t xml:space="preserve">10) Address uncertainty and scenario planning                                                                                                                                                                                     </w:t>
      </w:r>
    </w:p>
    <w:p w14:paraId="17AAF940" w14:textId="14B9348F" w:rsidR="000F153E" w:rsidRDefault="00000000">
      <w:r>
        <w:lastRenderedPageBreak/>
        <w:t xml:space="preserve">- Treat forecasts as uncertain; manage via alternatives: “Forecasts…are not statements of fact…Two or more planning scenarios” and sensitivity analyses are recommended [12, p.75].                                                 </w:t>
      </w:r>
    </w:p>
    <w:p w14:paraId="1528C81F" w14:textId="2FD2441A" w:rsidR="000F153E" w:rsidRDefault="00000000">
      <w:r>
        <w:t xml:space="preserve">11) Documentation in engineering submittals (design basis)                                                                                                                                                                        </w:t>
      </w:r>
    </w:p>
    <w:p w14:paraId="589205C2" w14:textId="52FD7069" w:rsidR="000F153E" w:rsidRDefault="00000000">
      <w:r>
        <w:t xml:space="preserve">- Engineering reports must state present and future “quantity and quality of wastewater” and discuss I/I and variability [6, p.6; 18, p.7].                                                                                       </w:t>
      </w:r>
    </w:p>
    <w:p w14:paraId="74F3BBAA" w14:textId="5FCE3FFD" w:rsidR="000F153E" w:rsidRDefault="00000000">
      <w:r>
        <w:t xml:space="preserve">- Ensure consistency with approved general sewer plan; reports must be “sufficiently complete” to support design without “substantial changes” [5, p.48].                                                                         </w:t>
      </w:r>
    </w:p>
    <w:p w14:paraId="457360F1" w14:textId="20220F8B" w:rsidR="000F153E" w:rsidRDefault="00000000">
      <w:r>
        <w:t xml:space="preserve">- Environmental review linkages: SEPA/NEPA/SERP may apply to planning documents [30, p.39; 26, p.41].                                                                                                                               </w:t>
      </w:r>
    </w:p>
    <w:p w14:paraId="765AE4E0" w14:textId="308B5D68" w:rsidR="000F153E" w:rsidRDefault="00000000">
      <w:r>
        <w:t xml:space="preserve">12) Example tabular structure (to implement the method)                                                                                                                                                                           </w:t>
      </w:r>
    </w:p>
    <w:p w14:paraId="180B51B9" w14:textId="0577747C" w:rsidR="000F153E" w:rsidRDefault="00000000">
      <w:r>
        <w:t xml:space="preserve">- Use a table like WEF Table 3-2 with columns: “Area (acres), DU/acre, No. of DUs, Persons/DU, % Developed…, Total Population” [8, p.56].                                                                                         </w:t>
      </w:r>
    </w:p>
    <w:p w14:paraId="054AF2DD" w14:textId="55BB06CF" w:rsidR="000F153E" w:rsidRDefault="00000000">
      <w:r>
        <w:t xml:space="preserve">- Note: include transient facilities (e.g., “Resort Hotel…convert to equivalent full-time residents”) [8, p.56; 1, p.55].                                                                                                           </w:t>
      </w:r>
    </w:p>
    <w:p w14:paraId="2753B4CB" w14:textId="6D8B2EF4" w:rsidR="000F153E" w:rsidRDefault="00000000">
      <w:r>
        <w:t xml:space="preserve">Key takeaways                                                                                                                                                                                                                     </w:t>
      </w:r>
    </w:p>
    <w:p w14:paraId="514BA58A" w14:textId="212087EA" w:rsidR="000F153E" w:rsidRDefault="00000000">
      <w:r>
        <w:t xml:space="preserve">- Base projections on current land use/zoning and development phasing, not only trends [1, p.55].                                                                                                                                 </w:t>
      </w:r>
    </w:p>
    <w:p w14:paraId="5E1A7825" w14:textId="780AE6C8" w:rsidR="000F153E" w:rsidRDefault="00000000">
      <w:r>
        <w:t xml:space="preserve">- Forecast both residential (DU-based) and nonresidential (employment/FAR-based) contributors [7, p.56; 15, p.57].                                                                                                                </w:t>
      </w:r>
    </w:p>
    <w:p w14:paraId="38801B8D" w14:textId="5544917F" w:rsidR="000F153E" w:rsidRDefault="00000000">
      <w:r>
        <w:t xml:space="preserve">- Convert population to average flows with per-capita rates, then address peaking and I/I for design capacity [2, p.99; 4, p.51; 21, p.14].                                                                                       </w:t>
      </w:r>
    </w:p>
    <w:p w14:paraId="25ADD095" w14:textId="03011FB3" w:rsidR="000F153E" w:rsidRDefault="00000000">
      <w:r>
        <w:t xml:space="preserve">- Document methods and assumptions to meet WAC engineering report and plan requirements with planning-agency concurrence [11, p.1; 5, p.48].                                                                                        </w:t>
      </w:r>
    </w:p>
    <w:p w14:paraId="1827AE3C" w14:textId="0F952E1F" w:rsidR="000F153E" w:rsidRDefault="00000000">
      <w:r>
        <w:t xml:space="preserve">Sources:                                                                                                                                                                                                                            </w:t>
      </w:r>
    </w:p>
    <w:p w14:paraId="4553FFED" w14:textId="691708E4" w:rsidR="000F153E" w:rsidRDefault="00000000">
      <w:r>
        <w:t xml:space="preserve">[1] 2013_WEF_FD-5_gravity-sanitary-sewer-design-and-construction.pdf - p.55; GRAVITY SANITARY SEWER DESIGN AND CONSTRUCTION                                                                                                       </w:t>
      </w:r>
    </w:p>
    <w:p w14:paraId="428DEF8E" w14:textId="756877F3" w:rsidR="000F153E" w:rsidRDefault="00000000">
      <w:r>
        <w:t xml:space="preserve">[2] WEF_FD-16_Facilities_Design.pdf - p.99; 5.3.1 Wastewater Flows                                                                                                                                                                </w:t>
      </w:r>
    </w:p>
    <w:p w14:paraId="5A2BE6DD" w14:textId="43CEA495" w:rsidR="000F153E" w:rsidRDefault="00000000">
      <w:r>
        <w:t xml:space="preserve">[3] 2013_WEF_FD-5_gravity-sanitary-sewer-design-and-construction.pdf - p.54; 3.3. POPULATION OR DWELLING UNIT FORECAST                                                                                                            </w:t>
      </w:r>
    </w:p>
    <w:p w14:paraId="614482AD" w14:textId="698CB2FB" w:rsidR="000F153E" w:rsidRDefault="00000000">
      <w:r>
        <w:t xml:space="preserve">[4] 2013_WEF_FD-5_gravity-sanitary-sewer-design-and-construction.pdf - p.51; GRAVITY SANITARY SEWER DESIGN AND CONSTRUCTION                                                                                                       </w:t>
      </w:r>
    </w:p>
    <w:p w14:paraId="1C561140" w14:textId="55BB32A1" w:rsidR="000F153E" w:rsidRDefault="00000000">
      <w:r>
        <w:lastRenderedPageBreak/>
        <w:t xml:space="preserve">[5] DOE_Orange_Book_Design_Standards.pdf - p.48                                                                                                                                                                                   </w:t>
      </w:r>
    </w:p>
    <w:p w14:paraId="2CE07508" w14:textId="09923677" w:rsidR="000F153E" w:rsidRDefault="00000000">
      <w:r>
        <w:t xml:space="preserve">[6] WAC_173-240_Wastewater_Submission_Plans.pdf - p.6; WAC 173-240-060 Engineering report                                                                                                                                         </w:t>
      </w:r>
    </w:p>
    <w:p w14:paraId="39F670E6" w14:textId="49401CE4" w:rsidR="000F153E" w:rsidRDefault="00000000">
      <w:r>
        <w:t xml:space="preserve">[7] 2013_WEF_FD-5_gravity-sanitary-sewer-design-and-construction.pdf - p.56; 3.4. LAND USE AND/OR EMPLOYEE FORECASTS                                                                                                              </w:t>
      </w:r>
    </w:p>
    <w:p w14:paraId="3E55FBD9" w14:textId="3BA1305E" w:rsidR="000F153E" w:rsidRDefault="00000000">
      <w:r>
        <w:t xml:space="preserve">[8] 2013_WEF_FD-5_gravity-sanitary-sewer-design-and-construction.pdf - p.56; QUANTITY OF WASTEWATER                                                                                                                               </w:t>
      </w:r>
    </w:p>
    <w:p w14:paraId="03AB9AF0" w14:textId="31C96250" w:rsidR="000F153E" w:rsidRDefault="00000000">
      <w:r>
        <w:t xml:space="preserve">[9] EPA_Infiltration_Inflow_Review.pdf - p.28                                                                                                                                                                                     </w:t>
      </w:r>
    </w:p>
    <w:p w14:paraId="69639A43" w14:textId="15CD5A93" w:rsidR="000F153E" w:rsidRDefault="00000000">
      <w:r>
        <w:t xml:space="preserve">[10] EPA_Guide_Estimating_Infiltration_Inflow.pdf - p.7; Summary                                                                                                                                                                  </w:t>
      </w:r>
    </w:p>
    <w:p w14:paraId="2D21FB92" w14:textId="02188622" w:rsidR="000F153E" w:rsidRDefault="00000000">
      <w:r>
        <w:t xml:space="preserve">[11] WAC_173-240-050_Engineering_Reports.pdf - p.1; WAC 173-240-050: Planning and Compliance                                                                                                                                      </w:t>
      </w:r>
    </w:p>
    <w:p w14:paraId="0BBCD3DA" w14:textId="01DE79D5" w:rsidR="000F153E" w:rsidRDefault="00000000">
      <w:r>
        <w:t xml:space="preserve">[12] 2013_WEF_FD-5_gravity-sanitary-sewer-design-and-construction.pdf - p.75; 3.10. Uncertainty in Forecasts                                                                                                                      </w:t>
      </w:r>
    </w:p>
    <w:p w14:paraId="6618146E" w14:textId="4EF48BB0" w:rsidR="000F153E" w:rsidRDefault="00000000">
      <w:r>
        <w:t xml:space="preserve">[13] 2013_WEF_FD-5_gravity-sanitary-sewer-design-and-construction.pdf - p.54; QUANTITY OF WASTEWATER                                                                                                                              </w:t>
      </w:r>
    </w:p>
    <w:p w14:paraId="44D4AFAE" w14:textId="169FCF54" w:rsidR="000F153E" w:rsidRDefault="00000000">
      <w:r>
        <w:t xml:space="preserve">[14] EPA_Guide_Estimating_Infiltration_Inflow.pdf - p.7; References                                                                                                                                                               </w:t>
      </w:r>
    </w:p>
    <w:p w14:paraId="2E647962" w14:textId="0BE18709" w:rsidR="000F153E" w:rsidRDefault="00000000">
      <w:r>
        <w:t xml:space="preserve">[15] 2013_WEF_FD-5_gravity-sanitary-sewer-design-and-construction.pdf - p.57; GRAVITY SANITARY SEWER DESIGN AND CONSTRUCTION                                                                                                      </w:t>
      </w:r>
    </w:p>
    <w:p w14:paraId="5F916FE7" w14:textId="66061C9D" w:rsidR="000F153E" w:rsidRDefault="00000000">
      <w:r>
        <w:t xml:space="preserve">[16] EPA_Infiltration_Inflow_Review.pdf - p.27; References                                                                                                                                                                        </w:t>
      </w:r>
    </w:p>
    <w:p w14:paraId="697EDFCF" w14:textId="1384A3A8" w:rsidR="000F153E" w:rsidRDefault="00000000">
      <w:r>
        <w:t xml:space="preserve">[17] WEF_FD-16_Facilities_Design.pdf - p.97; - Hydraulic and pollutant mass loadings to the infiltrative </w:t>
      </w:r>
      <w:proofErr w:type="gramStart"/>
      <w:r>
        <w:t>surface;</w:t>
      </w:r>
      <w:proofErr w:type="gramEnd"/>
      <w:r>
        <w:t xml:space="preserve">                                                                                                                 </w:t>
      </w:r>
    </w:p>
    <w:p w14:paraId="435D01CF" w14:textId="628717BB" w:rsidR="000F153E" w:rsidRDefault="00000000">
      <w:r>
        <w:t xml:space="preserve">[18] WAC_173-240_Wastewater_Submission_Plans.pdf - p.7; WAC 173-240-070 Plans and specifications. (1) The plans and specifications for a domestic wastewater facility are the detailed construction documents by which the owner or his or her contractor bid and construct the facility. The content and format of the plans and specifications must be as stated in the state of Washington, "Criteria for sewage works design," and shall include a list of the facility de-                                                                                                                                                                                                                           </w:t>
      </w:r>
    </w:p>
    <w:p w14:paraId="621B3478" w14:textId="73A64782" w:rsidR="000F153E" w:rsidRDefault="00000000">
      <w:r>
        <w:t xml:space="preserve">[19] WEF_FD-16_Facilities_Design.pdf - p.23; 7.10 Plan view of Hotchkiss wastewater treatment plant                                                                                                                               </w:t>
      </w:r>
    </w:p>
    <w:p w14:paraId="48B8CA5E" w14:textId="4D12399E" w:rsidR="000F153E" w:rsidRDefault="00000000">
      <w:r>
        <w:t xml:space="preserve">[20] EPA_Sanitary_Sewer_Evaluation_9100WGB6.pdf - p.48; Questions and Comments:                                                                                                                                                   </w:t>
      </w:r>
    </w:p>
    <w:p w14:paraId="74384BC4" w14:textId="4F3931BF" w:rsidR="000F153E" w:rsidRDefault="00000000">
      <w:r>
        <w:t xml:space="preserve">[21] EPA_Infiltration_Inflow_Review.pdf - p.14; Chapter 2 Components of Wastewater Flows for Sanitary Sewer Design                                                                                                                </w:t>
      </w:r>
    </w:p>
    <w:p w14:paraId="2EBF9351" w14:textId="603653F0" w:rsidR="000F153E" w:rsidRDefault="00000000">
      <w:r>
        <w:lastRenderedPageBreak/>
        <w:t xml:space="preserve">[22] WEF_FD-16_Facilities_Design.pdf - p.291; 2.0 TREATMENT MECHANISMS AND PERFORMANCE                                                                                                                                            </w:t>
      </w:r>
    </w:p>
    <w:p w14:paraId="068360AC" w14:textId="1F3EF914" w:rsidR="000F153E" w:rsidRDefault="00000000">
      <w:r>
        <w:t xml:space="preserve">[23] WEF_FD-16_Facilities_Design.pdf - p.584; 3.6 Metals Removal                                                                                                                                                                  </w:t>
      </w:r>
    </w:p>
    <w:p w14:paraId="79205C94" w14:textId="4DE63467" w:rsidR="000F153E" w:rsidRDefault="00000000">
      <w:r>
        <w:t xml:space="preserve">[24] EPA_Sanitary_Sewer_Evaluation_9100WGB6.pdf - p.2; FOR                                                                                                                                                                        </w:t>
      </w:r>
    </w:p>
    <w:p w14:paraId="698C9F83" w14:textId="13753FD8" w:rsidR="000F153E" w:rsidRDefault="00000000">
      <w:r>
        <w:t xml:space="preserve">[25] WAC_173-240_Wastewater_Submission_Plans.pdf - p.15; WAC 173-240-140 Plans and specifications                                                                                                                                 </w:t>
      </w:r>
    </w:p>
    <w:p w14:paraId="52D04745" w14:textId="141EEE94" w:rsidR="000F153E" w:rsidRDefault="00000000">
      <w:r>
        <w:t xml:space="preserve">[26] DOE_Orange_Book_Design_Standards.pdf - p.41; G1-3.2 Content of General Sewer Plan                                                                                                                                            </w:t>
      </w:r>
    </w:p>
    <w:p w14:paraId="1B4B0460" w14:textId="01B36495" w:rsidR="000F153E" w:rsidRDefault="00000000">
      <w:r>
        <w:t xml:space="preserve">[27] EPA_Sanitary_Sewer_Evaluation_9100WGB6.pdf - p.2; INFILTRATION/INFLOW                                                                                                                                                        </w:t>
      </w:r>
    </w:p>
    <w:p w14:paraId="27F39657" w14:textId="5A26602D" w:rsidR="000F153E" w:rsidRDefault="00000000">
      <w:r>
        <w:t xml:space="preserve">[28] EPA_Sanitary_Sewer_Evaluation_9100WGB6.pdf - p.1; SEWER SYSTEM EVALUATION                                                                                                                                                    </w:t>
      </w:r>
    </w:p>
    <w:p w14:paraId="46DB5BAD" w14:textId="0D447319" w:rsidR="000F153E" w:rsidRDefault="00000000">
      <w:r>
        <w:t xml:space="preserve">[29] EPA_Sanitary_Sewer_Evaluation_9100WGB6.pdf - p.56; LIMITATIONS AND CONDITIONS                                                                                                                                                </w:t>
      </w:r>
    </w:p>
    <w:p w14:paraId="6858CE0B" w14:textId="16003AE9" w:rsidR="000F153E" w:rsidRDefault="00000000">
      <w:r>
        <w:t xml:space="preserve">[30] DOE_Orange_Book_Design_Standards.pdf - p.39; G1-2.7 Environmental Review (SEPA, NEPA, SERP)                                                                                                                                  </w:t>
      </w:r>
    </w:p>
    <w:p w14:paraId="31E55FCD" w14:textId="21E0B24C" w:rsidR="000F153E" w:rsidRDefault="00000000">
      <w:r>
        <w:t xml:space="preserve">[31] EPA_Sanitary_Sewer_Evaluation_9100WGB6.pdf - p.56; PLANS, SPECIFICATIONS, ESTIMATES, AND PAYMENTS                                                                                                                            </w:t>
      </w:r>
    </w:p>
    <w:p w14:paraId="47991337" w14:textId="4424C32F" w:rsidR="000F153E" w:rsidRDefault="00000000">
      <w:r>
        <w:t xml:space="preserve">[32] 2010_EPA_Permit_Writers_Manual.pdf - p.203                                                                                                                                                                                   </w:t>
      </w:r>
    </w:p>
    <w:p w14:paraId="5682F35B" w14:textId="5160B70B" w:rsidR="000F153E" w:rsidRDefault="00000000">
      <w:r>
        <w:t xml:space="preserve">[33] DOE_Orange_Book_Design_Standards.pdf - p.33; G1-2.3 General Sewer Plans                                                                                                                                                      </w:t>
      </w:r>
    </w:p>
    <w:p w14:paraId="78BEC3BF" w14:textId="065AFA17" w:rsidR="000F153E" w:rsidRDefault="00000000">
      <w:r>
        <w:t xml:space="preserve">[34] EPA_Sanitary_Sewer_Evaluation_9100WGB6.pdf - p.57; "BASIN PLANNING"                                                                                                                                                          </w:t>
      </w:r>
    </w:p>
    <w:p w14:paraId="4968607C" w14:textId="6B38F6B4" w:rsidR="000F153E" w:rsidRDefault="00000000">
      <w:r>
        <w:t>[35] DOE_Orange_Book_Design_Standards.pdf - p.18; G1-1.3.</w:t>
      </w:r>
      <w:proofErr w:type="gramStart"/>
      <w:r>
        <w:t>3  Corps</w:t>
      </w:r>
      <w:proofErr w:type="gramEnd"/>
      <w:r>
        <w:t xml:space="preserve"> of Engineers                                                                                                                                                    </w:t>
      </w:r>
    </w:p>
    <w:p w14:paraId="444A56AE" w14:textId="035D59FF" w:rsidR="000F153E" w:rsidRDefault="00000000">
      <w:r>
        <w:t xml:space="preserve">[36] EPA_Sanitary_Sewer_Evaluation_9100WGB6.pdf - p.9; SEWER SYSTEM EVALUATION ... WHAT IT IS                                                                                                                                     </w:t>
      </w:r>
    </w:p>
    <w:p w14:paraId="72EC1EAF" w14:textId="2F522FD4" w:rsidR="000F153E" w:rsidRDefault="00000000">
      <w:r>
        <w:t xml:space="preserve">[37] 2010_EPA_Permit_Writers_Manual.pdf - p.202                                                                                                                                                                                   </w:t>
      </w:r>
    </w:p>
    <w:p w14:paraId="676218BB" w14:textId="273B2A81" w:rsidR="000F153E" w:rsidRDefault="00000000">
      <w:r>
        <w:t>[38] EPA_Guide_Estimating_Infiltration_Inflow.pdf - p.3; Definitions of terms used in Calculating Inflow and Infiltration</w:t>
      </w:r>
    </w:p>
    <w:sectPr w:rsidR="000F1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485380">
    <w:abstractNumId w:val="8"/>
  </w:num>
  <w:num w:numId="2" w16cid:durableId="302466971">
    <w:abstractNumId w:val="6"/>
  </w:num>
  <w:num w:numId="3" w16cid:durableId="362169740">
    <w:abstractNumId w:val="5"/>
  </w:num>
  <w:num w:numId="4" w16cid:durableId="223107847">
    <w:abstractNumId w:val="4"/>
  </w:num>
  <w:num w:numId="5" w16cid:durableId="1094786356">
    <w:abstractNumId w:val="7"/>
  </w:num>
  <w:num w:numId="6" w16cid:durableId="1821771266">
    <w:abstractNumId w:val="3"/>
  </w:num>
  <w:num w:numId="7" w16cid:durableId="432477565">
    <w:abstractNumId w:val="2"/>
  </w:num>
  <w:num w:numId="8" w16cid:durableId="612518614">
    <w:abstractNumId w:val="1"/>
  </w:num>
  <w:num w:numId="9" w16cid:durableId="15653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53E"/>
    <w:rsid w:val="0015074B"/>
    <w:rsid w:val="0029639D"/>
    <w:rsid w:val="00326F90"/>
    <w:rsid w:val="009963CE"/>
    <w:rsid w:val="00AA1D8D"/>
    <w:rsid w:val="00B47730"/>
    <w:rsid w:val="00B571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68CAF"/>
  <w14:defaultImageDpi w14:val="300"/>
  <w15:docId w15:val="{7048D5ED-D45C-4CAB-B496-D569B35F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3004</Words>
  <Characters>17128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Froelich</cp:lastModifiedBy>
  <cp:revision>2</cp:revision>
  <dcterms:created xsi:type="dcterms:W3CDTF">2013-12-23T23:15:00Z</dcterms:created>
  <dcterms:modified xsi:type="dcterms:W3CDTF">2025-09-04T19:22:00Z</dcterms:modified>
  <cp:category/>
</cp:coreProperties>
</file>