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Ref. No.: </w:t>
      </w:r>
      <w:r>
        <w:t>ONE/STR/2026/INV-001</w:t>
        <w:br/>
      </w:r>
      <w:r>
        <w:rPr>
          <w:b/>
        </w:rPr>
        <w:t xml:space="preserve">Date: </w:t>
      </w:r>
      <w:r>
        <w:t>30 January 2026</w:t>
        <w:br/>
        <w:br/>
      </w:r>
      <w:r>
        <w:rPr>
          <w:b/>
        </w:rPr>
        <w:t xml:space="preserve">To: </w:t>
      </w:r>
      <w:r>
        <w:t>Senior Management / Chairman</w:t>
        <w:br/>
      </w:r>
      <w:r>
        <w:rPr>
          <w:b/>
        </w:rPr>
        <w:t xml:space="preserve">From: </w:t>
      </w:r>
      <w:r>
        <w:t>Strategy Department</w:t>
        <w:br/>
      </w:r>
      <w:r>
        <w:rPr>
          <w:b/>
        </w:rPr>
        <w:t xml:space="preserve">Subject: </w:t>
      </w:r>
      <w:r>
        <w:rPr>
          <w:b/>
          <w:u w:val="single"/>
        </w:rPr>
        <w:t>Laguna Residence Bulk Sale – AED 893M Portfolio Approval Request</w:t>
      </w:r>
    </w:p>
    <w:p/>
    <w:p>
      <w:pPr>
        <w:pStyle w:val="Heading1"/>
      </w:pPr>
      <w:r>
        <w:t>1. Executive Summary</w:t>
      </w:r>
    </w:p>
    <w:p>
      <w:r>
        <w:t xml:space="preserve">This memorandum requests approval for a bulk sale transaction of 632 units at Laguna Residence totaling AED 893,271,236 in gross value. </w:t>
      </w:r>
      <w:r>
        <w:t>The proposed terms include a 9% referral commission and 10% bulk discount, resulting in net proceeds of AED 723,549,701.</w:t>
      </w:r>
    </w:p>
    <w:p>
      <w:pPr>
        <w:pStyle w:val="Heading1"/>
      </w:pPr>
      <w:r>
        <w:t>2. Deal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Gross Portfolio Value</w:t>
            </w:r>
          </w:p>
        </w:tc>
        <w:tc>
          <w:tcPr>
            <w:tcW w:type="dxa" w:w="4703"/>
          </w:tcPr>
          <w:p>
            <w:r>
              <w:t>AED 893,271,236</w:t>
            </w:r>
          </w:p>
        </w:tc>
      </w:tr>
      <w:tr>
        <w:tc>
          <w:tcPr>
            <w:tcW w:type="dxa" w:w="4703"/>
          </w:tcPr>
          <w:p>
            <w:r>
              <w:t>Total Units</w:t>
            </w:r>
          </w:p>
        </w:tc>
        <w:tc>
          <w:tcPr>
            <w:tcW w:type="dxa" w:w="4703"/>
          </w:tcPr>
          <w:p>
            <w:r>
              <w:t>632</w:t>
            </w:r>
          </w:p>
        </w:tc>
      </w:tr>
      <w:tr>
        <w:tc>
          <w:tcPr>
            <w:tcW w:type="dxa" w:w="4703"/>
          </w:tcPr>
          <w:p>
            <w:r>
              <w:t>Average Unit Price</w:t>
            </w:r>
          </w:p>
        </w:tc>
        <w:tc>
          <w:tcPr>
            <w:tcW w:type="dxa" w:w="4703"/>
          </w:tcPr>
          <w:p>
            <w:r>
              <w:t>AED 1,413,403</w:t>
            </w:r>
          </w:p>
        </w:tc>
      </w:tr>
      <w:tr>
        <w:tc>
          <w:tcPr>
            <w:tcW w:type="dxa" w:w="4703"/>
          </w:tcPr>
          <w:p>
            <w:r>
              <w:t>Net Proceeds</w:t>
            </w:r>
          </w:p>
        </w:tc>
        <w:tc>
          <w:tcPr>
            <w:tcW w:type="dxa" w:w="4703"/>
          </w:tcPr>
          <w:p>
            <w:r>
              <w:t>AED 723,549,701</w:t>
            </w:r>
          </w:p>
        </w:tc>
      </w:tr>
    </w:tbl>
    <w:p/>
    <w:p>
      <w:pPr>
        <w:pStyle w:val="Heading1"/>
      </w:pPr>
      <w:r>
        <w:t>3. Proposed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Term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Rate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t>Referral Commission</w:t>
            </w:r>
          </w:p>
        </w:tc>
        <w:tc>
          <w:tcPr>
            <w:tcW w:type="dxa" w:w="3135"/>
          </w:tcPr>
          <w:p>
            <w:r>
              <w:t>9%</w:t>
            </w:r>
          </w:p>
        </w:tc>
        <w:tc>
          <w:tcPr>
            <w:tcW w:type="dxa" w:w="3135"/>
          </w:tcPr>
          <w:p>
            <w:r>
              <w:t>(AED 80,394,411)</w:t>
            </w:r>
          </w:p>
        </w:tc>
      </w:tr>
      <w:tr>
        <w:tc>
          <w:tcPr>
            <w:tcW w:type="dxa" w:w="3135"/>
          </w:tcPr>
          <w:p>
            <w:r>
              <w:t>Bulk Discount</w:t>
            </w:r>
          </w:p>
        </w:tc>
        <w:tc>
          <w:tcPr>
            <w:tcW w:type="dxa" w:w="3135"/>
          </w:tcPr>
          <w:p>
            <w:r>
              <w:t>10%</w:t>
            </w:r>
          </w:p>
        </w:tc>
        <w:tc>
          <w:tcPr>
            <w:tcW w:type="dxa" w:w="3135"/>
          </w:tcPr>
          <w:p>
            <w:r>
              <w:t>(AED 89,327,124)</w:t>
            </w:r>
          </w:p>
        </w:tc>
      </w:tr>
      <w:tr>
        <w:tc>
          <w:tcPr>
            <w:tcW w:type="dxa" w:w="3135"/>
          </w:tcPr>
          <w:p>
            <w:r>
              <w:t>Payment Structure</w:t>
            </w:r>
          </w:p>
        </w:tc>
        <w:tc>
          <w:tcPr>
            <w:tcW w:type="dxa" w:w="3135"/>
          </w:tcPr>
          <w:p>
            <w:r>
              <w:t>100% Upfront</w:t>
            </w:r>
          </w:p>
        </w:tc>
        <w:tc>
          <w:tcPr>
            <w:tcW w:type="dxa" w:w="3135"/>
          </w:tcPr>
          <w:p>
            <w:r>
              <w:t>Immediate liquidity</w:t>
            </w:r>
          </w:p>
        </w:tc>
      </w:tr>
      <w:tr>
        <w:tc>
          <w:tcPr>
            <w:tcW w:type="dxa" w:w="3135"/>
            <w:shd w:fill="E2EFDA"/>
          </w:tcPr>
          <w:p>
            <w:r>
              <w:rPr>
                <w:b/>
              </w:rPr>
              <w:t>Total Concession</w:t>
            </w:r>
          </w:p>
        </w:tc>
        <w:tc>
          <w:tcPr>
            <w:tcW w:type="dxa" w:w="3135"/>
            <w:shd w:fill="E2EFDA"/>
          </w:tcPr>
          <w:p>
            <w:r>
              <w:rPr>
                <w:b/>
              </w:rPr>
              <w:t>19%</w:t>
            </w:r>
          </w:p>
        </w:tc>
        <w:tc>
          <w:tcPr>
            <w:tcW w:type="dxa" w:w="3135"/>
            <w:shd w:fill="E2EFDA"/>
          </w:tcPr>
          <w:p>
            <w:r>
              <w:rPr>
                <w:b/>
              </w:rPr>
              <w:t>(AED 169,721,535)</w:t>
            </w:r>
          </w:p>
        </w:tc>
      </w:tr>
    </w:tbl>
    <w:p/>
    <w:p>
      <w:pPr>
        <w:pStyle w:val="Heading1"/>
      </w:pPr>
      <w:r>
        <w:t>4. Unit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r>
              <w:rPr>
                <w:b/>
              </w:rPr>
              <w:t>Unit Type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Avg. Price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2351"/>
          </w:tcPr>
          <w:p>
            <w:r>
              <w:t>Studio</w:t>
            </w:r>
          </w:p>
        </w:tc>
        <w:tc>
          <w:tcPr>
            <w:tcW w:type="dxa" w:w="2351"/>
          </w:tcPr>
          <w:p>
            <w:r>
              <w:t>206</w:t>
            </w:r>
          </w:p>
        </w:tc>
        <w:tc>
          <w:tcPr>
            <w:tcW w:type="dxa" w:w="2351"/>
          </w:tcPr>
          <w:p>
            <w:r>
              <w:t>AED 855,140</w:t>
            </w:r>
          </w:p>
        </w:tc>
        <w:tc>
          <w:tcPr>
            <w:tcW w:type="dxa" w:w="2351"/>
          </w:tcPr>
          <w:p>
            <w:r>
              <w:t>AED 176,158,903</w:t>
            </w:r>
          </w:p>
        </w:tc>
      </w:tr>
      <w:tr>
        <w:tc>
          <w:tcPr>
            <w:tcW w:type="dxa" w:w="2351"/>
          </w:tcPr>
          <w:p>
            <w:r>
              <w:t>1BR</w:t>
            </w:r>
          </w:p>
        </w:tc>
        <w:tc>
          <w:tcPr>
            <w:tcW w:type="dxa" w:w="2351"/>
          </w:tcPr>
          <w:p>
            <w:r>
              <w:t>381</w:t>
            </w:r>
          </w:p>
        </w:tc>
        <w:tc>
          <w:tcPr>
            <w:tcW w:type="dxa" w:w="2351"/>
          </w:tcPr>
          <w:p>
            <w:r>
              <w:t>AED 1,619,963</w:t>
            </w:r>
          </w:p>
        </w:tc>
        <w:tc>
          <w:tcPr>
            <w:tcW w:type="dxa" w:w="2351"/>
          </w:tcPr>
          <w:p>
            <w:r>
              <w:t>AED 617,206,000</w:t>
            </w:r>
          </w:p>
        </w:tc>
      </w:tr>
      <w:tr>
        <w:tc>
          <w:tcPr>
            <w:tcW w:type="dxa" w:w="2351"/>
          </w:tcPr>
          <w:p>
            <w:r>
              <w:t>2BR</w:t>
            </w:r>
          </w:p>
        </w:tc>
        <w:tc>
          <w:tcPr>
            <w:tcW w:type="dxa" w:w="2351"/>
          </w:tcPr>
          <w:p>
            <w:r>
              <w:t>45</w:t>
            </w:r>
          </w:p>
        </w:tc>
        <w:tc>
          <w:tcPr>
            <w:tcW w:type="dxa" w:w="2351"/>
          </w:tcPr>
          <w:p>
            <w:r>
              <w:t>AED 2,220,141</w:t>
            </w:r>
          </w:p>
        </w:tc>
        <w:tc>
          <w:tcPr>
            <w:tcW w:type="dxa" w:w="2351"/>
          </w:tcPr>
          <w:p>
            <w:r>
              <w:t>AED 99,906,333</w:t>
            </w:r>
          </w:p>
        </w:tc>
      </w:tr>
      <w:tr>
        <w:tc>
          <w:tcPr>
            <w:tcW w:type="dxa" w:w="2351"/>
            <w:shd w:fill="E2EFDA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1"/>
            <w:shd w:fill="E2EFDA"/>
          </w:tcPr>
          <w:p>
            <w:r>
              <w:rPr>
                <w:b/>
              </w:rPr>
              <w:t>632</w:t>
            </w:r>
          </w:p>
        </w:tc>
        <w:tc>
          <w:tcPr>
            <w:tcW w:type="dxa" w:w="2351"/>
            <w:shd w:fill="E2EFDA"/>
          </w:tcPr>
          <w:p>
            <w:r>
              <w:rPr>
                <w:b/>
              </w:rPr>
            </w:r>
          </w:p>
        </w:tc>
        <w:tc>
          <w:tcPr>
            <w:tcW w:type="dxa" w:w="2351"/>
            <w:shd w:fill="E2EFDA"/>
          </w:tcPr>
          <w:p>
            <w:r>
              <w:rPr>
                <w:b/>
              </w:rPr>
              <w:t>AED 893,271,236</w:t>
            </w:r>
          </w:p>
        </w:tc>
      </w:tr>
    </w:tbl>
    <w:p>
      <w:pPr>
        <w:spacing w:before="120"/>
      </w:pPr>
      <w:r>
        <w:rPr>
          <w:i/>
        </w:rPr>
        <w:t>Data sourced from Salesforce Unit__c (Base_Price__c field) — January 30, 2026</w:t>
      </w:r>
    </w:p>
    <w:p>
      <w:pPr>
        <w:pStyle w:val="Heading1"/>
      </w:pPr>
      <w:r>
        <w:t>5. Financial Analysis</w:t>
      </w:r>
    </w:p>
    <w:p>
      <w:r>
        <w:rPr>
          <w:b/>
        </w:rPr>
        <w:t>Proceeds Breakdown:</w:t>
        <w:br/>
      </w:r>
      <w:r>
        <w:t>Gross Value:                    AED 893,271,236</w:t>
        <w:br/>
      </w:r>
      <w:r>
        <w:t>Less: Referral Commission (9%)  (AED 80,394,411)</w:t>
        <w:br/>
      </w:r>
      <w:r>
        <w:t>Less: Bulk Discount (10%)       (AED 89,327,124)</w:t>
        <w:br/>
      </w:r>
      <w:r>
        <w:t>─────────────────────────────────────────────</w:t>
        <w:br/>
      </w:r>
      <w:r>
        <w:rPr>
          <w:b/>
        </w:rPr>
        <w:t>NET PROCEEDS:                   AED 723,549,701</w:t>
      </w:r>
    </w:p>
    <w:p>
      <w:pPr>
        <w:pStyle w:val="Heading1"/>
      </w:pPr>
      <w:r>
        <w:t>6. Strategic Rationale</w:t>
      </w:r>
    </w:p>
    <w:p>
      <w:r>
        <w:rPr>
          <w:b/>
        </w:rPr>
        <w:t>Benefits:</w:t>
        <w:br/>
      </w:r>
      <w:r>
        <w:t>1. Immediate Liquidity — AED 723,549,701 cash injection</w:t>
        <w:br/>
      </w:r>
      <w:r>
        <w:t>2. Risk Mitigation — Eliminates 24-36 month sales cycle</w:t>
        <w:br/>
      </w:r>
      <w:r>
        <w:t>3. Operational Efficiency — Single transaction vs. 632 individual sales</w:t>
        <w:br/>
      </w:r>
      <w:r>
        <w:t>4. Market Positioning — Demonstrates institutional investor interest</w:t>
        <w:br/>
      </w:r>
      <w:r>
        <w:t>5. Remaining Inventory — 307 units (~AED 901M) remain for retail sales</w:t>
      </w:r>
    </w:p>
    <w:p>
      <w:pPr>
        <w:pStyle w:val="Heading1"/>
      </w:pPr>
      <w:r>
        <w:t>7. Recommendation</w:t>
      </w:r>
    </w:p>
    <w:p>
      <w:r>
        <w:rPr>
          <w:b/>
        </w:rPr>
        <w:t xml:space="preserve">APPROVE </w:t>
      </w:r>
      <w:r>
        <w:t>this transaction based on:</w:t>
        <w:br/>
      </w:r>
      <w:r>
        <w:t>• Strong NPV compared to alternative scenarios</w:t>
        <w:br/>
      </w:r>
      <w:r>
        <w:t>• Immediate liquidity benefits</w:t>
        <w:br/>
      </w:r>
      <w:r>
        <w:t>• Risk mitigation through 100% upfront payment</w:t>
        <w:br/>
      </w:r>
      <w:r>
        <w:t>• Operational efficiency gains</w:t>
        <w:br/>
      </w:r>
      <w:r>
        <w:t>• Strategic portfolio optimization</w:t>
      </w:r>
    </w:p>
    <w:p/>
    <w:p>
      <w:pPr>
        <w:pStyle w:val="Heading1"/>
      </w:pPr>
      <w:r>
        <w:t>8. 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51"/>
            <w:shd w:fill="D9E2F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t>Strategy Director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CFO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CEO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t>Chairman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r>
        <w:rPr>
          <w:b/>
        </w:rPr>
        <w:t xml:space="preserve">Prepared by: </w:t>
      </w:r>
      <w:r>
        <w:t>Strategy Department</w:t>
        <w:br/>
      </w:r>
      <w:r>
        <w:rPr>
          <w:b/>
        </w:rPr>
        <w:t xml:space="preserve">Classification: </w:t>
      </w:r>
      <w:r>
        <w:t>CONFIDENTIAL -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