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Investment Proposal</w:t>
      </w:r>
    </w:p>
    <w:p>
      <w:pPr>
        <w:jc w:val="center"/>
      </w:pPr>
      <w:r>
        <w:rPr>
          <w:b/>
          <w:sz w:val="24"/>
        </w:rPr>
        <w:t>Presented by One International Real Estate Development LLC</w:t>
      </w:r>
    </w:p>
    <w:p>
      <w:pPr>
        <w:jc w:val="center"/>
      </w:pPr>
      <w:r>
        <w:rPr>
          <w:i/>
          <w:sz w:val="20"/>
        </w:rPr>
        <w:t>(All figures are indicative and subject to confirmation upon investor deal finalization)</w:t>
      </w:r>
    </w:p>
    <w:p/>
    <w:p>
      <w:pPr>
        <w:pStyle w:val="Heading1"/>
      </w:pPr>
      <w:r>
        <w:t>1. Overview</w:t>
      </w:r>
    </w:p>
    <w:p>
      <w:r>
        <w:rPr>
          <w:b/>
        </w:rPr>
        <w:t xml:space="preserve">Total Proposed Investment: </w:t>
      </w:r>
      <w:r>
        <w:t>AED 893,271,236</w:t>
        <w:br/>
      </w:r>
      <w:r>
        <w:rPr>
          <w:b/>
        </w:rPr>
        <w:t xml:space="preserve">Structure: </w:t>
      </w:r>
      <w:r>
        <w:t>Bulk Acquisition with Referral Commission</w:t>
        <w:br/>
      </w:r>
      <w:r>
        <w:rPr>
          <w:b/>
        </w:rPr>
        <w:t xml:space="preserve">Payment Terms: </w:t>
      </w:r>
      <w:r>
        <w:t>100% Upfront Cash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D9E2F3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351"/>
            <w:shd w:fill="D9E2F3"/>
          </w:tcPr>
          <w:p>
            <w:r>
              <w:rPr>
                <w:b/>
              </w:rPr>
              <w:t>Investment</w:t>
            </w:r>
          </w:p>
        </w:tc>
        <w:tc>
          <w:tcPr>
            <w:tcW w:type="dxa" w:w="2351"/>
            <w:shd w:fill="D9E2F3"/>
          </w:tcPr>
          <w:p>
            <w:r>
              <w:rPr>
                <w:b/>
              </w:rPr>
              <w:t>Net Investment</w:t>
            </w:r>
          </w:p>
        </w:tc>
        <w:tc>
          <w:tcPr>
            <w:tcW w:type="dxa" w:w="2351"/>
            <w:shd w:fill="D9E2F3"/>
          </w:tcPr>
          <w:p>
            <w:r>
              <w:rPr>
                <w:b/>
              </w:rPr>
              <w:t>Discount</w:t>
            </w:r>
          </w:p>
        </w:tc>
      </w:tr>
      <w:tr>
        <w:tc>
          <w:tcPr>
            <w:tcW w:type="dxa" w:w="2351"/>
          </w:tcPr>
          <w:p>
            <w:r>
              <w:t>Laguna Residence Portfolio</w:t>
            </w:r>
          </w:p>
        </w:tc>
        <w:tc>
          <w:tcPr>
            <w:tcW w:type="dxa" w:w="2351"/>
          </w:tcPr>
          <w:p>
            <w:r>
              <w:t>AED 893,271,236</w:t>
            </w:r>
          </w:p>
        </w:tc>
        <w:tc>
          <w:tcPr>
            <w:tcW w:type="dxa" w:w="2351"/>
          </w:tcPr>
          <w:p>
            <w:r>
              <w:t>AED 723,549,701</w:t>
            </w:r>
          </w:p>
        </w:tc>
        <w:tc>
          <w:tcPr>
            <w:tcW w:type="dxa" w:w="2351"/>
          </w:tcPr>
          <w:p>
            <w:r>
              <w:t>19% (10% Bulk + 9% Commission)</w:t>
            </w:r>
          </w:p>
        </w:tc>
      </w:tr>
    </w:tbl>
    <w:p/>
    <w:p>
      <w:pPr>
        <w:pStyle w:val="Heading1"/>
      </w:pPr>
      <w:r>
        <w:t>2. Laguna Residence Investment</w:t>
      </w:r>
    </w:p>
    <w:p>
      <w:pPr>
        <w:pStyle w:val="Heading2"/>
      </w:pPr>
      <w:r>
        <w:t>Project Overview</w:t>
      </w:r>
    </w:p>
    <w:p>
      <w:r>
        <w:rPr>
          <w:b/>
        </w:rPr>
        <w:t xml:space="preserve">Project: </w:t>
      </w:r>
      <w:r>
        <w:t>Laguna Residence</w:t>
        <w:br/>
      </w:r>
      <w:r>
        <w:rPr>
          <w:b/>
        </w:rPr>
        <w:t xml:space="preserve">Location: </w:t>
      </w:r>
      <w:r>
        <w:t>Yas Bay, Abu Dhabi – UAE</w:t>
        <w:br/>
      </w:r>
      <w:r>
        <w:rPr>
          <w:b/>
        </w:rPr>
        <w:t xml:space="preserve">Developer: </w:t>
      </w:r>
      <w:r>
        <w:t>One International Real Estate Development LLC</w:t>
        <w:br/>
      </w:r>
      <w:r>
        <w:rPr>
          <w:b/>
        </w:rPr>
        <w:t xml:space="preserve">Total Units: </w:t>
      </w:r>
      <w:r>
        <w:t>632</w:t>
      </w:r>
    </w:p>
    <w:p>
      <w:pPr>
        <w:pStyle w:val="Heading2"/>
      </w:pPr>
      <w:r>
        <w:t>Unit Portfolio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D9E2F3"/>
          </w:tcPr>
          <w:p>
            <w:r>
              <w:rPr>
                <w:b/>
              </w:rPr>
              <w:t>Unit Type</w:t>
            </w:r>
          </w:p>
        </w:tc>
        <w:tc>
          <w:tcPr>
            <w:tcW w:type="dxa" w:w="2351"/>
            <w:shd w:fill="D9E2F3"/>
          </w:tcPr>
          <w:p>
            <w:r>
              <w:rPr>
                <w:b/>
              </w:rPr>
              <w:t>Units</w:t>
            </w:r>
          </w:p>
        </w:tc>
        <w:tc>
          <w:tcPr>
            <w:tcW w:type="dxa" w:w="2351"/>
            <w:shd w:fill="D9E2F3"/>
          </w:tcPr>
          <w:p>
            <w:r>
              <w:rPr>
                <w:b/>
              </w:rPr>
              <w:t>Avg. Price (AED)</w:t>
            </w:r>
          </w:p>
        </w:tc>
        <w:tc>
          <w:tcPr>
            <w:tcW w:type="dxa" w:w="2351"/>
            <w:shd w:fill="D9E2F3"/>
          </w:tcPr>
          <w:p>
            <w:r>
              <w:rPr>
                <w:b/>
              </w:rPr>
              <w:t>Value (AED)</w:t>
            </w:r>
          </w:p>
        </w:tc>
      </w:tr>
      <w:tr>
        <w:tc>
          <w:tcPr>
            <w:tcW w:type="dxa" w:w="2351"/>
          </w:tcPr>
          <w:p>
            <w:r>
              <w:t>Studio</w:t>
            </w:r>
          </w:p>
        </w:tc>
        <w:tc>
          <w:tcPr>
            <w:tcW w:type="dxa" w:w="2351"/>
          </w:tcPr>
          <w:p>
            <w:r>
              <w:t>206</w:t>
            </w:r>
          </w:p>
        </w:tc>
        <w:tc>
          <w:tcPr>
            <w:tcW w:type="dxa" w:w="2351"/>
          </w:tcPr>
          <w:p>
            <w:r>
              <w:t>855,140</w:t>
            </w:r>
          </w:p>
        </w:tc>
        <w:tc>
          <w:tcPr>
            <w:tcW w:type="dxa" w:w="2351"/>
          </w:tcPr>
          <w:p>
            <w:r>
              <w:t>176,158,903</w:t>
            </w:r>
          </w:p>
        </w:tc>
      </w:tr>
      <w:tr>
        <w:tc>
          <w:tcPr>
            <w:tcW w:type="dxa" w:w="2351"/>
          </w:tcPr>
          <w:p>
            <w:r>
              <w:t>1 Bedroom</w:t>
            </w:r>
          </w:p>
        </w:tc>
        <w:tc>
          <w:tcPr>
            <w:tcW w:type="dxa" w:w="2351"/>
          </w:tcPr>
          <w:p>
            <w:r>
              <w:t>381</w:t>
            </w:r>
          </w:p>
        </w:tc>
        <w:tc>
          <w:tcPr>
            <w:tcW w:type="dxa" w:w="2351"/>
          </w:tcPr>
          <w:p>
            <w:r>
              <w:t>1,619,963</w:t>
            </w:r>
          </w:p>
        </w:tc>
        <w:tc>
          <w:tcPr>
            <w:tcW w:type="dxa" w:w="2351"/>
          </w:tcPr>
          <w:p>
            <w:r>
              <w:t>617,206,000</w:t>
            </w:r>
          </w:p>
        </w:tc>
      </w:tr>
      <w:tr>
        <w:tc>
          <w:tcPr>
            <w:tcW w:type="dxa" w:w="2351"/>
          </w:tcPr>
          <w:p>
            <w:r>
              <w:t>2 Bedroom</w:t>
            </w:r>
          </w:p>
        </w:tc>
        <w:tc>
          <w:tcPr>
            <w:tcW w:type="dxa" w:w="2351"/>
          </w:tcPr>
          <w:p>
            <w:r>
              <w:t>45</w:t>
            </w:r>
          </w:p>
        </w:tc>
        <w:tc>
          <w:tcPr>
            <w:tcW w:type="dxa" w:w="2351"/>
          </w:tcPr>
          <w:p>
            <w:r>
              <w:t>2,220,141</w:t>
            </w:r>
          </w:p>
        </w:tc>
        <w:tc>
          <w:tcPr>
            <w:tcW w:type="dxa" w:w="2351"/>
          </w:tcPr>
          <w:p>
            <w:r>
              <w:t>99,906,333</w:t>
            </w:r>
          </w:p>
        </w:tc>
      </w:tr>
      <w:tr>
        <w:tc>
          <w:tcPr>
            <w:tcW w:type="dxa" w:w="2351"/>
            <w:shd w:fill="E2EFDA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2351"/>
            <w:shd w:fill="E2EFDA"/>
          </w:tcPr>
          <w:p>
            <w:r>
              <w:rPr>
                <w:b/>
              </w:rPr>
              <w:t>632</w:t>
            </w:r>
          </w:p>
        </w:tc>
        <w:tc>
          <w:tcPr>
            <w:tcW w:type="dxa" w:w="2351"/>
            <w:shd w:fill="E2EFDA"/>
          </w:tcPr>
          <w:p>
            <w:r/>
          </w:p>
        </w:tc>
        <w:tc>
          <w:tcPr>
            <w:tcW w:type="dxa" w:w="2351"/>
            <w:shd w:fill="E2EFDA"/>
          </w:tcPr>
          <w:p>
            <w:r>
              <w:rPr>
                <w:b/>
              </w:rPr>
              <w:t>893,271,236</w:t>
            </w:r>
          </w:p>
        </w:tc>
      </w:tr>
    </w:tbl>
    <w:p/>
    <w:p>
      <w:pPr>
        <w:pStyle w:val="Heading1"/>
      </w:pPr>
      <w:r>
        <w:t>3. Deal Terms</w:t>
      </w:r>
    </w:p>
    <w:p>
      <w:r>
        <w:rPr>
          <w:b/>
        </w:rPr>
        <w:t xml:space="preserve">• Bulk Discount: </w:t>
      </w:r>
      <w:r>
        <w:t>10% (AED 89,327,124)</w:t>
        <w:br/>
      </w:r>
      <w:r>
        <w:rPr>
          <w:b/>
        </w:rPr>
        <w:t xml:space="preserve">• Referral Commission: </w:t>
      </w:r>
      <w:r>
        <w:t>9% (AED 80,394,411)</w:t>
        <w:br/>
      </w:r>
      <w:r>
        <w:rPr>
          <w:b/>
        </w:rPr>
        <w:t xml:space="preserve">• Payment Structure: </w:t>
      </w:r>
      <w:r>
        <w:t>100% Upfront Cash Payment</w:t>
        <w:br/>
      </w:r>
      <w:r>
        <w:rPr>
          <w:b/>
        </w:rPr>
        <w:t xml:space="preserve">• Title Transfer: </w:t>
      </w:r>
      <w:r>
        <w:t>Immediate upon payment completion</w:t>
        <w:br/>
      </w:r>
      <w:r>
        <w:rPr>
          <w:b/>
        </w:rPr>
        <w:t xml:space="preserve">• Total Savings: </w:t>
      </w:r>
      <w:r>
        <w:t>19% (AED 169,721,535)</w:t>
      </w:r>
    </w:p>
    <w:p>
      <w:pPr>
        <w:pStyle w:val="Heading1"/>
      </w:pPr>
      <w:r>
        <w:t>4. Investment Calculator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Gross Portfolio Value</w:t>
            </w:r>
          </w:p>
        </w:tc>
        <w:tc>
          <w:tcPr>
            <w:tcW w:type="dxa" w:w="4703"/>
          </w:tcPr>
          <w:p>
            <w:r>
              <w:t>AED 893,271,236</w:t>
            </w:r>
          </w:p>
        </w:tc>
      </w:tr>
      <w:tr>
        <w:tc>
          <w:tcPr>
            <w:tcW w:type="dxa" w:w="4703"/>
          </w:tcPr>
          <w:p>
            <w:r>
              <w:t>Less: Bulk Discount (10%)</w:t>
            </w:r>
          </w:p>
        </w:tc>
        <w:tc>
          <w:tcPr>
            <w:tcW w:type="dxa" w:w="4703"/>
          </w:tcPr>
          <w:p>
            <w:r>
              <w:t>(AED 89,327,124)</w:t>
            </w:r>
          </w:p>
        </w:tc>
      </w:tr>
      <w:tr>
        <w:tc>
          <w:tcPr>
            <w:tcW w:type="dxa" w:w="4703"/>
          </w:tcPr>
          <w:p>
            <w:r>
              <w:t>Less: Referral Commission (9%)</w:t>
            </w:r>
          </w:p>
        </w:tc>
        <w:tc>
          <w:tcPr>
            <w:tcW w:type="dxa" w:w="4703"/>
          </w:tcPr>
          <w:p>
            <w:r>
              <w:t>(AED 80,394,411)</w:t>
            </w:r>
          </w:p>
        </w:tc>
      </w:tr>
      <w:tr>
        <w:tc>
          <w:tcPr>
            <w:tcW w:type="dxa" w:w="4703"/>
            <w:shd w:fill="E2EFDA"/>
          </w:tcPr>
          <w:p>
            <w:r>
              <w:rPr>
                <w:b/>
              </w:rPr>
              <w:t>Your Investment</w:t>
            </w:r>
          </w:p>
        </w:tc>
        <w:tc>
          <w:tcPr>
            <w:tcW w:type="dxa" w:w="4703"/>
            <w:shd w:fill="E2EFDA"/>
          </w:tcPr>
          <w:p>
            <w:r>
              <w:rPr>
                <w:b/>
              </w:rPr>
              <w:t>AED 723,549,701</w:t>
            </w:r>
          </w:p>
        </w:tc>
      </w:tr>
      <w:tr>
        <w:tc>
          <w:tcPr>
            <w:tcW w:type="dxa" w:w="4703"/>
            <w:shd w:fill="E2EFDA"/>
          </w:tcPr>
          <w:p>
            <w:r>
              <w:rPr>
                <w:b/>
              </w:rPr>
              <w:t>Day-1 Equity Created</w:t>
            </w:r>
          </w:p>
        </w:tc>
        <w:tc>
          <w:tcPr>
            <w:tcW w:type="dxa" w:w="4703"/>
            <w:shd w:fill="E2EFDA"/>
          </w:tcPr>
          <w:p>
            <w:r>
              <w:rPr>
                <w:b/>
              </w:rPr>
              <w:t>AED 169,721,535 (19%)</w:t>
            </w:r>
          </w:p>
        </w:tc>
      </w:tr>
    </w:tbl>
    <w:p/>
    <w:p>
      <w:pPr>
        <w:pStyle w:val="Heading1"/>
      </w:pPr>
      <w:r>
        <w:t>5. Projected Returns (Conservative 7% Yield)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D9E2F3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703"/>
            <w:shd w:fill="D9E2F3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4703"/>
          </w:tcPr>
          <w:p>
            <w:r>
              <w:t>Annual Gross Income</w:t>
            </w:r>
          </w:p>
        </w:tc>
        <w:tc>
          <w:tcPr>
            <w:tcW w:type="dxa" w:w="4703"/>
          </w:tcPr>
          <w:p>
            <w:r>
              <w:t>AED 62,528,987</w:t>
            </w:r>
          </w:p>
        </w:tc>
      </w:tr>
      <w:tr>
        <w:tc>
          <w:tcPr>
            <w:tcW w:type="dxa" w:w="4703"/>
          </w:tcPr>
          <w:p>
            <w:r>
              <w:t>Monthly Cash Flow</w:t>
            </w:r>
          </w:p>
        </w:tc>
        <w:tc>
          <w:tcPr>
            <w:tcW w:type="dxa" w:w="4703"/>
          </w:tcPr>
          <w:p>
            <w:r>
              <w:t>AED 5,210,749</w:t>
            </w:r>
          </w:p>
        </w:tc>
      </w:tr>
    </w:tbl>
    <w:p/>
    <w:p>
      <w:pPr>
        <w:pStyle w:val="Heading1"/>
      </w:pPr>
      <w:r>
        <w:t>6. Legal and Implementation Framework</w:t>
      </w:r>
    </w:p>
    <w:p>
      <w:r>
        <w:t>• All investments to be governed under UAE law.</w:t>
        <w:br/>
      </w:r>
      <w:r>
        <w:t>• Definitive agreements to include Term Sheet, MOA and investment agreement.</w:t>
        <w:br/>
      </w:r>
      <w:r>
        <w:t>• One Development will act as developer and manager under approved RERA and DLD guidelines.</w:t>
        <w:br/>
      </w:r>
      <w:r>
        <w:t>• Immediate title transfer upon payment completion.</w:t>
      </w:r>
    </w:p>
    <w:p>
      <w:pPr>
        <w:pStyle w:val="Heading1"/>
      </w:pPr>
      <w:r>
        <w:t>7. Disclaimer</w:t>
      </w:r>
    </w:p>
    <w:p>
      <w:r>
        <w:t xml:space="preserve">All information, figures, and projections in this document are </w:t>
      </w:r>
      <w:r>
        <w:rPr>
          <w:b/>
        </w:rPr>
        <w:t>indicative only</w:t>
      </w:r>
      <w:r>
        <w:t xml:space="preserve"> and subject to confirmation following completion of due diligence, regulatory approvals, and final investor agreement.</w:t>
        <w:br/>
        <w:br/>
      </w:r>
      <w:r>
        <w:t>Nothing herein constitutes an offer or commitment until formal binding documentation is executed by the Parties.</w:t>
      </w:r>
    </w:p>
    <w:p/>
    <w:p>
      <w:r>
        <w:rPr>
          <w:b/>
        </w:rPr>
        <w:t>Prepared by:</w:t>
        <w:br/>
      </w:r>
      <w:r>
        <w:rPr>
          <w:b/>
        </w:rPr>
        <w:t>One International Real Estate Development LLC</w:t>
        <w:br/>
      </w:r>
      <w:r>
        <w:t>Abu Dhabi – United Arab Emirates</w:t>
        <w:br/>
      </w:r>
      <w:r>
        <w:t>Date: 30 January 2026</w:t>
      </w:r>
    </w:p>
    <w:p/>
    <w:p>
      <w:pPr>
        <w:jc w:val="center"/>
      </w:pPr>
      <w:r>
        <w:rPr>
          <w:b/>
        </w:rPr>
        <w:t>Scan QR Code for Interactive Presentation</w:t>
        <w:br/>
      </w:r>
      <w:r>
        <w:t>https://investor-pitch-theta.vercel.app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