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M2T Meter-to-Transformer Mapping Model</w:t>
      </w:r>
    </w:p>
    <w:p>
      <w:pPr>
        <w:jc w:val="center"/>
      </w:pPr>
      <w:r>
        <w:rPr>
          <w:i/>
          <w:sz w:val="26"/>
        </w:rPr>
        <w:t>Executive Update — Late July 2026</w:t>
      </w:r>
    </w:p>
    <w:p>
      <w:pPr>
        <w:jc w:val="center"/>
      </w:pPr>
      <w:r>
        <w:rPr>
          <w:sz w:val="20"/>
        </w:rPr>
        <w:t>Prepared by Jason Glenn | Engineering &amp; Data Team | Confidential</w:t>
      </w:r>
    </w:p>
    <w:p/>
    <w:p>
      <w:pPr>
        <w:pStyle w:val="Heading1"/>
      </w:pPr>
      <w:r>
        <w:rPr>
          <w:color w:val="1F3A5F"/>
        </w:rPr>
        <w:t>1. Executive Summary</w:t>
      </w:r>
    </w:p>
    <w:p>
      <w:pPr>
        <w:spacing w:after="120"/>
      </w:pPr>
      <w:r>
        <w:rPr>
          <w:b w:val="0"/>
          <w:i w:val="0"/>
          <w:sz w:val="22"/>
        </w:rPr>
        <w:t>The Meter-to-Transformer (M2T) model identifies which secondary distribution transformer each single-phase electric meter is actually connected to, by correlating voltage patterns observed over time. Its purpose is to validate and improve the GIS-side meter-to-transformer assignments — surfacing cases where a meter's voltage behavior tells a different story than what GIS currently records.</w:t>
      </w:r>
    </w:p>
    <w:p>
      <w:pPr>
        <w:spacing w:after="120"/>
      </w:pPr>
      <w:r>
        <w:rPr>
          <w:b w:val="0"/>
          <w:i w:val="0"/>
          <w:sz w:val="22"/>
        </w:rPr>
        <w:t>Since the last stakeholder update, the model has continued evolving on two parallel tracks: a refined production model with a weekly run cadence and a maturing stability ledger, and a second parallel model used to cross-check the production model's recommendations. We now have nine weekly runs of stability data, an active classification system that distinguishes high-signal from ambiguous recommendations, and a structured way for field validation results to feed back into the model. Additionally, the model now consumes a new GIS dataflow directly and delivers three additional identifier columns (SPID, TransformerLID, VaultCD) requested by downstream users.</w:t>
      </w:r>
    </w:p>
    <w:p>
      <w:pPr>
        <w:pStyle w:val="Heading1"/>
      </w:pPr>
      <w:r>
        <w:rPr>
          <w:color w:val="1F3A5F"/>
        </w:rPr>
        <w:t>2. Latest Metrics — Run Ending 2026-05-09</w:t>
      </w:r>
    </w:p>
    <w:p>
      <w:pPr>
        <w:spacing w:after="120"/>
      </w:pPr>
      <w:r>
        <w:rPr>
          <w:b w:val="0"/>
          <w:i w:val="0"/>
          <w:sz w:val="22"/>
        </w:rPr>
        <w:t>The numbers below come from the most recent weekly cycle. Deltas are shown against the prior stakeholder-facing run (2026-05-02) to make week-over-week movement visible. The model's rolling window remains at 45 days at a 0.95 correlation threshold — the configuration that struck the best purity/completeness balance in prior tuning.</w:t>
      </w:r>
    </w:p>
    <w:tbl>
      <w:tblPr>
        <w:tblStyle w:val="LightGrid-Accent1"/>
        <w:tblW w:type="auto" w:w="0"/>
        <w:tblLayout w:type="fixed"/>
        <w:tblLook w:firstColumn="1" w:firstRow="1" w:lastColumn="0" w:lastRow="0" w:noHBand="0" w:noVBand="1" w:val="04A0"/>
      </w:tblPr>
      <w:tblGrid>
        <w:gridCol w:w="4752"/>
        <w:gridCol w:w="2016"/>
        <w:gridCol w:w="2016"/>
      </w:tblGrid>
      <w:tr>
        <w:tc>
          <w:tcPr>
            <w:tcW w:type="dxa" w:w="2880"/>
            <w:vAlign w:val="center"/>
          </w:tcPr>
          <w:p>
            <w:pPr>
              <w:spacing w:before="40" w:after="40"/>
            </w:pPr>
            <w:r>
              <w:rPr>
                <w:b/>
                <w:sz w:val="20"/>
              </w:rPr>
              <w:t>Metric</w:t>
            </w:r>
          </w:p>
        </w:tc>
        <w:tc>
          <w:tcPr>
            <w:tcW w:type="dxa" w:w="2880"/>
            <w:vAlign w:val="center"/>
          </w:tcPr>
          <w:p>
            <w:pPr>
              <w:spacing w:before="40" w:after="40"/>
            </w:pPr>
            <w:r>
              <w:rPr>
                <w:b/>
                <w:sz w:val="20"/>
              </w:rPr>
              <w:t>Value</w:t>
            </w:r>
          </w:p>
        </w:tc>
        <w:tc>
          <w:tcPr>
            <w:tcW w:type="dxa" w:w="2880"/>
            <w:vAlign w:val="center"/>
          </w:tcPr>
          <w:p>
            <w:pPr>
              <w:spacing w:before="40" w:after="40"/>
            </w:pPr>
            <w:r>
              <w:rPr>
                <w:b/>
                <w:sz w:val="20"/>
              </w:rPr>
              <w:t>Change vs 2026-05-02</w:t>
            </w:r>
          </w:p>
        </w:tc>
      </w:tr>
      <w:tr>
        <w:tc>
          <w:tcPr>
            <w:tcW w:type="dxa" w:w="2880"/>
            <w:vAlign w:val="center"/>
          </w:tcPr>
          <w:p>
            <w:pPr>
              <w:spacing w:before="40" w:after="40"/>
            </w:pPr>
            <w:r>
              <w:rPr>
                <w:sz w:val="20"/>
              </w:rPr>
              <w:t>Total meters in model</w:t>
            </w:r>
          </w:p>
        </w:tc>
        <w:tc>
          <w:tcPr>
            <w:tcW w:type="dxa" w:w="2880"/>
            <w:vAlign w:val="center"/>
          </w:tcPr>
          <w:p>
            <w:pPr>
              <w:spacing w:before="40" w:after="40"/>
            </w:pPr>
            <w:r>
              <w:rPr>
                <w:sz w:val="20"/>
              </w:rPr>
              <w:t>218,070</w:t>
            </w:r>
          </w:p>
        </w:tc>
        <w:tc>
          <w:tcPr>
            <w:tcW w:type="dxa" w:w="2880"/>
            <w:vAlign w:val="center"/>
          </w:tcPr>
          <w:p>
            <w:pPr>
              <w:spacing w:before="40" w:after="40"/>
            </w:pPr>
            <w:r>
              <w:rPr>
                <w:sz w:val="20"/>
              </w:rPr>
              <w:t>+65</w:t>
            </w:r>
          </w:p>
        </w:tc>
      </w:tr>
      <w:tr>
        <w:tc>
          <w:tcPr>
            <w:tcW w:type="dxa" w:w="2880"/>
            <w:vAlign w:val="center"/>
          </w:tcPr>
          <w:p>
            <w:pPr>
              <w:spacing w:before="40" w:after="40"/>
            </w:pPr>
            <w:r>
              <w:rPr>
                <w:sz w:val="20"/>
              </w:rPr>
              <w:t>Total clusters identified</w:t>
            </w:r>
          </w:p>
        </w:tc>
        <w:tc>
          <w:tcPr>
            <w:tcW w:type="dxa" w:w="2880"/>
            <w:vAlign w:val="center"/>
          </w:tcPr>
          <w:p>
            <w:pPr>
              <w:spacing w:before="40" w:after="40"/>
            </w:pPr>
            <w:r>
              <w:rPr>
                <w:sz w:val="20"/>
              </w:rPr>
              <w:t>52,077</w:t>
            </w:r>
          </w:p>
        </w:tc>
        <w:tc>
          <w:tcPr>
            <w:tcW w:type="dxa" w:w="2880"/>
            <w:vAlign w:val="center"/>
          </w:tcPr>
          <w:p>
            <w:pPr>
              <w:spacing w:before="40" w:after="40"/>
            </w:pPr>
            <w:r>
              <w:rPr>
                <w:sz w:val="20"/>
              </w:rPr>
              <w:t>+496</w:t>
            </w:r>
          </w:p>
        </w:tc>
      </w:tr>
      <w:tr>
        <w:tc>
          <w:tcPr>
            <w:tcW w:type="dxa" w:w="2880"/>
            <w:vAlign w:val="center"/>
          </w:tcPr>
          <w:p>
            <w:pPr>
              <w:spacing w:before="40" w:after="40"/>
            </w:pPr>
            <w:r>
              <w:rPr>
                <w:sz w:val="20"/>
              </w:rPr>
              <w:t>Cluster purity (no false merges)</w:t>
            </w:r>
          </w:p>
        </w:tc>
        <w:tc>
          <w:tcPr>
            <w:tcW w:type="dxa" w:w="2880"/>
            <w:vAlign w:val="center"/>
          </w:tcPr>
          <w:p>
            <w:pPr>
              <w:spacing w:before="40" w:after="40"/>
            </w:pPr>
            <w:r>
              <w:rPr>
                <w:sz w:val="20"/>
              </w:rPr>
              <w:t>91.8%</w:t>
            </w:r>
          </w:p>
        </w:tc>
        <w:tc>
          <w:tcPr>
            <w:tcW w:type="dxa" w:w="2880"/>
            <w:vAlign w:val="center"/>
          </w:tcPr>
          <w:p>
            <w:pPr>
              <w:spacing w:before="40" w:after="40"/>
            </w:pPr>
            <w:r>
              <w:rPr>
                <w:sz w:val="20"/>
              </w:rPr>
              <w:t>unchanged</w:t>
            </w:r>
          </w:p>
        </w:tc>
      </w:tr>
      <w:tr>
        <w:tc>
          <w:tcPr>
            <w:tcW w:type="dxa" w:w="2880"/>
            <w:vAlign w:val="center"/>
          </w:tcPr>
          <w:p>
            <w:pPr>
              <w:spacing w:before="40" w:after="40"/>
            </w:pPr>
            <w:r>
              <w:rPr>
                <w:sz w:val="20"/>
              </w:rPr>
              <w:t>Transformer completeness (no false splits)</w:t>
            </w:r>
          </w:p>
        </w:tc>
        <w:tc>
          <w:tcPr>
            <w:tcW w:type="dxa" w:w="2880"/>
            <w:vAlign w:val="center"/>
          </w:tcPr>
          <w:p>
            <w:pPr>
              <w:spacing w:before="40" w:after="40"/>
            </w:pPr>
            <w:r>
              <w:rPr>
                <w:sz w:val="20"/>
              </w:rPr>
              <w:t>46.7%</w:t>
            </w:r>
          </w:p>
        </w:tc>
        <w:tc>
          <w:tcPr>
            <w:tcW w:type="dxa" w:w="2880"/>
            <w:vAlign w:val="center"/>
          </w:tcPr>
          <w:p>
            <w:pPr>
              <w:spacing w:before="40" w:after="40"/>
            </w:pPr>
            <w:r>
              <w:rPr>
                <w:sz w:val="20"/>
              </w:rPr>
              <w:t>-0.2 pp</w:t>
            </w:r>
          </w:p>
        </w:tc>
      </w:tr>
      <w:tr>
        <w:tc>
          <w:tcPr>
            <w:tcW w:type="dxa" w:w="2880"/>
            <w:vAlign w:val="center"/>
          </w:tcPr>
          <w:p>
            <w:pPr>
              <w:spacing w:before="40" w:after="40"/>
            </w:pPr>
            <w:r>
              <w:rPr>
                <w:sz w:val="20"/>
              </w:rPr>
              <w:t>Total flagged corrections</w:t>
            </w:r>
          </w:p>
        </w:tc>
        <w:tc>
          <w:tcPr>
            <w:tcW w:type="dxa" w:w="2880"/>
            <w:vAlign w:val="center"/>
          </w:tcPr>
          <w:p>
            <w:pPr>
              <w:spacing w:before="40" w:after="40"/>
            </w:pPr>
            <w:r>
              <w:rPr>
                <w:sz w:val="20"/>
              </w:rPr>
              <w:t>11,407</w:t>
            </w:r>
          </w:p>
        </w:tc>
        <w:tc>
          <w:tcPr>
            <w:tcW w:type="dxa" w:w="2880"/>
            <w:vAlign w:val="center"/>
          </w:tcPr>
          <w:p>
            <w:pPr>
              <w:spacing w:before="40" w:after="40"/>
            </w:pPr>
            <w:r>
              <w:rPr>
                <w:sz w:val="20"/>
              </w:rPr>
              <w:t>+46</w:t>
            </w:r>
          </w:p>
        </w:tc>
      </w:tr>
      <w:tr>
        <w:tc>
          <w:tcPr>
            <w:tcW w:type="dxa" w:w="2880"/>
            <w:vAlign w:val="center"/>
          </w:tcPr>
          <w:p>
            <w:pPr>
              <w:spacing w:before="40" w:after="40"/>
            </w:pPr>
            <w:r>
              <w:rPr>
                <w:sz w:val="20"/>
              </w:rPr>
              <w:t>High-confidence corrections (acted on by field)</w:t>
            </w:r>
          </w:p>
        </w:tc>
        <w:tc>
          <w:tcPr>
            <w:tcW w:type="dxa" w:w="2880"/>
            <w:vAlign w:val="center"/>
          </w:tcPr>
          <w:p>
            <w:pPr>
              <w:spacing w:before="40" w:after="40"/>
            </w:pPr>
            <w:r>
              <w:rPr>
                <w:sz w:val="20"/>
              </w:rPr>
              <w:t>1,850</w:t>
            </w:r>
          </w:p>
        </w:tc>
        <w:tc>
          <w:tcPr>
            <w:tcW w:type="dxa" w:w="2880"/>
            <w:vAlign w:val="center"/>
          </w:tcPr>
          <w:p>
            <w:pPr>
              <w:spacing w:before="40" w:after="40"/>
            </w:pPr>
            <w:r>
              <w:rPr>
                <w:sz w:val="20"/>
              </w:rPr>
              <w:t>-9</w:t>
            </w:r>
          </w:p>
        </w:tc>
      </w:tr>
      <w:tr>
        <w:tc>
          <w:tcPr>
            <w:tcW w:type="dxa" w:w="2880"/>
            <w:vAlign w:val="center"/>
          </w:tcPr>
          <w:p>
            <w:pPr>
              <w:spacing w:before="40" w:after="40"/>
            </w:pPr>
            <w:r>
              <w:rPr>
                <w:sz w:val="20"/>
              </w:rPr>
              <w:t>Strong-signal corrections (high gap; one-run filter)</w:t>
            </w:r>
          </w:p>
        </w:tc>
        <w:tc>
          <w:tcPr>
            <w:tcW w:type="dxa" w:w="2880"/>
            <w:vAlign w:val="center"/>
          </w:tcPr>
          <w:p>
            <w:pPr>
              <w:spacing w:before="40" w:after="40"/>
            </w:pPr>
            <w:r>
              <w:rPr>
                <w:sz w:val="20"/>
              </w:rPr>
              <w:t>2,348</w:t>
            </w:r>
          </w:p>
        </w:tc>
        <w:tc>
          <w:tcPr>
            <w:tcW w:type="dxa" w:w="2880"/>
            <w:vAlign w:val="center"/>
          </w:tcPr>
          <w:p>
            <w:pPr>
              <w:spacing w:before="40" w:after="40"/>
            </w:pPr>
            <w:r>
              <w:rPr>
                <w:sz w:val="20"/>
              </w:rPr>
              <w:t>-10</w:t>
            </w:r>
          </w:p>
        </w:tc>
      </w:tr>
      <w:tr>
        <w:tc>
          <w:tcPr>
            <w:tcW w:type="dxa" w:w="2880"/>
            <w:vAlign w:val="center"/>
          </w:tcPr>
          <w:p>
            <w:pPr>
              <w:spacing w:before="40" w:after="40"/>
            </w:pPr>
            <w:r>
              <w:rPr>
                <w:sz w:val="20"/>
              </w:rPr>
              <w:t>Median confidence gap</w:t>
            </w:r>
          </w:p>
        </w:tc>
        <w:tc>
          <w:tcPr>
            <w:tcW w:type="dxa" w:w="2880"/>
            <w:vAlign w:val="center"/>
          </w:tcPr>
          <w:p>
            <w:pPr>
              <w:spacing w:before="40" w:after="40"/>
            </w:pPr>
            <w:r>
              <w:rPr>
                <w:sz w:val="20"/>
              </w:rPr>
              <w:t>0.167</w:t>
            </w:r>
          </w:p>
        </w:tc>
        <w:tc>
          <w:tcPr>
            <w:tcW w:type="dxa" w:w="2880"/>
            <w:vAlign w:val="center"/>
          </w:tcPr>
          <w:p>
            <w:pPr>
              <w:spacing w:before="40" w:after="40"/>
            </w:pPr>
            <w:r>
              <w:rPr>
                <w:sz w:val="20"/>
              </w:rPr>
              <w:t>unchanged</w:t>
            </w:r>
          </w:p>
        </w:tc>
      </w:tr>
      <w:tr>
        <w:tc>
          <w:tcPr>
            <w:tcW w:type="dxa" w:w="2880"/>
            <w:vAlign w:val="center"/>
          </w:tcPr>
          <w:p>
            <w:pPr>
              <w:spacing w:before="40" w:after="40"/>
            </w:pPr>
            <w:r>
              <w:rPr>
                <w:sz w:val="20"/>
              </w:rPr>
              <w:t>75th-percentile confidence gap</w:t>
            </w:r>
          </w:p>
        </w:tc>
        <w:tc>
          <w:tcPr>
            <w:tcW w:type="dxa" w:w="2880"/>
            <w:vAlign w:val="center"/>
          </w:tcPr>
          <w:p>
            <w:pPr>
              <w:spacing w:before="40" w:after="40"/>
            </w:pPr>
            <w:r>
              <w:rPr>
                <w:sz w:val="20"/>
              </w:rPr>
              <w:t>0.400</w:t>
            </w:r>
          </w:p>
        </w:tc>
        <w:tc>
          <w:tcPr>
            <w:tcW w:type="dxa" w:w="2880"/>
            <w:vAlign w:val="center"/>
          </w:tcPr>
          <w:p>
            <w:pPr>
              <w:spacing w:before="40" w:after="40"/>
            </w:pPr>
            <w:r>
              <w:rPr>
                <w:sz w:val="20"/>
              </w:rPr>
              <w:t>unchanged</w:t>
            </w:r>
          </w:p>
        </w:tc>
      </w:tr>
      <w:tr>
        <w:tc>
          <w:tcPr>
            <w:tcW w:type="dxa" w:w="2880"/>
            <w:vAlign w:val="center"/>
          </w:tcPr>
          <w:p>
            <w:pPr>
              <w:spacing w:before="40" w:after="40"/>
            </w:pPr>
            <w:r>
              <w:rPr>
                <w:sz w:val="20"/>
              </w:rPr>
              <w:t>Badges missing from GIS (push to GIS team)</w:t>
            </w:r>
          </w:p>
        </w:tc>
        <w:tc>
          <w:tcPr>
            <w:tcW w:type="dxa" w:w="2880"/>
            <w:vAlign w:val="center"/>
          </w:tcPr>
          <w:p>
            <w:pPr>
              <w:spacing w:before="40" w:after="40"/>
            </w:pPr>
            <w:r>
              <w:rPr>
                <w:sz w:val="20"/>
              </w:rPr>
              <w:t>73</w:t>
            </w:r>
          </w:p>
        </w:tc>
        <w:tc>
          <w:tcPr>
            <w:tcW w:type="dxa" w:w="2880"/>
            <w:vAlign w:val="center"/>
          </w:tcPr>
          <w:p>
            <w:pPr>
              <w:spacing w:before="40" w:after="40"/>
            </w:pPr>
            <w:r>
              <w:rPr>
                <w:sz w:val="20"/>
              </w:rPr>
              <w:t>+4</w:t>
            </w:r>
          </w:p>
        </w:tc>
      </w:tr>
      <w:tr>
        <w:tc>
          <w:tcPr>
            <w:tcW w:type="dxa" w:w="2880"/>
            <w:vAlign w:val="center"/>
          </w:tcPr>
          <w:p>
            <w:pPr>
              <w:spacing w:before="40" w:after="40"/>
            </w:pPr>
            <w:r>
              <w:rPr>
                <w:sz w:val="20"/>
              </w:rPr>
              <w:t>Lat/long discrepancies vs GIS (data quality candidates)</w:t>
            </w:r>
          </w:p>
        </w:tc>
        <w:tc>
          <w:tcPr>
            <w:tcW w:type="dxa" w:w="2880"/>
            <w:vAlign w:val="center"/>
          </w:tcPr>
          <w:p>
            <w:pPr>
              <w:spacing w:before="40" w:after="40"/>
            </w:pPr>
            <w:r>
              <w:rPr>
                <w:sz w:val="20"/>
              </w:rPr>
              <w:t>1,290</w:t>
            </w:r>
          </w:p>
        </w:tc>
        <w:tc>
          <w:tcPr>
            <w:tcW w:type="dxa" w:w="2880"/>
            <w:vAlign w:val="center"/>
          </w:tcPr>
          <w:p>
            <w:pPr>
              <w:spacing w:before="40" w:after="40"/>
            </w:pPr>
            <w:r>
              <w:rPr>
                <w:sz w:val="20"/>
              </w:rPr>
              <w:t>+2</w:t>
            </w:r>
          </w:p>
        </w:tc>
      </w:tr>
      <w:tr>
        <w:tc>
          <w:tcPr>
            <w:tcW w:type="dxa" w:w="2880"/>
            <w:vAlign w:val="center"/>
          </w:tcPr>
          <w:p>
            <w:pPr>
              <w:spacing w:before="40" w:after="40"/>
            </w:pPr>
            <w:r>
              <w:rPr>
                <w:sz w:val="20"/>
              </w:rPr>
              <w:t>Weekly runs in stability ledger</w:t>
            </w:r>
          </w:p>
        </w:tc>
        <w:tc>
          <w:tcPr>
            <w:tcW w:type="dxa" w:w="2880"/>
            <w:vAlign w:val="center"/>
          </w:tcPr>
          <w:p>
            <w:pPr>
              <w:spacing w:before="40" w:after="40"/>
            </w:pPr>
            <w:r>
              <w:rPr>
                <w:sz w:val="20"/>
              </w:rPr>
              <w:t>9</w:t>
            </w:r>
          </w:p>
        </w:tc>
        <w:tc>
          <w:tcPr>
            <w:tcW w:type="dxa" w:w="2880"/>
            <w:vAlign w:val="center"/>
          </w:tcPr>
          <w:p>
            <w:pPr>
              <w:spacing w:before="40" w:after="40"/>
            </w:pPr>
            <w:r>
              <w:rPr>
                <w:sz w:val="20"/>
              </w:rPr>
              <w:t>+2</w:t>
            </w:r>
          </w:p>
        </w:tc>
      </w:tr>
    </w:tbl>
    <w:p>
      <w:pPr>
        <w:spacing w:after="120"/>
      </w:pPr>
      <w:r>
        <w:rPr>
          <w:b w:val="0"/>
          <w:i/>
          <w:sz w:val="22"/>
        </w:rPr>
        <w:t>Interpretation. Cluster purity tells us how often the model's groups contain meters from only one transformer (high is good — no false merges). Transformer completeness tells us how often a transformer's entire set of meters lands in a single cluster (high is good — no false splits). The two metrics naturally pull against each other, and the run-to-run trajectory shows the model is making sensible trade-offs as we tune the configuration.</w:t>
      </w:r>
    </w:p>
    <w:p>
      <w:pPr>
        <w:pStyle w:val="Heading1"/>
      </w:pPr>
      <w:r>
        <w:rPr>
          <w:color w:val="1F3A5F"/>
        </w:rPr>
        <w:t>3. What the Field Team Sees</w:t>
      </w:r>
    </w:p>
    <w:p>
      <w:pPr>
        <w:spacing w:after="120"/>
      </w:pPr>
      <w:r>
        <w:rPr>
          <w:b w:val="0"/>
          <w:i w:val="0"/>
          <w:sz w:val="22"/>
        </w:rPr>
        <w:t>Of the 11,407 corrections the model produced this run, only 1,850 pass the high-confidence gates — these are the cases with strong cluster votes and consistent recommendations across weekly runs. Within those, the model labels each correction by the type of evidence it has, which directs the field team to the most actionable items first.</w:t>
      </w:r>
    </w:p>
    <w:tbl>
      <w:tblPr>
        <w:tblStyle w:val="LightGrid-Accent1"/>
        <w:tblW w:type="auto" w:w="0"/>
        <w:tblLayout w:type="fixed"/>
        <w:tblLook w:firstColumn="1" w:firstRow="1" w:lastColumn="0" w:lastRow="0" w:noHBand="0" w:noVBand="1" w:val="04A0"/>
      </w:tblPr>
      <w:tblGrid>
        <w:gridCol w:w="2880"/>
        <w:gridCol w:w="1008"/>
        <w:gridCol w:w="1584"/>
        <w:gridCol w:w="3888"/>
      </w:tblGrid>
      <w:tr>
        <w:tc>
          <w:tcPr>
            <w:tcW w:type="dxa" w:w="2160"/>
            <w:vAlign w:val="center"/>
          </w:tcPr>
          <w:p>
            <w:pPr>
              <w:spacing w:before="40" w:after="40"/>
            </w:pPr>
            <w:r>
              <w:rPr>
                <w:b/>
                <w:sz w:val="20"/>
              </w:rPr>
              <w:t>Recommendation Type</w:t>
            </w:r>
          </w:p>
        </w:tc>
        <w:tc>
          <w:tcPr>
            <w:tcW w:type="dxa" w:w="2160"/>
            <w:vAlign w:val="center"/>
          </w:tcPr>
          <w:p>
            <w:pPr>
              <w:spacing w:before="40" w:after="40"/>
            </w:pPr>
            <w:r>
              <w:rPr>
                <w:b/>
                <w:sz w:val="20"/>
              </w:rPr>
              <w:t>Total</w:t>
            </w:r>
          </w:p>
        </w:tc>
        <w:tc>
          <w:tcPr>
            <w:tcW w:type="dxa" w:w="2160"/>
            <w:vAlign w:val="center"/>
          </w:tcPr>
          <w:p>
            <w:pPr>
              <w:spacing w:before="40" w:after="40"/>
            </w:pPr>
            <w:r>
              <w:rPr>
                <w:b/>
                <w:sz w:val="20"/>
              </w:rPr>
              <w:t>High-Confidence</w:t>
            </w:r>
          </w:p>
        </w:tc>
        <w:tc>
          <w:tcPr>
            <w:tcW w:type="dxa" w:w="2160"/>
            <w:vAlign w:val="center"/>
          </w:tcPr>
          <w:p>
            <w:pPr>
              <w:spacing w:before="40" w:after="40"/>
            </w:pPr>
            <w:r>
              <w:rPr>
                <w:b/>
                <w:sz w:val="20"/>
              </w:rPr>
              <w:t>Field Action</w:t>
            </w:r>
          </w:p>
        </w:tc>
      </w:tr>
      <w:tr>
        <w:tc>
          <w:tcPr>
            <w:tcW w:type="dxa" w:w="2160"/>
            <w:vAlign w:val="center"/>
          </w:tcPr>
          <w:p>
            <w:pPr>
              <w:spacing w:before="40" w:after="40"/>
            </w:pPr>
            <w:r>
              <w:rPr>
                <w:sz w:val="20"/>
              </w:rPr>
              <w:t>cross_feeder_likely_gis_error</w:t>
            </w:r>
          </w:p>
        </w:tc>
        <w:tc>
          <w:tcPr>
            <w:tcW w:type="dxa" w:w="2160"/>
            <w:vAlign w:val="center"/>
          </w:tcPr>
          <w:p>
            <w:pPr>
              <w:spacing w:before="40" w:after="40"/>
            </w:pPr>
            <w:r>
              <w:rPr>
                <w:sz w:val="20"/>
              </w:rPr>
              <w:t>193</w:t>
            </w:r>
          </w:p>
        </w:tc>
        <w:tc>
          <w:tcPr>
            <w:tcW w:type="dxa" w:w="2160"/>
            <w:vAlign w:val="center"/>
          </w:tcPr>
          <w:p>
            <w:pPr>
              <w:spacing w:before="40" w:after="40"/>
            </w:pPr>
            <w:r>
              <w:rPr>
                <w:sz w:val="20"/>
              </w:rPr>
              <w:t>51</w:t>
            </w:r>
          </w:p>
        </w:tc>
        <w:tc>
          <w:tcPr>
            <w:tcW w:type="dxa" w:w="2160"/>
            <w:vAlign w:val="center"/>
          </w:tcPr>
          <w:p>
            <w:pPr>
              <w:spacing w:before="40" w:after="40"/>
            </w:pPr>
            <w:r>
              <w:rPr>
                <w:sz w:val="20"/>
              </w:rPr>
              <w:t>Top priority — likely GIS feeder/transformer error</w:t>
            </w:r>
          </w:p>
        </w:tc>
      </w:tr>
      <w:tr>
        <w:tc>
          <w:tcPr>
            <w:tcW w:type="dxa" w:w="2160"/>
            <w:vAlign w:val="center"/>
          </w:tcPr>
          <w:p>
            <w:pPr>
              <w:spacing w:before="40" w:after="40"/>
            </w:pPr>
            <w:r>
              <w:rPr>
                <w:sz w:val="20"/>
              </w:rPr>
              <w:t>new_assignment</w:t>
            </w:r>
          </w:p>
        </w:tc>
        <w:tc>
          <w:tcPr>
            <w:tcW w:type="dxa" w:w="2160"/>
            <w:vAlign w:val="center"/>
          </w:tcPr>
          <w:p>
            <w:pPr>
              <w:spacing w:before="40" w:after="40"/>
            </w:pPr>
            <w:r>
              <w:rPr>
                <w:sz w:val="20"/>
              </w:rPr>
              <w:t>232</w:t>
            </w:r>
          </w:p>
        </w:tc>
        <w:tc>
          <w:tcPr>
            <w:tcW w:type="dxa" w:w="2160"/>
            <w:vAlign w:val="center"/>
          </w:tcPr>
          <w:p>
            <w:pPr>
              <w:spacing w:before="40" w:after="40"/>
            </w:pPr>
            <w:r>
              <w:rPr>
                <w:sz w:val="20"/>
              </w:rPr>
              <w:t>46</w:t>
            </w:r>
          </w:p>
        </w:tc>
        <w:tc>
          <w:tcPr>
            <w:tcW w:type="dxa" w:w="2160"/>
            <w:vAlign w:val="center"/>
          </w:tcPr>
          <w:p>
            <w:pPr>
              <w:spacing w:before="40" w:after="40"/>
            </w:pPr>
            <w:r>
              <w:rPr>
                <w:sz w:val="20"/>
              </w:rPr>
              <w:t>Easy wins — first-time mapping for unmapped meters</w:t>
            </w:r>
          </w:p>
        </w:tc>
      </w:tr>
      <w:tr>
        <w:tc>
          <w:tcPr>
            <w:tcW w:type="dxa" w:w="2160"/>
            <w:vAlign w:val="center"/>
          </w:tcPr>
          <w:p>
            <w:pPr>
              <w:spacing w:before="40" w:after="40"/>
            </w:pPr>
            <w:r>
              <w:rPr>
                <w:sz w:val="20"/>
              </w:rPr>
              <w:t>unknown_feeder</w:t>
            </w:r>
          </w:p>
        </w:tc>
        <w:tc>
          <w:tcPr>
            <w:tcW w:type="dxa" w:w="2160"/>
            <w:vAlign w:val="center"/>
          </w:tcPr>
          <w:p>
            <w:pPr>
              <w:spacing w:before="40" w:after="40"/>
            </w:pPr>
            <w:r>
              <w:rPr>
                <w:sz w:val="20"/>
              </w:rPr>
              <w:t>5</w:t>
            </w:r>
          </w:p>
        </w:tc>
        <w:tc>
          <w:tcPr>
            <w:tcW w:type="dxa" w:w="2160"/>
            <w:vAlign w:val="center"/>
          </w:tcPr>
          <w:p>
            <w:pPr>
              <w:spacing w:before="40" w:after="40"/>
            </w:pPr>
            <w:r>
              <w:rPr>
                <w:sz w:val="20"/>
              </w:rPr>
              <w:t>1</w:t>
            </w:r>
          </w:p>
        </w:tc>
        <w:tc>
          <w:tcPr>
            <w:tcW w:type="dxa" w:w="2160"/>
            <w:vAlign w:val="center"/>
          </w:tcPr>
          <w:p>
            <w:pPr>
              <w:spacing w:before="40" w:after="40"/>
            </w:pPr>
            <w:r>
              <w:rPr>
                <w:sz w:val="20"/>
              </w:rPr>
              <w:t>Needs GIS data to populate feeder before action</w:t>
            </w:r>
          </w:p>
        </w:tc>
      </w:tr>
      <w:tr>
        <w:tc>
          <w:tcPr>
            <w:tcW w:type="dxa" w:w="2160"/>
            <w:vAlign w:val="center"/>
          </w:tcPr>
          <w:p>
            <w:pPr>
              <w:spacing w:before="40" w:after="40"/>
            </w:pPr>
            <w:r>
              <w:rPr>
                <w:sz w:val="20"/>
              </w:rPr>
              <w:t>same_feeder_ambiguous</w:t>
            </w:r>
          </w:p>
        </w:tc>
        <w:tc>
          <w:tcPr>
            <w:tcW w:type="dxa" w:w="2160"/>
            <w:vAlign w:val="center"/>
          </w:tcPr>
          <w:p>
            <w:pPr>
              <w:spacing w:before="40" w:after="40"/>
            </w:pPr>
            <w:r>
              <w:rPr>
                <w:sz w:val="20"/>
              </w:rPr>
              <w:t>10,977</w:t>
            </w:r>
          </w:p>
        </w:tc>
        <w:tc>
          <w:tcPr>
            <w:tcW w:type="dxa" w:w="2160"/>
            <w:vAlign w:val="center"/>
          </w:tcPr>
          <w:p>
            <w:pPr>
              <w:spacing w:before="40" w:after="40"/>
            </w:pPr>
            <w:r>
              <w:rPr>
                <w:sz w:val="20"/>
              </w:rPr>
              <w:t>1,752</w:t>
            </w:r>
          </w:p>
        </w:tc>
        <w:tc>
          <w:tcPr>
            <w:tcW w:type="dxa" w:w="2160"/>
            <w:vAlign w:val="center"/>
          </w:tcPr>
          <w:p>
            <w:pPr>
              <w:spacing w:before="40" w:after="40"/>
            </w:pPr>
            <w:r>
              <w:rPr>
                <w:sz w:val="20"/>
              </w:rPr>
              <w:t>Lower signal — field validation required before action</w:t>
            </w:r>
          </w:p>
        </w:tc>
      </w:tr>
    </w:tbl>
    <w:p>
      <w:pPr>
        <w:spacing w:after="120"/>
      </w:pPr>
      <w:r>
        <w:rPr>
          <w:b w:val="0"/>
          <w:i w:val="0"/>
          <w:sz w:val="22"/>
        </w:rPr>
        <w:t>The cross-feeder and new-assignment categories — 97 high-confidence cases this week — are the model's strongest contributions. Cross-feeder recommendations call out cases where GIS records a meter on the wrong electrical feeder entirely; new-assignment recommendations are first-time mappings for meters GIS has no record of yet. Both are well-suited to direct field or GIS-team action.</w:t>
      </w:r>
    </w:p>
    <w:p>
      <w:pPr>
        <w:pStyle w:val="Heading1"/>
      </w:pPr>
      <w:r>
        <w:rPr>
          <w:color w:val="1F3A5F"/>
        </w:rPr>
        <w:t>4. How the Model Handles Feedback</w:t>
      </w:r>
    </w:p>
    <w:p>
      <w:pPr>
        <w:spacing w:after="120"/>
      </w:pPr>
      <w:r>
        <w:rPr>
          <w:b w:val="0"/>
          <w:i w:val="0"/>
          <w:sz w:val="22"/>
        </w:rPr>
        <w:t>An important focus over the past several weeks has been building structured feedback loops between field operations, GIS, and the model. These mechanisms keep the model honest, let real-world findings improve future runs, and surface patterns that voltage data alone cannot resolve.</w:t>
      </w:r>
    </w:p>
    <w:p>
      <w:pPr>
        <w:pStyle w:val="Heading2"/>
      </w:pPr>
      <w:r>
        <w:rPr>
          <w:color w:val="1F3A5F"/>
        </w:rPr>
        <w:t>4.1 Field Validation Findings</w:t>
      </w:r>
    </w:p>
    <w:p>
      <w:pPr>
        <w:spacing w:after="120"/>
      </w:pPr>
      <w:r>
        <w:rPr>
          <w:b w:val="0"/>
          <w:i w:val="0"/>
          <w:sz w:val="22"/>
        </w:rPr>
        <w:t>When field operations investigates a recommendation, the result becomes useful information regardless of outcome. A confirmed correction validates the model's signal; a confirmed false positive points to a category the model struggles with. A recent example: field operations validated badge 1020669, where the model had consistently recommended a different transformer than GIS records. The field confirmed GIS was correct. The model had labeled this case 'same_feeder_ambiguous,' which is precisely the category where voltage signatures alone cannot reliably distinguish adjacent transformers on the same feeder. The classification working as intended on a real case is encouraging — it means the model knows where it is reliable and where it is not.</w:t>
      </w:r>
    </w:p>
    <w:p>
      <w:pPr>
        <w:pStyle w:val="Heading2"/>
      </w:pPr>
      <w:r>
        <w:rPr>
          <w:color w:val="1F3A5F"/>
        </w:rPr>
        <w:t>4.2 Suppression List</w:t>
      </w:r>
    </w:p>
    <w:p>
      <w:pPr>
        <w:spacing w:after="120"/>
      </w:pPr>
      <w:r>
        <w:rPr>
          <w:b w:val="0"/>
          <w:i w:val="0"/>
          <w:sz w:val="22"/>
        </w:rPr>
        <w:t>A user-maintained list lets us suppress specific recommendations we have decided to set aside — for example, cases that field operations has already investigated and confirmed do not need further action. The model still produces the underlying analysis, but the suppressed entries are kept out of the active work list and logged separately for audit. If the model later changes its mind and points to a different transformer for the same meter, that new recommendation still surfaces — only the specific suggestion we suppressed is hidden.</w:t>
      </w:r>
    </w:p>
    <w:p>
      <w:pPr>
        <w:pStyle w:val="Heading2"/>
      </w:pPr>
      <w:r>
        <w:rPr>
          <w:color w:val="1F3A5F"/>
        </w:rPr>
        <w:t>4.3 Stability Tracking Across Runs</w:t>
      </w:r>
    </w:p>
    <w:p>
      <w:pPr>
        <w:spacing w:after="120"/>
      </w:pPr>
      <w:r>
        <w:rPr>
          <w:b w:val="0"/>
          <w:i w:val="0"/>
          <w:sz w:val="22"/>
        </w:rPr>
        <w:t>Every weekly run is recorded in a persistent ledger that scores how consistent the model is over time. After nine runs of history, recommendations that have appeared in every run get elevated, and recommendations that have only flickered in once or twice get downgraded. This means the model genuinely gets smarter about what to trust as more data accumulates — a one-off flag is treated as suspect, while a recommendation that has survived nine weeks of changing data is treated as robust evidence.</w:t>
      </w:r>
    </w:p>
    <w:p>
      <w:pPr>
        <w:pStyle w:val="Heading2"/>
      </w:pPr>
      <w:r>
        <w:rPr>
          <w:color w:val="1F3A5F"/>
        </w:rPr>
        <w:t>4.4 GIS Data Refresh</w:t>
      </w:r>
    </w:p>
    <w:p>
      <w:pPr>
        <w:spacing w:after="120"/>
      </w:pPr>
      <w:r>
        <w:rPr>
          <w:b w:val="0"/>
          <w:i w:val="0"/>
          <w:sz w:val="22"/>
        </w:rPr>
        <w:t>The model now consumes GIS data directly from a shared Power BI / Fabric dataflow. When the dataflow refreshes, the model picks up the newest ServicePoints and Transformers extracts on the next run — no manual conversion or reformatting is required. This keeps the model's comparison-to-GIS truth file current with whatever corrections the GIS team has already made and delivers 42% more service-point-to-transformer relationships than the previous file-based approach.</w:t>
      </w:r>
    </w:p>
    <w:p>
      <w:pPr>
        <w:pStyle w:val="Heading2"/>
      </w:pPr>
      <w:r>
        <w:rPr>
          <w:color w:val="1F3A5F"/>
        </w:rPr>
        <w:t>4.5 Parallel Model (Consensus Cross-Check)</w:t>
      </w:r>
    </w:p>
    <w:p>
      <w:pPr>
        <w:spacing w:after="120"/>
      </w:pPr>
      <w:r>
        <w:rPr>
          <w:b w:val="0"/>
          <w:i w:val="0"/>
          <w:sz w:val="22"/>
        </w:rPr>
        <w:t>A second version of the model now runs alongside the production model. It uses a different mathematical approach to the same underlying voltage data, with built-in checks for whether each meter-pair relationship is consistent over time or whether it looks like coincidence. When both models agree on a recommendation at high confidence, that becomes the strongest signal in the entire output — two methodologically-independent analyses converging on the same answer is much rarer, and much more reliable, than either alone. When they disagree, the disagreement itself is a flag worth investigating.</w:t>
      </w:r>
    </w:p>
    <w:p>
      <w:pPr>
        <w:spacing w:after="120"/>
      </w:pPr>
      <w:r>
        <w:rPr>
          <w:b w:val="0"/>
          <w:i w:val="0"/>
          <w:sz w:val="22"/>
        </w:rPr>
        <w:t>The most recent consensus comparison identified 1,739 recommendations where both models agree at high confidence, including 47 strong cross-feeder findings and 44 first-time assignment suggestions. These are the highest-priority items for field and GIS-team action.</w:t>
      </w:r>
    </w:p>
    <w:p>
      <w:pPr>
        <w:pStyle w:val="Heading1"/>
      </w:pPr>
      <w:r>
        <w:rPr>
          <w:color w:val="1F3A5F"/>
        </w:rPr>
        <w:t>5. What's Changed Since the Last Update</w:t>
      </w:r>
    </w:p>
    <w:p>
      <w:pPr>
        <w:pStyle w:val="ListBullet"/>
        <w:spacing w:after="60"/>
      </w:pPr>
      <w:r>
        <w:rPr>
          <w:sz w:val="22"/>
        </w:rPr>
        <w:t>Integrated the new GIS Power BI / Fabric dataflow. The model now reads the freshest ServicePoints and Transformers extracts directly from the dataflow output and joins service points to transformers on the OBJECTID relationship with 100% match coverage — a meaningful improvement over the prior file-based approach.</w:t>
      </w:r>
    </w:p>
    <w:p>
      <w:pPr>
        <w:pStyle w:val="ListBullet"/>
        <w:spacing w:after="60"/>
      </w:pPr>
      <w:r>
        <w:rPr>
          <w:sz w:val="22"/>
        </w:rPr>
        <w:t>Added three identifier columns to downstream deliverables at the request of the field/GIS teams: SPID (service-point identifier), TransformerLID (transformer LID), and VaultCD. These now appear in every enriched output file so field crews and the application team can join model recommendations against their own systems more directly.</w:t>
      </w:r>
    </w:p>
    <w:p>
      <w:pPr>
        <w:pStyle w:val="ListBullet"/>
        <w:spacing w:after="60"/>
      </w:pPr>
      <w:r>
        <w:rPr>
          <w:sz w:val="22"/>
        </w:rPr>
        <w:t>Completed a memory-efficiency rewrite of the second (parallel) model's daily update path — peak memory dropped by roughly six-fold. This unblocked two additional weekly runs and put the parallel model on the same weekly cadence as the production model.</w:t>
      </w:r>
    </w:p>
    <w:p>
      <w:pPr>
        <w:pStyle w:val="ListBullet"/>
        <w:spacing w:after="60"/>
      </w:pPr>
      <w:r>
        <w:rPr>
          <w:sz w:val="22"/>
        </w:rPr>
        <w:t>Grew the stability ledger from seven runs to nine. The additional history sharpens the high-confidence filter — recommendations that survive nine consecutive weeks of changing data are now treated as very strong evidence, while one-off flags are downweighted.</w:t>
      </w:r>
    </w:p>
    <w:p>
      <w:pPr>
        <w:pStyle w:val="ListBullet"/>
        <w:spacing w:after="60"/>
      </w:pPr>
      <w:r>
        <w:rPr>
          <w:sz w:val="22"/>
        </w:rPr>
        <w:t>Continued GIS data quality contributions. The model currently identifies 73 meters that are not yet in GIS and 1,290 meters whose GIS locations differ by more than 100 meters from the source measurements (some by more than 20 kilometers, indicating likely data-entry errors).</w:t>
      </w:r>
    </w:p>
    <w:p>
      <w:pPr>
        <w:pStyle w:val="Heading1"/>
      </w:pPr>
      <w:r>
        <w:rPr>
          <w:color w:val="1F3A5F"/>
        </w:rPr>
        <w:t>6. Triage Priority for Field &amp; GIS Teams</w:t>
      </w:r>
    </w:p>
    <w:p>
      <w:pPr>
        <w:spacing w:after="120"/>
      </w:pPr>
      <w:r>
        <w:rPr>
          <w:b w:val="0"/>
          <w:i w:val="0"/>
          <w:sz w:val="22"/>
        </w:rPr>
        <w:t>If a field tech or GIS data steward asks which recommendations to investigate first, the priority order is:</w:t>
      </w:r>
    </w:p>
    <w:p>
      <w:pPr>
        <w:pStyle w:val="ListBullet"/>
        <w:spacing w:after="60"/>
      </w:pPr>
      <w:r>
        <w:rPr>
          <w:sz w:val="22"/>
        </w:rPr>
        <w:t>Recommendations where both models agree at high confidence AND the model points across feeders — strongest possible signal that GIS has the feeder/transformer assignment wrong.</w:t>
      </w:r>
    </w:p>
    <w:p>
      <w:pPr>
        <w:pStyle w:val="ListBullet"/>
        <w:spacing w:after="60"/>
      </w:pPr>
      <w:r>
        <w:rPr>
          <w:sz w:val="22"/>
        </w:rPr>
        <w:t>Recommendations where both models agree at high confidence AND the meter is not yet in GIS — clean first-time mapping candidates for the GIS team.</w:t>
      </w:r>
    </w:p>
    <w:p>
      <w:pPr>
        <w:pStyle w:val="ListBullet"/>
        <w:spacing w:after="60"/>
      </w:pPr>
      <w:r>
        <w:rPr>
          <w:sz w:val="22"/>
        </w:rPr>
        <w:t>Recommendations where only the production model is high-confidence but the cross-check model sees the same case at lower confidence — strong but worth a closer look.</w:t>
      </w:r>
    </w:p>
    <w:p>
      <w:pPr>
        <w:pStyle w:val="ListBullet"/>
        <w:spacing w:after="60"/>
      </w:pPr>
      <w:r>
        <w:rPr>
          <w:sz w:val="22"/>
        </w:rPr>
        <w:t>Recommendations where only one model flags the case at high confidence — lower priority; treat as candidates rather than definite findings.</w:t>
      </w:r>
    </w:p>
    <w:p>
      <w:pPr>
        <w:pStyle w:val="ListBullet"/>
        <w:spacing w:after="60"/>
      </w:pPr>
      <w:r>
        <w:rPr>
          <w:sz w:val="22"/>
        </w:rPr>
        <w:t>Same-feeder ambiguous recommendations should never be actioned on model output alone. They reflect cases where voltage signatures cannot reliably distinguish adjacent transformers, and they require field validation.</w:t>
      </w:r>
    </w:p>
    <w:p>
      <w:pPr>
        <w:pStyle w:val="Heading1"/>
      </w:pPr>
      <w:r>
        <w:rPr>
          <w:color w:val="1F3A5F"/>
        </w:rPr>
        <w:t>7. What's Next</w:t>
      </w:r>
    </w:p>
    <w:p>
      <w:pPr>
        <w:pStyle w:val="ListBullet"/>
        <w:spacing w:after="60"/>
      </w:pPr>
      <w:r>
        <w:rPr>
          <w:sz w:val="22"/>
        </w:rPr>
        <w:t>Continue the weekly run cadence for both models. Each additional run sharpens the stability scores and the consensus tiers; the parallel model is now on the same weekly cadence as production.</w:t>
      </w:r>
    </w:p>
    <w:p>
      <w:pPr>
        <w:pStyle w:val="ListBullet"/>
        <w:spacing w:after="60"/>
      </w:pPr>
      <w:r>
        <w:rPr>
          <w:sz w:val="22"/>
        </w:rPr>
        <w:t>Request the four missing decoded columns from the GIS dataflow owner (TRANSBANKTAG in ServicePoints; TAG, STRUCTNO, d_FEEDERID, d_SUBTYPECD in Transformers). The model works around their absence today using a fallback lookup from prior GIS extracts, but adding them to the dataflow will eliminate blanks for any new infrastructure created after 2026-04-28.</w:t>
      </w:r>
    </w:p>
    <w:p>
      <w:pPr>
        <w:pStyle w:val="ListBullet"/>
        <w:spacing w:after="60"/>
      </w:pPr>
      <w:r>
        <w:rPr>
          <w:sz w:val="22"/>
        </w:rPr>
        <w:t>Continue accumulating stability history. At six or more additional runs, the parallel model's own stability filter will begin producing meaningful signal, at which point the consensus tier becomes the most reliable output the model can produce.</w:t>
      </w:r>
    </w:p>
    <w:p>
      <w:pPr>
        <w:pStyle w:val="ListBullet"/>
        <w:spacing w:after="60"/>
      </w:pPr>
      <w:r>
        <w:rPr>
          <w:sz w:val="22"/>
        </w:rPr>
        <w:t>Maintain the structured feedback loop: as field operations and GIS work the recommendations, the suppression list and the field-validation observations feed back into future model runs.</w:t>
      </w:r>
    </w:p>
    <w:p>
      <w:pPr>
        <w:pStyle w:val="ListBullet"/>
        <w:spacing w:after="60"/>
      </w:pPr>
      <w:r>
        <w:rPr>
          <w:sz w:val="22"/>
        </w:rPr>
        <w:t>Package the weekly run sequence as a single command so the ordering (rolling window update → cluster rebuild → downstream reports → parallel model catch-up → consensus) is enforced by the tooling rather than by memory.</w:t>
      </w:r>
    </w:p>
    <w:p>
      <w:pPr>
        <w:spacing w:after="120"/>
      </w:pPr>
      <w:r>
        <w:rPr>
          <w:b w:val="0"/>
          <w:i w:val="0"/>
          <w:sz w:val="22"/>
        </w:rPr>
      </w:r>
    </w:p>
    <w:p>
      <w:pPr>
        <w:jc w:val="left"/>
      </w:pPr>
      <w:r>
        <w:rPr>
          <w:i/>
          <w:sz w:val="22"/>
        </w:rPr>
        <w:t>Please reach out with any questions, requests for deeper drill-downs into specific recommendations, or feedback from field operations that should be captured in the suppression list or used to inform future model 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