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Explaining</w:t>
      </w:r>
      <w:r>
        <w:t xml:space="preserve"> </w:t>
      </w:r>
      <w:r>
        <w:t xml:space="preserve">regional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morphosyntactic</w:t>
      </w:r>
      <w:r>
        <w:t xml:space="preserve"> </w:t>
      </w:r>
      <w:r>
        <w:t xml:space="preserve">dialect</w:t>
      </w:r>
      <w:r>
        <w:t xml:space="preserve"> </w:t>
      </w:r>
      <w:r>
        <w:t xml:space="preserve">features:</w:t>
      </w:r>
      <w:r>
        <w:t xml:space="preserve"> </w:t>
      </w:r>
      <w:r>
        <w:t xml:space="preserve">The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BE</w:t>
      </w:r>
      <w:r>
        <w:rPr>
          <w:iCs/>
          <w:i/>
        </w:rPr>
        <w:t xml:space="preserve"> </w:t>
      </w:r>
      <w:r>
        <w:rPr>
          <w:iCs/>
          <w:i/>
        </w:rPr>
        <w:t xml:space="preserve">sat/stood</w:t>
      </w:r>
      <w:r>
        <w:t xml:space="preserve"> </w:t>
      </w:r>
      <w:r>
        <w:t xml:space="preserve">in</w:t>
      </w:r>
      <w:r>
        <w:t xml:space="preserve"> </w:t>
      </w:r>
      <w:r>
        <w:t xml:space="preserve">England</w:t>
      </w:r>
      <w:r>
        <w:t xml:space="preserve"> </w:t>
      </w:r>
      <w:r>
        <w:t xml:space="preserve">and</w:t>
      </w:r>
      <w:r>
        <w:t xml:space="preserve"> </w:t>
      </w:r>
      <w:r>
        <w:t xml:space="preserve">beyond</w:t>
      </w:r>
    </w:p>
    <w:p>
      <w:pPr>
        <w:pStyle w:val="FirstParagraph"/>
      </w:pPr>
      <w:r>
        <w:t xml:space="preserve">In this study we examine a well-known yet little understood dialect feature of English, namely the past participle forms</w:t>
      </w:r>
      <w:r>
        <w:t xml:space="preserve"> </w:t>
      </w:r>
      <w:r>
        <w:rPr>
          <w:iCs/>
          <w:i/>
        </w:rPr>
        <w:t xml:space="preserve">sat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stood</w:t>
      </w:r>
      <w:r>
        <w:t xml:space="preserve"> </w:t>
      </w:r>
      <w:r>
        <w:t xml:space="preserve">with progressive meaning, as illustrated in (1) and (2).</w:t>
      </w:r>
    </w:p>
    <w:p>
      <w:pPr>
        <w:numPr>
          <w:ilvl w:val="0"/>
          <w:numId w:val="1001"/>
        </w:numPr>
        <w:pStyle w:val="Compact"/>
      </w:pPr>
      <w:r>
        <w:t xml:space="preserve">My work colleague</w:t>
      </w:r>
      <w:r>
        <w:t xml:space="preserve"> </w:t>
      </w:r>
      <w:r>
        <w:rPr>
          <w:iCs/>
          <w:i/>
          <w:bCs/>
          <w:b/>
        </w:rPr>
        <w:t xml:space="preserve">is sat</w:t>
      </w:r>
      <w:r>
        <w:t xml:space="preserve"> </w:t>
      </w:r>
      <w:r>
        <w:t xml:space="preserve">eating honey out of a jar with a spoon.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I</w:t>
      </w:r>
      <w:r>
        <w:t xml:space="preserve"> </w:t>
      </w:r>
      <w:r>
        <w:rPr>
          <w:iCs/>
          <w:i/>
          <w:bCs/>
          <w:b/>
        </w:rPr>
        <w:t xml:space="preserve">was stood</w:t>
      </w:r>
      <w:r>
        <w:t xml:space="preserve"> </w:t>
      </w:r>
      <w:r>
        <w:t xml:space="preserve">chatting with a friend in the street in Darlington when we saw it.</w:t>
      </w:r>
      <w:r>
        <w:t xml:space="preserve"> </w:t>
      </w:r>
    </w:p>
    <w:p>
      <w:pPr>
        <w:pStyle w:val="FirstParagraph"/>
      </w:pPr>
      <w:r>
        <w:t xml:space="preserve">Though frequently mentioned in dialect surveys</w:t>
      </w:r>
      <w:r>
        <w:t xml:space="preserve"> </w:t>
      </w:r>
      <w:r>
        <w:t xml:space="preserve">(e.g. Cheshire, Edwards &amp; Whittle 1989; Kortmann &amp; Lunkenheimer 2014)</w:t>
      </w:r>
      <w:r>
        <w:t xml:space="preserve">, relatively little is known about this feature’s precise geographical distribution or historical origins. Prior studies have relied on relatively small datasets</w:t>
      </w:r>
      <w:r>
        <w:t xml:space="preserve"> </w:t>
      </w:r>
      <w:r>
        <w:t xml:space="preserve">(e.g. Klemola 1999; Stange 2016)</w:t>
      </w:r>
      <w:r>
        <w:t xml:space="preserve">, which limit our ability to discern reliable synchronic or diachronic patterns. For this study we collected over 100k tokens from large-scale corpora, both contemporary (Table</w:t>
      </w:r>
      <w:r>
        <w:t xml:space="preserve"> </w:t>
      </w:r>
      <w:r>
        <w:t xml:space="preserve">1</w:t>
      </w:r>
      <w:r>
        <w:t xml:space="preserve">) and historical (Table</w:t>
      </w:r>
      <w:r>
        <w:t xml:space="preserve"> </w:t>
      </w:r>
      <w:r>
        <w:t xml:space="preserve">2</w:t>
      </w:r>
      <w:r>
        <w:t xml:space="preserve">), to explore the current geographical distribution of</w:t>
      </w:r>
      <w:r>
        <w:t xml:space="preserve"> </w:t>
      </w:r>
      <w:r>
        <w:rPr>
          <w:iCs/>
          <w:i/>
        </w:rPr>
        <w:t xml:space="preserve">BE sat/stood</w:t>
      </w:r>
      <w:r>
        <w:t xml:space="preserve"> </w:t>
      </w:r>
      <w:r>
        <w:t xml:space="preserve">and reconsider some competing claims about its origins. Drawing upon this evidence, we argue that</w:t>
      </w:r>
      <w:r>
        <w:t xml:space="preserve"> </w:t>
      </w:r>
      <w:r>
        <w:rPr>
          <w:iCs/>
          <w:i/>
        </w:rPr>
        <w:t xml:space="preserve">BE sat/stood</w:t>
      </w:r>
      <w:r>
        <w:t xml:space="preserve"> </w:t>
      </w:r>
      <w:r>
        <w:t xml:space="preserve">is most likely a recent innovation, rather than a remnant of an older Germanic</w:t>
      </w:r>
      <w:r>
        <w:t xml:space="preserve"> </w:t>
      </w:r>
      <w:r>
        <w:rPr>
          <w:iCs/>
          <w:i/>
        </w:rPr>
        <w:t xml:space="preserve">BE</w:t>
      </w:r>
      <w:r>
        <w:t xml:space="preserve"> </w:t>
      </w:r>
      <w:r>
        <w:t xml:space="preserve">perfect system, e.g. </w:t>
      </w:r>
      <w:r>
        <w:rPr>
          <w:iCs/>
          <w:i/>
        </w:rPr>
        <w:t xml:space="preserve">I’m not seen it</w:t>
      </w:r>
      <w:r>
        <w:t xml:space="preserve"> </w:t>
      </w:r>
      <w:r>
        <w:t xml:space="preserve">(cf. Buchstaller &amp; Corrigan 2015)</w:t>
      </w:r>
      <w:r>
        <w:t xml:space="preserve">.</w:t>
      </w:r>
    </w:p>
    <w:p>
      <w:pPr>
        <w:pStyle w:val="BodyText"/>
      </w:pPr>
      <w:r>
        <w:t xml:space="preserve">On Twitter,</w:t>
      </w:r>
      <w:r>
        <w:t xml:space="preserve"> </w:t>
      </w:r>
      <w:r>
        <w:rPr>
          <w:iCs/>
          <w:i/>
        </w:rPr>
        <w:t xml:space="preserve">BE sat/stood</w:t>
      </w:r>
      <w:r>
        <w:t xml:space="preserve"> </w:t>
      </w:r>
      <w:r>
        <w:t xml:space="preserve">is widespread throughout most of England and Wales, and is particularly prominent in the North and Southwest of England (Figure</w:t>
      </w:r>
      <w:r>
        <w:t xml:space="preserve"> </w:t>
      </w:r>
      <w:r>
        <w:t xml:space="preserve">1</w:t>
      </w:r>
      <w:r>
        <w:t xml:space="preserve">). Data from the corpus of Global Web-based English (GloWbE) confirms that</w:t>
      </w:r>
      <w:r>
        <w:t xml:space="preserve"> </w:t>
      </w:r>
      <w:r>
        <w:rPr>
          <w:iCs/>
          <w:i/>
        </w:rPr>
        <w:t xml:space="preserve">BE sat/stood</w:t>
      </w:r>
      <w:r>
        <w:t xml:space="preserve"> </w:t>
      </w:r>
      <w:r>
        <w:t xml:space="preserve">is quite rare outside the UK (Figure</w:t>
      </w:r>
      <w:r>
        <w:t xml:space="preserve"> </w:t>
      </w:r>
      <w:r>
        <w:t xml:space="preserve">2</w:t>
      </w:r>
      <w:r>
        <w:t xml:space="preserve">; see also</w:t>
      </w:r>
      <w:r>
        <w:t xml:space="preserve"> </w:t>
      </w:r>
      <w:r>
        <w:t xml:space="preserve">Kortmann &amp; Lunkenheimer (2014)</w:t>
      </w:r>
      <w:r>
        <w:t xml:space="preserve">), and we find no mention of it in the literature of other English varieties, including regions that retain a more productive</w:t>
      </w:r>
      <w:r>
        <w:t xml:space="preserve"> </w:t>
      </w:r>
      <w:r>
        <w:rPr>
          <w:iCs/>
          <w:i/>
        </w:rPr>
        <w:t xml:space="preserve">BE</w:t>
      </w:r>
      <w:r>
        <w:t xml:space="preserve"> </w:t>
      </w:r>
      <w:r>
        <w:t xml:space="preserve">perfect system</w:t>
      </w:r>
      <w:r>
        <w:t xml:space="preserve"> </w:t>
      </w:r>
      <w:r>
        <w:t xml:space="preserve">(Filppula 2004:75; Melchers 2004:39–40; Werner 2016)</w:t>
      </w:r>
      <w:r>
        <w:t xml:space="preserve">. This is all the more striking in light of well documented founder effects in North America for other (older) morphosyntactic features</w:t>
      </w:r>
      <w:r>
        <w:t xml:space="preserve"> </w:t>
      </w:r>
      <w:r>
        <w:t xml:space="preserve">(e.g. Montgomery 2009; Strelluf 2020; Yerastov 2016)</w:t>
      </w:r>
      <w:r>
        <w:t xml:space="preserve">. Further, we find only scant traces of</w:t>
      </w:r>
      <w:r>
        <w:t xml:space="preserve"> </w:t>
      </w:r>
      <w:r>
        <w:rPr>
          <w:iCs/>
          <w:i/>
        </w:rPr>
        <w:t xml:space="preserve">BE sat/stood</w:t>
      </w:r>
      <w:r>
        <w:t xml:space="preserve"> </w:t>
      </w:r>
      <w:r>
        <w:t xml:space="preserve">in historical corpora prior to the 1700s</w:t>
      </w:r>
      <w:r>
        <w:t xml:space="preserve"> </w:t>
      </w:r>
      <w:r>
        <w:t xml:space="preserve">(cf. Kytö 1997)</w:t>
      </w:r>
      <w:r>
        <w:t xml:space="preserve">, and no mention of it in pre-20th century dialect surveys or commentaries. Our findings therefore suggest that</w:t>
      </w:r>
      <w:r>
        <w:t xml:space="preserve"> </w:t>
      </w:r>
      <w:r>
        <w:rPr>
          <w:iCs/>
          <w:i/>
        </w:rPr>
        <w:t xml:space="preserve">BE sat/stood</w:t>
      </w:r>
      <w:r>
        <w:t xml:space="preserve"> </w:t>
      </w:r>
      <w:r>
        <w:t xml:space="preserve">is not likely an echo of the</w:t>
      </w:r>
      <w:r>
        <w:t xml:space="preserve"> </w:t>
      </w:r>
      <w:r>
        <w:rPr>
          <w:iCs/>
          <w:i/>
        </w:rPr>
        <w:t xml:space="preserve">BE</w:t>
      </w:r>
      <w:r>
        <w:t xml:space="preserve"> </w:t>
      </w:r>
      <w:r>
        <w:t xml:space="preserve">perfect, despite their superficial similarities.</w:t>
      </w:r>
    </w:p>
    <w:p>
      <w:pPr>
        <w:pStyle w:val="BodyText"/>
      </w:pPr>
      <w:r>
        <w:t xml:space="preserve">Following</w:t>
      </w:r>
      <w:r>
        <w:t xml:space="preserve"> </w:t>
      </w:r>
      <w:r>
        <w:t xml:space="preserve">Klemola (1999)</w:t>
      </w:r>
      <w:r>
        <w:t xml:space="preserve">, we propose that</w:t>
      </w:r>
      <w:r>
        <w:t xml:space="preserve"> </w:t>
      </w:r>
      <w:r>
        <w:rPr>
          <w:iCs/>
          <w:i/>
        </w:rPr>
        <w:t xml:space="preserve">BE sat/stood</w:t>
      </w:r>
      <w:r>
        <w:t xml:space="preserve"> </w:t>
      </w:r>
      <w:r>
        <w:t xml:space="preserve">is more likely an 18th century innovation, and represents a curious case of a change from above resulting in a change from below. It is likely that progressive</w:t>
      </w:r>
      <w:r>
        <w:t xml:space="preserve"> </w:t>
      </w:r>
      <w:r>
        <w:rPr>
          <w:iCs/>
          <w:i/>
        </w:rPr>
        <w:t xml:space="preserve">BE sat</w:t>
      </w:r>
      <w:r>
        <w:t xml:space="preserve"> </w:t>
      </w:r>
      <w:r>
        <w:t xml:space="preserve">is a result of a hypercorrection of the older past participle form</w:t>
      </w:r>
      <w:r>
        <w:t xml:space="preserve"> </w:t>
      </w:r>
      <w:r>
        <w:rPr>
          <w:iCs/>
          <w:i/>
        </w:rPr>
        <w:t xml:space="preserve">sitten</w:t>
      </w:r>
      <w:r>
        <w:t xml:space="preserve"> </w:t>
      </w:r>
      <w:r>
        <w:t xml:space="preserve">as it was increasingly replaced by the standard form</w:t>
      </w:r>
      <w:r>
        <w:t xml:space="preserve"> </w:t>
      </w:r>
      <w:r>
        <w:rPr>
          <w:iCs/>
          <w:i/>
        </w:rPr>
        <w:t xml:space="preserve">sat</w:t>
      </w:r>
      <w:r>
        <w:t xml:space="preserve"> </w:t>
      </w:r>
      <w:r>
        <w:t xml:space="preserve">in the 17th and 18th centuries. This older variant persisted in the North of England into the 1800s</w:t>
      </w:r>
      <w:r>
        <w:t xml:space="preserve"> </w:t>
      </w:r>
      <w:r>
        <w:t xml:space="preserve">(Klemola 1999)</w:t>
      </w:r>
      <w:r>
        <w:t xml:space="preserve">, where northern speakers over-extended</w:t>
      </w:r>
      <w:r>
        <w:t xml:space="preserve"> </w:t>
      </w:r>
      <w:r>
        <w:rPr>
          <w:iCs/>
          <w:i/>
        </w:rPr>
        <w:t xml:space="preserve">sat</w:t>
      </w:r>
      <w:r>
        <w:t xml:space="preserve"> </w:t>
      </w:r>
      <w:r>
        <w:t xml:space="preserve">to progressive contexts in which</w:t>
      </w:r>
      <w:r>
        <w:t xml:space="preserve"> </w:t>
      </w:r>
      <w:r>
        <w:rPr>
          <w:iCs/>
          <w:i/>
        </w:rPr>
        <w:t xml:space="preserve">sitten</w:t>
      </w:r>
      <w:r>
        <w:t xml:space="preserve"> </w:t>
      </w:r>
      <w:r>
        <w:t xml:space="preserve">was largely homophonous with the progressive participle variant</w:t>
      </w:r>
      <w:r>
        <w:t xml:space="preserve"> </w:t>
      </w:r>
      <w:r>
        <w:rPr>
          <w:iCs/>
          <w:i/>
        </w:rPr>
        <w:t xml:space="preserve">sittin’</w:t>
      </w:r>
      <w:r>
        <w:t xml:space="preserve"> </w:t>
      </w:r>
      <w:r>
        <w:t xml:space="preserve">([sɪtɪn]).</w:t>
      </w:r>
    </w:p>
    <w:p>
      <w:pPr>
        <w:pStyle w:val="BodyText"/>
      </w:pPr>
      <w:r>
        <w:t xml:space="preserve">We conclude with a brief look at the linguistic and external factors conditioning variation between</w:t>
      </w:r>
      <w:r>
        <w:t xml:space="preserve"> </w:t>
      </w:r>
      <w:r>
        <w:rPr>
          <w:iCs/>
          <w:i/>
        </w:rPr>
        <w:t xml:space="preserve">sat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sitting</w:t>
      </w:r>
      <w:r>
        <w:t xml:space="preserve">, and discuss directions for future research.</w:t>
      </w:r>
    </w:p>
    <w:p>
      <w:r>
        <w:br w:type="page"/>
      </w:r>
    </w:p>
    <w:p>
      <w:pPr>
        <w:pStyle w:val="TableCaption"/>
      </w:pPr>
      <w:r>
        <w:t xml:space="preserve">Table 1:</w:t>
      </w:r>
      <w:r>
        <w:t xml:space="preserve"> </w:t>
      </w:r>
      <w:bookmarkStart w:id="43386932-fc66-438c-8d3f-13f6ba3687b2" w:name="tab:corpus-tab"/>
      <w:r>
        <w:t xml:space="preserve">
          <w:r>
            <w:t xml:space="preserve">Frequencies of</w:t>
          </w:r>
          <w:r>
            <w:t xml:space="preserve"> </w:t>
          </w:r>
          <w:r>
            <w:rPr>
              <w:iCs/>
              <w:i/>
            </w:rPr>
            <w:t xml:space="preserve">BE sat/sitting</w:t>
          </w:r>
          <w:r>
            <w:t xml:space="preserve"> </w:t>
          </w:r>
          <w:r>
            <w:t xml:space="preserve">and</w:t>
          </w:r>
          <w:r>
            <w:t xml:space="preserve"> </w:t>
          </w:r>
          <w:r>
            <w:rPr>
              <w:iCs/>
              <w:i/>
            </w:rPr>
            <w:t xml:space="preserve">BE stood/standing</w:t>
          </w:r>
          <w:r>
            <w:t xml:space="preserve"> </w:t>
          </w:r>
          <w:r>
            <w:t xml:space="preserve">in four modern corpora</w:t>
          </w:r>
        </w:t>
      </w:r>
      <w:bookmarkEnd w:id="43386932-fc66-438c-8d3f-13f6ba3687b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sat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sitting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stood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standing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Twitter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64,785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(59.9%)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43,348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(40.1%)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9,361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13,931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(59.8%)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GloWbE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32,655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(93.7%)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19,498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(95.9%)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Bank of 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15,045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(97.0%)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10,860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(97.7%)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Spoken BNC 2014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(33.7%)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537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(66.3%)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(72.5%)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TableCaption"/>
      </w:pPr>
      <w:r>
        <w:t xml:space="preserve">Table 2:</w:t>
      </w:r>
      <w:r>
        <w:t xml:space="preserve"> </w:t>
      </w:r>
      <w:bookmarkStart w:id="2cf10417-ec4d-4d6b-bc11-363ad73933de" w:name="tab:hist-tab"/>
      <w:r>
        <w:t xml:space="preserve">
          <w:r>
            <w:t xml:space="preserve">Frequencies of</w:t>
          </w:r>
          <w:r>
            <w:t xml:space="preserve"> </w:t>
          </w:r>
          <w:r>
            <w:rPr>
              <w:iCs/>
              <w:i/>
            </w:rPr>
            <w:t xml:space="preserve">BE sat/sitting</w:t>
          </w:r>
          <w:r>
            <w:t xml:space="preserve"> </w:t>
          </w:r>
          <w:r>
            <w:t xml:space="preserve">and</w:t>
          </w:r>
          <w:r>
            <w:t xml:space="preserve"> </w:t>
          </w:r>
          <w:r>
            <w:rPr>
              <w:iCs/>
              <w:i/>
            </w:rPr>
            <w:t xml:space="preserve">BE stood/standing</w:t>
          </w:r>
          <w:r>
            <w:t xml:space="preserve"> </w:t>
          </w:r>
          <w:r>
            <w:t xml:space="preserve">in historical corpora (counts are approximate)</w:t>
          </w:r>
        </w:t>
      </w:r>
      <w:bookmarkEnd w:id="2cf10417-ec4d-4d6b-bc11-363ad73933de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Period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sitting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stood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2"/>
                <w:szCs w:val="22"/>
                <w:color w:val="000000"/>
              </w:rPr>
              <w:t xml:space="preserve">standing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Corpus of Early English Correspondence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1400-1681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??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??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Early English Books Online (EEBO)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1470-1690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1600-1999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Corpus of Late Modern English Texts (CLMET)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1710-1920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Old Bailey Corpus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1720-1913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Hansard Corpus (British Parliament)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1800-1900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Corpus of Historical American English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1800-pres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18000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17000</w:t>
            </w:r>
          </w:p>
        </w:tc>
      </w:tr>
    </w:tbl>
    <w:p>
      <w:pPr>
        <w:pStyle w:val="CaptionedFigure"/>
      </w:pPr>
      <w:r>
        <w:drawing>
          <wp:inline>
            <wp:extent cx="4592410" cy="7143750"/>
            <wp:effectExtent b="0" l="0" r="0" t="0"/>
            <wp:docPr descr="Figure 1: Percentage of BE sat vs. sittng on UK Twitter 2014 (Nsat = 64785, Nsitting = 43348)." title="" id="1" name="Picture"/>
            <a:graphic>
              <a:graphicData uri="http://schemas.openxmlformats.org/drawingml/2006/picture">
                <pic:pic>
                  <pic:nvPicPr>
                    <pic:cNvPr descr="C:/Users/grafmilj/Dropbox/Projects/r_coding_talk_case_study/figures/plot_twitter_map_sit_blu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1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Percentage of</w:t>
      </w:r>
      <w:r>
        <w:t xml:space="preserve"> </w:t>
      </w:r>
      <w:r>
        <w:rPr>
          <w:iCs/>
          <w:i/>
        </w:rPr>
        <w:t xml:space="preserve">BE sat</w:t>
      </w:r>
      <w:r>
        <w:t xml:space="preserve"> </w:t>
      </w:r>
      <w:r>
        <w:t xml:space="preserve">vs. </w:t>
      </w:r>
      <w:r>
        <w:rPr>
          <w:iCs/>
          <w:i/>
        </w:rPr>
        <w:t xml:space="preserve">sittng</w:t>
      </w:r>
      <w:r>
        <w:t xml:space="preserve"> </w:t>
      </w:r>
      <w:r>
        <w:t xml:space="preserve">on UK Twitter 2014 (N</w:t>
      </w:r>
      <w:r>
        <w:rPr>
          <w:iCs/>
          <w:i/>
          <w:vertAlign w:val="subscript"/>
        </w:rPr>
        <w:t xml:space="preserve">sat</w:t>
      </w:r>
      <w:r>
        <w:t xml:space="preserve"> </w:t>
      </w:r>
      <w:r>
        <w:t xml:space="preserve">= 64785, N</w:t>
      </w:r>
      <w:r>
        <w:rPr>
          <w:iCs/>
          <w:i/>
          <w:vertAlign w:val="subscript"/>
        </w:rPr>
        <w:t xml:space="preserve">sitting</w:t>
      </w:r>
      <w:r>
        <w:t xml:space="preserve"> </w:t>
      </w:r>
      <w:r>
        <w:t xml:space="preserve">= 43348).</w:t>
      </w:r>
    </w:p>
    <w:p>
      <w:pPr>
        <w:pStyle w:val="CaptionedFigure"/>
      </w:pPr>
      <w:r>
        <w:drawing>
          <wp:inline>
            <wp:extent cx="5943600" cy="4041648"/>
            <wp:effectExtent b="0" l="0" r="0" t="0"/>
            <wp:docPr descr="Figure 2: Proportions and requencies of BE sat/stood and BE sitting/standing in GloWbE (N = 55171)." title="" id="1" name="Picture"/>
            <a:graphic>
              <a:graphicData uri="http://schemas.openxmlformats.org/drawingml/2006/picture">
                <pic:pic>
                  <pic:nvPicPr>
                    <pic:cNvPr descr="C:/Users/grafmilj/Dropbox/Projects/r_coding_talk_case_study/figures/plot_glowbe_freqs_ligh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Proportions and requencies of</w:t>
      </w:r>
      <w:r>
        <w:t xml:space="preserve"> </w:t>
      </w:r>
      <w:r>
        <w:rPr>
          <w:iCs/>
          <w:i/>
        </w:rPr>
        <w:t xml:space="preserve">BE sat/stood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BE sitting/standing</w:t>
      </w:r>
      <w:r>
        <w:t xml:space="preserve"> </w:t>
      </w:r>
      <w:r>
        <w:t xml:space="preserve">in GloWbE (N = 55171).</w:t>
      </w:r>
    </w:p>
    <w:bookmarkStart w:id="40" w:name="references"/>
    <w:p>
      <w:pPr>
        <w:pStyle w:val="Heading1"/>
      </w:pPr>
      <w:r>
        <w:t xml:space="preserve">References</w:t>
      </w:r>
    </w:p>
    <w:bookmarkStart w:id="39" w:name="refs"/>
    <w:bookmarkStart w:id="22" w:name="ref-buchstaller_morphosyntactic_2015"/>
    <w:p>
      <w:pPr>
        <w:pStyle w:val="Bibliography"/>
      </w:pPr>
      <w:r>
        <w:t xml:space="preserve">Buchstaller, Isabelle &amp; Karen P. Corrigan. 2015. Morphosyntactic features of</w:t>
      </w:r>
      <w:r>
        <w:t xml:space="preserve"> </w:t>
      </w:r>
      <w:r>
        <w:t xml:space="preserve">Northern English</w:t>
      </w:r>
      <w:r>
        <w:t xml:space="preserve">. In Raymond Hickey (ed.),</w:t>
      </w:r>
      <w:r>
        <w:t xml:space="preserve"> </w:t>
      </w:r>
      <w:r>
        <w:rPr>
          <w:iCs/>
          <w:i/>
        </w:rPr>
        <w:t xml:space="preserve">Researching</w:t>
      </w:r>
      <w:r>
        <w:rPr>
          <w:iCs/>
          <w:i/>
        </w:rPr>
        <w:t xml:space="preserve"> </w:t>
      </w:r>
      <w:r>
        <w:rPr>
          <w:iCs/>
          <w:i/>
        </w:rPr>
        <w:t xml:space="preserve">Northern English</w:t>
      </w:r>
      <w:r>
        <w:t xml:space="preserve">, 71–98.</w:t>
      </w:r>
      <w:r>
        <w:t xml:space="preserve"> </w:t>
      </w:r>
      <w:r>
        <w:t xml:space="preserve">Amsterdam</w:t>
      </w:r>
      <w:r>
        <w:t xml:space="preserve">:</w:t>
      </w:r>
      <w:r>
        <w:t xml:space="preserve"> </w:t>
      </w:r>
      <w:r>
        <w:t xml:space="preserve">John Benjamins Publishing Company</w:t>
      </w:r>
      <w:r>
        <w:t xml:space="preserve">.</w:t>
      </w:r>
    </w:p>
    <w:bookmarkEnd w:id="22"/>
    <w:bookmarkStart w:id="24" w:name="ref-cheshire_urban_1989"/>
    <w:p>
      <w:pPr>
        <w:pStyle w:val="Bibliography"/>
      </w:pPr>
      <w:r>
        <w:t xml:space="preserve">Cheshire, Jenny, Viv K. Edwards &amp; Pamela Whittle. 1989. Urban</w:t>
      </w:r>
      <w:r>
        <w:t xml:space="preserve"> </w:t>
      </w:r>
      <w:r>
        <w:t xml:space="preserve">British Dialect Grammar</w:t>
      </w:r>
      <w:r>
        <w:t xml:space="preserve">:</w:t>
      </w:r>
      <w:r>
        <w:t xml:space="preserve"> </w:t>
      </w:r>
      <w:r>
        <w:t xml:space="preserve">The Question</w:t>
      </w:r>
      <w:r>
        <w:t xml:space="preserve"> </w:t>
      </w:r>
      <w:r>
        <w:t xml:space="preserve">of</w:t>
      </w:r>
      <w:r>
        <w:t xml:space="preserve"> </w:t>
      </w:r>
      <w:r>
        <w:t xml:space="preserve">Dialect Levelling</w:t>
      </w:r>
      <w:r>
        <w:t xml:space="preserve">.</w:t>
      </w:r>
      <w:r>
        <w:t xml:space="preserve"> </w:t>
      </w:r>
      <w:r>
        <w:rPr>
          <w:iCs/>
          <w:i/>
        </w:rPr>
        <w:t xml:space="preserve">English World-Wide</w:t>
      </w:r>
      <w:r>
        <w:t xml:space="preserve"> </w:t>
      </w:r>
      <w:r>
        <w:t xml:space="preserve">10(2).</w:t>
      </w:r>
      <w:r>
        <w:t xml:space="preserve"> </w:t>
      </w:r>
      <w:r>
        <w:t xml:space="preserve">John Benjamins</w:t>
      </w:r>
      <w:r>
        <w:t xml:space="preserve">. 185–225. doi:</w:t>
      </w:r>
      <w:hyperlink r:id="rId23">
        <w:r>
          <w:rPr>
            <w:rStyle w:val="Hyperlink"/>
          </w:rPr>
          <w:t xml:space="preserve">10.1075/eww.10.2.02che</w:t>
        </w:r>
      </w:hyperlink>
      <w:r>
        <w:t xml:space="preserve">.</w:t>
      </w:r>
    </w:p>
    <w:bookmarkEnd w:id="24"/>
    <w:bookmarkStart w:id="25" w:name="ref-filppula_irish_2004"/>
    <w:p>
      <w:pPr>
        <w:pStyle w:val="Bibliography"/>
      </w:pPr>
      <w:r>
        <w:t xml:space="preserve">Filppula, Markku. 2004. Irish</w:t>
      </w:r>
      <w:r>
        <w:t xml:space="preserve"> </w:t>
      </w:r>
      <w:r>
        <w:t xml:space="preserve">English</w:t>
      </w:r>
      <w:r>
        <w:t xml:space="preserve">: Morphology and syntax. In Bernd Kortmann, Edgar Schneider, Kate Burridge, Raj Mesthrie &amp; Clive Upton (eds.),</w:t>
      </w:r>
      <w: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Handbook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Varieties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English</w:t>
      </w:r>
      <w:r>
        <w:t xml:space="preserve">, vol. 2: Morphology and Syntax, 73–101.</w:t>
      </w:r>
      <w:r>
        <w:t xml:space="preserve"> </w:t>
      </w:r>
      <w:r>
        <w:t xml:space="preserve">Berlin</w:t>
      </w:r>
      <w:r>
        <w:t xml:space="preserve">:</w:t>
      </w:r>
      <w:r>
        <w:t xml:space="preserve"> </w:t>
      </w:r>
      <w:r>
        <w:t xml:space="preserve">Mouton de Gruyter</w:t>
      </w:r>
      <w:r>
        <w:t xml:space="preserve">.</w:t>
      </w:r>
    </w:p>
    <w:bookmarkEnd w:id="25"/>
    <w:bookmarkStart w:id="27" w:name="ref-klemola_still_1999"/>
    <w:p>
      <w:pPr>
        <w:pStyle w:val="Bibliography"/>
      </w:pPr>
      <w:r>
        <w:t xml:space="preserve">Klemola, Juhani. 1999. Still sat in your car?</w:t>
      </w:r>
      <w:r>
        <w:t xml:space="preserve"> </w:t>
      </w:r>
      <w:r>
        <w:t xml:space="preserve">Pseudopassives</w:t>
      </w:r>
      <w:r>
        <w:t xml:space="preserve"> </w:t>
      </w:r>
      <w:r>
        <w:t xml:space="preserve">with sat and stood and the history of non-standard varieties of</w:t>
      </w:r>
      <w:r>
        <w:t xml:space="preserve"> </w:t>
      </w:r>
      <w:r>
        <w:t xml:space="preserve">English English</w:t>
      </w:r>
      <w:r>
        <w:t xml:space="preserve">.</w:t>
      </w:r>
      <w:r>
        <w:t xml:space="preserve"> </w:t>
      </w:r>
      <w:r>
        <w:rPr>
          <w:iCs/>
          <w:i/>
        </w:rPr>
        <w:t xml:space="preserve">Sociolinguistica</w:t>
      </w:r>
      <w:r>
        <w:t xml:space="preserve"> </w:t>
      </w:r>
      <w:r>
        <w:t xml:space="preserve">13(1).</w:t>
      </w:r>
      <w:r>
        <w:t xml:space="preserve"> </w:t>
      </w:r>
      <w:r>
        <w:t xml:space="preserve">De Gruyter</w:t>
      </w:r>
      <w:r>
        <w:t xml:space="preserve">. 129–140. doi:</w:t>
      </w:r>
      <w:hyperlink r:id="rId26">
        <w:r>
          <w:rPr>
            <w:rStyle w:val="Hyperlink"/>
          </w:rPr>
          <w:t xml:space="preserve">10.1515/9783110245189.129</w:t>
        </w:r>
      </w:hyperlink>
      <w:r>
        <w:t xml:space="preserve">.</w:t>
      </w:r>
    </w:p>
    <w:bookmarkEnd w:id="27"/>
    <w:bookmarkStart w:id="28" w:name="ref-kortmann_electronic_2014"/>
    <w:p>
      <w:pPr>
        <w:pStyle w:val="Bibliography"/>
      </w:pPr>
      <w:r>
        <w:t xml:space="preserve">Kortmann, Bernd &amp; Kerstin Lunkenheimer. 2014. The electronic world atlas of varieties of</w:t>
      </w:r>
      <w:r>
        <w:t xml:space="preserve"> </w:t>
      </w:r>
      <w:r>
        <w:t xml:space="preserve">English</w:t>
      </w:r>
      <w:r>
        <w:t xml:space="preserve">. http://ewave-atlas.org.</w:t>
      </w:r>
    </w:p>
    <w:bookmarkEnd w:id="28"/>
    <w:bookmarkStart w:id="29" w:name="ref-kyto_be_1997"/>
    <w:p>
      <w:pPr>
        <w:pStyle w:val="Bibliography"/>
      </w:pPr>
      <w:r>
        <w:t xml:space="preserve">Kytö, Merja. 1997.</w:t>
      </w:r>
      <w:r>
        <w:t xml:space="preserve"> </w:t>
      </w:r>
      <w:r>
        <w:rPr>
          <w:iCs/>
          <w:i/>
        </w:rPr>
        <w:t xml:space="preserve">Be/Have</w:t>
      </w:r>
      <w:r>
        <w:t xml:space="preserve"> </w:t>
      </w:r>
      <w:r>
        <w:t xml:space="preserve">+ past participle:</w:t>
      </w:r>
      <w:r>
        <w:t xml:space="preserve"> </w:t>
      </w:r>
      <w:r>
        <w:t xml:space="preserve">The</w:t>
      </w:r>
      <w:r>
        <w:t xml:space="preserve"> </w:t>
      </w:r>
      <w:r>
        <w:t xml:space="preserve">choice of the auxiliary with intransitives from</w:t>
      </w:r>
      <w:r>
        <w:t xml:space="preserve"> </w:t>
      </w:r>
      <w:r>
        <w:t xml:space="preserve">Late Middle</w:t>
      </w:r>
      <w:r>
        <w:t xml:space="preserve"> </w:t>
      </w:r>
      <w:r>
        <w:t xml:space="preserve">to</w:t>
      </w:r>
      <w:r>
        <w:t xml:space="preserve"> </w:t>
      </w:r>
      <w:r>
        <w:t xml:space="preserve">Modern English</w:t>
      </w:r>
      <w:r>
        <w:t xml:space="preserve">. In Matti Rissanen, Merja Kytö &amp; Kirsi Heikkonen (eds.),</w:t>
      </w:r>
      <w:r>
        <w:t xml:space="preserve"> </w:t>
      </w:r>
      <w:r>
        <w:rPr>
          <w:iCs/>
          <w:i/>
        </w:rPr>
        <w:t xml:space="preserve">English in transition</w:t>
      </w:r>
      <w:r>
        <w:t xml:space="preserve">, 17–86.</w:t>
      </w:r>
      <w:r>
        <w:t xml:space="preserve"> </w:t>
      </w:r>
      <w:r>
        <w:t xml:space="preserve">Berlin ; New York</w:t>
      </w:r>
      <w:r>
        <w:t xml:space="preserve">:</w:t>
      </w:r>
      <w:r>
        <w:t xml:space="preserve"> </w:t>
      </w:r>
      <w:r>
        <w:t xml:space="preserve">Mouton de Gruyter</w:t>
      </w:r>
      <w:r>
        <w:t xml:space="preserve">.</w:t>
      </w:r>
    </w:p>
    <w:bookmarkEnd w:id="29"/>
    <w:bookmarkStart w:id="30" w:name="ref-melchers_english_2004"/>
    <w:p>
      <w:pPr>
        <w:pStyle w:val="Bibliography"/>
      </w:pPr>
      <w:r>
        <w:t xml:space="preserve">Melchers, Gunnel. 2004. English spoken in</w:t>
      </w:r>
      <w:r>
        <w:t xml:space="preserve"> </w:t>
      </w:r>
      <w:r>
        <w:t xml:space="preserve">Orkney</w:t>
      </w:r>
      <w:r>
        <w:t xml:space="preserve"> </w:t>
      </w:r>
      <w:r>
        <w:t xml:space="preserve">and</w:t>
      </w:r>
      <w:r>
        <w:t xml:space="preserve"> </w:t>
      </w:r>
      <w:r>
        <w:t xml:space="preserve">Shetland</w:t>
      </w:r>
      <w:r>
        <w:t xml:space="preserve">: Morphology, syntax, and lexicon. In Bernd Kortmann, Edgar Schneider, Kate Burridge, Raj Mesthrie &amp; Clive Upton (eds.),</w:t>
      </w:r>
      <w: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Handbook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Varieties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English</w:t>
      </w:r>
      <w:r>
        <w:t xml:space="preserve">, vol. 2, 34–46.</w:t>
      </w:r>
      <w:r>
        <w:t xml:space="preserve"> </w:t>
      </w:r>
      <w:r>
        <w:t xml:space="preserve">Berlin</w:t>
      </w:r>
      <w:r>
        <w:t xml:space="preserve">:</w:t>
      </w:r>
      <w:r>
        <w:t xml:space="preserve"> </w:t>
      </w:r>
      <w:r>
        <w:t xml:space="preserve">Mouton de Gruyter</w:t>
      </w:r>
      <w:r>
        <w:t xml:space="preserve">.</w:t>
      </w:r>
    </w:p>
    <w:bookmarkEnd w:id="30"/>
    <w:bookmarkStart w:id="32" w:name="ref-montgomery_historical_2009"/>
    <w:p>
      <w:pPr>
        <w:pStyle w:val="Bibliography"/>
      </w:pPr>
      <w:r>
        <w:t xml:space="preserve">Montgomery, Michael B. 2009. Historical and comparative perspectives on</w:t>
      </w:r>
      <w:r>
        <w:t xml:space="preserve"> </w:t>
      </w:r>
      <w:r>
        <w:rPr>
          <w:iCs/>
          <w:i/>
        </w:rPr>
        <w:t xml:space="preserve">A</w:t>
      </w:r>
      <w:r>
        <w:t xml:space="preserve">-prefixing in the</w:t>
      </w:r>
      <w:r>
        <w:t xml:space="preserve"> </w:t>
      </w:r>
      <w:r>
        <w:t xml:space="preserve">English</w:t>
      </w:r>
      <w:r>
        <w:t xml:space="preserve"> </w:t>
      </w:r>
      <w:r>
        <w:t xml:space="preserve">of</w:t>
      </w:r>
      <w:r>
        <w:t xml:space="preserve"> </w:t>
      </w:r>
      <w:r>
        <w:t xml:space="preserve">Appalachia</w:t>
      </w:r>
      <w:r>
        <w:t xml:space="preserve">.</w:t>
      </w:r>
      <w:r>
        <w:t xml:space="preserve"> </w:t>
      </w:r>
      <w:r>
        <w:rPr>
          <w:iCs/>
          <w:i/>
        </w:rPr>
        <w:t xml:space="preserve">American Speech</w:t>
      </w:r>
      <w:r>
        <w:t xml:space="preserve"> </w:t>
      </w:r>
      <w:r>
        <w:t xml:space="preserve">84(1). 5–26. doi:</w:t>
      </w:r>
      <w:hyperlink r:id="rId31">
        <w:r>
          <w:rPr>
            <w:rStyle w:val="Hyperlink"/>
          </w:rPr>
          <w:t xml:space="preserve">10.1215/00031283-2009-002</w:t>
        </w:r>
      </w:hyperlink>
      <w:r>
        <w:t xml:space="preserve">.</w:t>
      </w:r>
    </w:p>
    <w:bookmarkEnd w:id="32"/>
    <w:bookmarkStart w:id="34" w:name="ref-stange_was_2016"/>
    <w:p>
      <w:pPr>
        <w:pStyle w:val="Bibliography"/>
      </w:pPr>
      <w:r>
        <w:t xml:space="preserve">Stange, Ulrike. 2016. I was sat there talking all night: A corpus-based study on factors governing intra-dialectal variation in</w:t>
      </w:r>
      <w:r>
        <w:t xml:space="preserve"> </w:t>
      </w:r>
      <w:r>
        <w:t xml:space="preserve">British English</w:t>
      </w:r>
      <w:r>
        <w:t xml:space="preserve"> </w:t>
      </w:r>
      <w:r>
        <w:t xml:space="preserve">1.</w:t>
      </w:r>
      <w:r>
        <w:t xml:space="preserve"> </w:t>
      </w:r>
      <w:r>
        <w:rPr>
          <w:iCs/>
          <w:i/>
        </w:rPr>
        <w:t xml:space="preserve">English Language &amp; Linguistics</w:t>
      </w:r>
      <w:r>
        <w:t xml:space="preserve"> </w:t>
      </w:r>
      <w:r>
        <w:t xml:space="preserve">20(3).</w:t>
      </w:r>
      <w:r>
        <w:t xml:space="preserve"> </w:t>
      </w:r>
      <w:r>
        <w:t xml:space="preserve">Cambridge University Press</w:t>
      </w:r>
      <w:r>
        <w:t xml:space="preserve">. 511–531. doi:</w:t>
      </w:r>
      <w:hyperlink r:id="rId33">
        <w:r>
          <w:rPr>
            <w:rStyle w:val="Hyperlink"/>
          </w:rPr>
          <w:t xml:space="preserve">10.1017/S1360674316000319</w:t>
        </w:r>
      </w:hyperlink>
      <w:r>
        <w:t xml:space="preserve">.</w:t>
      </w:r>
    </w:p>
    <w:bookmarkEnd w:id="34"/>
    <w:bookmarkStart w:id="36" w:name="ref-strelluf_needs_2020"/>
    <w:p>
      <w:pPr>
        <w:pStyle w:val="Bibliography"/>
      </w:pPr>
      <w:r>
        <w:t xml:space="preserve">Strelluf, Christopher. 2020.</w:t>
      </w:r>
      <w:r>
        <w:t xml:space="preserve"> </w:t>
      </w:r>
      <w:r>
        <w:rPr>
          <w:iCs/>
          <w:i/>
        </w:rPr>
        <w:t xml:space="preserve">Needs</w:t>
      </w:r>
      <w:r>
        <w:t xml:space="preserve"> </w:t>
      </w:r>
      <w:r>
        <w:t xml:space="preserve">+</w:t>
      </w:r>
      <w:r>
        <w:t xml:space="preserve">PAST PARTICIPLE</w:t>
      </w:r>
      <w:r>
        <w:t xml:space="preserve"> </w:t>
      </w:r>
      <w:r>
        <w:t xml:space="preserve">in regional</w:t>
      </w:r>
      <w:r>
        <w:t xml:space="preserve"> </w:t>
      </w:r>
      <w:r>
        <w:t xml:space="preserve">Englishes</w:t>
      </w:r>
      <w:r>
        <w:t xml:space="preserve"> </w:t>
      </w:r>
      <w:r>
        <w:t xml:space="preserve">on</w:t>
      </w:r>
      <w:r>
        <w:t xml:space="preserve"> </w:t>
      </w:r>
      <w:r>
        <w:t xml:space="preserve">Twitter</w:t>
      </w:r>
      <w:r>
        <w:t xml:space="preserve">.</w:t>
      </w:r>
      <w:r>
        <w:t xml:space="preserve"> </w:t>
      </w:r>
      <w:r>
        <w:rPr>
          <w:iCs/>
          <w:i/>
        </w:rPr>
        <w:t xml:space="preserve">World Englishes</w:t>
      </w:r>
      <w:r>
        <w:t xml:space="preserve"> </w:t>
      </w:r>
      <w:r>
        <w:t xml:space="preserve">39(1). 119–134. doi:</w:t>
      </w:r>
      <w:hyperlink r:id="rId35">
        <w:r>
          <w:rPr>
            <w:rStyle w:val="Hyperlink"/>
          </w:rPr>
          <w:t xml:space="preserve">ggk4b6</w:t>
        </w:r>
      </w:hyperlink>
      <w:r>
        <w:t xml:space="preserve">.</w:t>
      </w:r>
    </w:p>
    <w:bookmarkEnd w:id="36"/>
    <w:bookmarkStart w:id="37" w:name="ref-werner_rise_2016"/>
    <w:p>
      <w:pPr>
        <w:pStyle w:val="Bibliography"/>
      </w:pPr>
      <w:r>
        <w:t xml:space="preserve">Werner, Valentin. 2016. Rise of the undead? Be-perfects in</w:t>
      </w:r>
      <w:r>
        <w:t xml:space="preserve"> </w:t>
      </w:r>
      <w:r>
        <w:t xml:space="preserve">World Englishes</w:t>
      </w:r>
      <w:r>
        <w:t xml:space="preserve">. In Valentin Werner, Elena Seoane &amp; Cristina Suárez Gómez (eds.),</w:t>
      </w:r>
      <w:r>
        <w:t xml:space="preserve"> </w:t>
      </w:r>
      <w:r>
        <w:rPr>
          <w:iCs/>
          <w:i/>
        </w:rPr>
        <w:t xml:space="preserve">Re-assessing the present perfect</w:t>
      </w:r>
      <w:r>
        <w:t xml:space="preserve">, 259–294. (Topics in</w:t>
      </w:r>
      <w:r>
        <w:t xml:space="preserve"> </w:t>
      </w:r>
      <w:r>
        <w:t xml:space="preserve">English</w:t>
      </w:r>
      <w:r>
        <w:t xml:space="preserve"> </w:t>
      </w:r>
      <w:r>
        <w:t xml:space="preserve">Linguistics volume 91).</w:t>
      </w:r>
      <w:r>
        <w:t xml:space="preserve"> </w:t>
      </w:r>
      <w:r>
        <w:t xml:space="preserve">Berlin ; Boston</w:t>
      </w:r>
      <w:r>
        <w:t xml:space="preserve">:</w:t>
      </w:r>
      <w:r>
        <w:t xml:space="preserve"> </w:t>
      </w:r>
      <w:r>
        <w:t xml:space="preserve">De Gruyter</w:t>
      </w:r>
      <w:r>
        <w:t xml:space="preserve">.</w:t>
      </w:r>
    </w:p>
    <w:bookmarkEnd w:id="37"/>
    <w:bookmarkStart w:id="38" w:name="ref-yerastov_reflexes_2016"/>
    <w:p>
      <w:pPr>
        <w:pStyle w:val="Bibliography"/>
      </w:pPr>
      <w:r>
        <w:t xml:space="preserve">Yerastov, Yuri. 2016. Reflexes of the transitive be perfect in</w:t>
      </w:r>
      <w:r>
        <w:t xml:space="preserve"> </w:t>
      </w:r>
      <w:r>
        <w:t xml:space="preserve">Canada</w:t>
      </w:r>
      <w:r>
        <w:t xml:space="preserve"> </w:t>
      </w:r>
      <w:r>
        <w:t xml:space="preserve">and in the</w:t>
      </w:r>
      <w:r>
        <w:t xml:space="preserve"> </w:t>
      </w:r>
      <w:r>
        <w:t xml:space="preserve">US</w:t>
      </w:r>
      <w:r>
        <w:t xml:space="preserve">: A comparative corpus study.</w:t>
      </w:r>
      <w:r>
        <w:t xml:space="preserve"> </w:t>
      </w:r>
      <w:r>
        <w:rPr>
          <w:iCs/>
          <w:i/>
        </w:rPr>
        <w:t xml:space="preserve">Dialectologia: revista electrònica</w:t>
      </w:r>
      <w:r>
        <w:t xml:space="preserve">. 167–199.</w:t>
      </w:r>
    </w:p>
    <w:bookmarkEnd w:id="38"/>
    <w:bookmarkEnd w:id="39"/>
    <w:bookmarkEnd w:id="40"/>
    <w:sectPr w:rsidR="00FD499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B2108080"/>
    <w:lvl w:ilvl="0">
      <w:start w:val="1"/>
      <w:numFmt w:val="decimal"/>
      <w:lvlText w:val="(%1)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(%2)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(%3)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(%4)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(%5)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(%6)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(%7)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(%8)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(%9)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C5CCCEA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47261BAD"/>
    <w:multiLevelType w:val="multilevel"/>
    <w:tmpl w:val="8A1E049E"/>
    <w:lvl w:ilvl="0">
      <w:start w:val="3"/>
      <w:numFmt w:val="decimal"/>
      <w:lvlText w:val="(%1)"/>
      <w:lvlJc w:val="left"/>
      <w:pPr>
        <w:tabs>
          <w:tab w:pos="0" w:val="num"/>
        </w:tabs>
        <w:ind w:hanging="480" w:left="480"/>
      </w:pPr>
    </w:lvl>
    <w:lvl w:ilvl="1">
      <w:start w:val="3"/>
      <w:numFmt w:val="decimal"/>
      <w:lvlText w:val="(%2)"/>
      <w:lvlJc w:val="left"/>
      <w:pPr>
        <w:tabs>
          <w:tab w:pos="720" w:val="num"/>
        </w:tabs>
        <w:ind w:hanging="480" w:left="1200"/>
      </w:pPr>
    </w:lvl>
    <w:lvl w:ilvl="2">
      <w:start w:val="3"/>
      <w:numFmt w:val="decimal"/>
      <w:lvlText w:val="(%3)"/>
      <w:lvlJc w:val="left"/>
      <w:pPr>
        <w:tabs>
          <w:tab w:pos="1440" w:val="num"/>
        </w:tabs>
        <w:ind w:hanging="480" w:left="1920"/>
      </w:pPr>
    </w:lvl>
    <w:lvl w:ilvl="3">
      <w:start w:val="3"/>
      <w:numFmt w:val="decimal"/>
      <w:lvlText w:val="(%4)"/>
      <w:lvlJc w:val="left"/>
      <w:pPr>
        <w:tabs>
          <w:tab w:pos="2160" w:val="num"/>
        </w:tabs>
        <w:ind w:hanging="480" w:left="2640"/>
      </w:pPr>
    </w:lvl>
    <w:lvl w:ilvl="4">
      <w:start w:val="3"/>
      <w:numFmt w:val="decimal"/>
      <w:lvlText w:val="(%5)"/>
      <w:lvlJc w:val="left"/>
      <w:pPr>
        <w:tabs>
          <w:tab w:pos="2880" w:val="num"/>
        </w:tabs>
        <w:ind w:hanging="480" w:left="3360"/>
      </w:pPr>
    </w:lvl>
    <w:lvl w:ilvl="5">
      <w:start w:val="3"/>
      <w:numFmt w:val="decimal"/>
      <w:lvlText w:val="(%6)"/>
      <w:lvlJc w:val="left"/>
      <w:pPr>
        <w:tabs>
          <w:tab w:pos="3600" w:val="num"/>
        </w:tabs>
        <w:ind w:hanging="480" w:left="4080"/>
      </w:pPr>
    </w:lvl>
    <w:lvl w:ilvl="6">
      <w:start w:val="3"/>
      <w:numFmt w:val="decimal"/>
      <w:lvlText w:val="(%7)"/>
      <w:lvlJc w:val="left"/>
      <w:pPr>
        <w:tabs>
          <w:tab w:pos="4320" w:val="num"/>
        </w:tabs>
        <w:ind w:hanging="480" w:left="4800"/>
      </w:pPr>
    </w:lvl>
    <w:lvl w:ilvl="7">
      <w:start w:val="3"/>
      <w:numFmt w:val="decimal"/>
      <w:lvlText w:val="(%8)"/>
      <w:lvlJc w:val="left"/>
      <w:pPr>
        <w:tabs>
          <w:tab w:pos="5040" w:val="num"/>
        </w:tabs>
        <w:ind w:hanging="480" w:left="5520"/>
      </w:pPr>
    </w:lvl>
    <w:lvl w:ilvl="8">
      <w:start w:val="3"/>
      <w:numFmt w:val="decimal"/>
      <w:lvlText w:val="(%9)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71315DCA"/>
    <w:multiLevelType w:val="multilevel"/>
    <w:tmpl w:val="16B0E08A"/>
    <w:lvl w:ilvl="0">
      <w:start w:val="1"/>
      <w:numFmt w:val="lowerLetter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Letter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Letter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Letter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lowerLetter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Letter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Letter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lowerLetter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lowerLetter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331">
    <w:nsid w:val="A993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A49C5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DA49C5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A49C5"/>
    <w:pPr>
      <w:keepNext/>
      <w:keepLines/>
      <w:spacing w:after="240"/>
      <w:jc w:val="center"/>
    </w:pPr>
    <w:rPr>
      <w:rFonts w:cstheme="majorBidi" w:eastAsiaTheme="majorEastAsia"/>
      <w:b/>
      <w:bC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DA49C5"/>
    <w:pPr>
      <w:ind w:hanging="720" w:left="720"/>
    </w:pPr>
    <w:rPr>
      <w:sz w:val="22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1A19DE"/>
    <w:pPr>
      <w:keepNext/>
    </w:pPr>
    <w:rPr>
      <w:i w:val="0"/>
    </w:rPr>
  </w:style>
  <w:style w:customStyle="1" w:styleId="ImageCaption" w:type="paragraph">
    <w:name w:val="Image Caption"/>
    <w:basedOn w:val="Caption"/>
    <w:rsid w:val="00701859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C109A5"/>
    <w:pPr>
      <w:keepNext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aption1" w:type="paragraph">
    <w:name w:val="Caption1"/>
    <w:basedOn w:val="Normal"/>
    <w:link w:val="captionChar0"/>
    <w:qFormat/>
    <w:rsid w:val="00637640"/>
  </w:style>
  <w:style w:customStyle="1" w:styleId="captionChar0" w:type="character">
    <w:name w:val="caption Char"/>
    <w:basedOn w:val="DefaultParagraphFont"/>
    <w:link w:val="Caption1"/>
    <w:rsid w:val="00637640"/>
    <w:rPr>
      <w:rFonts w:ascii="Times New Roman" w:hAnsi="Times New Roman"/>
    </w:rPr>
  </w:style>
  <w:style w:styleId="TableGrid" w:type="table">
    <w:name w:val="Table Grid"/>
    <w:basedOn w:val="TableNormal"/>
    <w:rsid w:val="001A19DE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hyperlink" Id="rId33" Target="https://doi.org/10.1017/S1360674316000319" TargetMode="External" /><Relationship Type="http://schemas.openxmlformats.org/officeDocument/2006/relationships/hyperlink" Id="rId23" Target="https://doi.org/10.1075/eww.10.2.02che" TargetMode="External" /><Relationship Type="http://schemas.openxmlformats.org/officeDocument/2006/relationships/hyperlink" Id="rId31" Target="https://doi.org/10.1215/00031283-2009-002" TargetMode="External" /><Relationship Type="http://schemas.openxmlformats.org/officeDocument/2006/relationships/hyperlink" Id="rId26" Target="https://doi.org/10.1515/9783110245189.129" TargetMode="External" /><Relationship Type="http://schemas.openxmlformats.org/officeDocument/2006/relationships/hyperlink" Id="rId35" Target="https://doi.org/ggk4b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17/S1360674316000319" TargetMode="External" /><Relationship Type="http://schemas.openxmlformats.org/officeDocument/2006/relationships/hyperlink" Id="rId23" Target="https://doi.org/10.1075/eww.10.2.02che" TargetMode="External" /><Relationship Type="http://schemas.openxmlformats.org/officeDocument/2006/relationships/hyperlink" Id="rId31" Target="https://doi.org/10.1215/00031283-2009-002" TargetMode="External" /><Relationship Type="http://schemas.openxmlformats.org/officeDocument/2006/relationships/hyperlink" Id="rId26" Target="https://doi.org/10.1515/9783110245189.129" TargetMode="External" /><Relationship Type="http://schemas.openxmlformats.org/officeDocument/2006/relationships/hyperlink" Id="rId35" Target="https://doi.org/ggk4b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Something somthing the curious case of BE sat</vt:lpstr>
    </vt:vector>
  </TitlesOfParts>
  <Company>UoB IT Services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Explaining regional patterns in morphosyntactic dialect features: The case of BE sat/stood in England and beyond</dc:title>
  <dc:creator/>
  <cp:keywords/>
  <dcterms:created xsi:type="dcterms:W3CDTF">2022-03-09T10:32:51Z</dcterms:created>
  <dcterms:modified xsi:type="dcterms:W3CDTF">2022-03-09T10:32:51Z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be_sat_refs.bib</vt:lpwstr>
  </property>
  <property fmtid="{D5CDD505-2E9C-101B-9397-08002B2CF9AE}" pid="3" name="csl">
    <vt:lpwstr>unified-style-linguistics.csl</vt:lpwstr>
  </property>
  <property fmtid="{D5CDD505-2E9C-101B-9397-08002B2CF9AE}" pid="4" name="date">
    <vt:lpwstr/>
  </property>
  <property fmtid="{D5CDD505-2E9C-101B-9397-08002B2CF9AE}" pid="5" name="output">
    <vt:lpwstr/>
  </property>
</Properties>
</file>