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4"/>
        </w:rPr>
        <w:t xml:space="preserve">Table </w:t>
      </w:r>
      <w:r>
        <w:fldChar w:fldCharType="begin" w:dirty="true"/>
      </w:r>
      <w:r>
        <w:instrText xml:space="preserve" w:dirty="true"> SEQ Table \* ARABIC </w:instrText>
      </w:r>
      <w:r>
        <w:fldChar w:fldCharType="separate" w:dirty="true"/>
      </w:r>
      <w:r>
        <w:rPr>
          <w:noProof/>
          <w:rFonts w:ascii="Calibri" w:hAnsi="Calibri"/>
          <w:sz w:val="24"/>
        </w:rPr>
        <w:t xml:space="default">1</w:t>
      </w:r>
      <w:r>
        <w:fldChar w:fldCharType="end" w:dirty="true"/>
      </w:r>
      <w:r>
        <w:rPr>
          <w:rFonts w:ascii="Calibri" w:hAnsi="Calibri"/>
          <w:sz w:val="24"/>
        </w:rPr>
        <w:t xml:space="preserve">: </w:t>
      </w:r>
      <w:r>
        <w:rPr>
          <w:rFonts w:ascii="Calibri" w:hAnsi="Calibri"/>
          <w:sz w:val="24"/>
          <w:color w:val="333333"/>
        </w:rPr>
        <w:t xml:space="default">Land Cover Change within Wilderness Areas</w:t>
      </w:r>
    </w:p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0"/>
          <w:color w:val="333333"/>
        </w:rPr>
        <w:t xml:space="default">1989–2024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Land cover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1989 (ha)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2024 (ha)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Net change (ha)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Evergreen Forest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8,445,969.4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6,813,526.2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-1,632,443.1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Mixed Forest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410,321.2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348,675.2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-61,646.0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Open Water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387,849.3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383,795.4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-4,054.0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Perennial Ice/Snow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64,218.1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64,218.0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Developed High Intensity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30.3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36.7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Cultivated Crops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86.8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217.9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131.1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Pasture/Hay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561.4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785.2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223.8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Developed, Medium Intensity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987.5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1,261.9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274.4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Woody Wetlands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553,164.9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553,525.1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360.2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Developed, Open Space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7,672.3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9,200.8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1,528.5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Developed, Low Intensity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6,451.6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8,293.7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1,842.1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Emergent Herbaceous Wetlands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283,946.7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287,426.2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3,479.5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Deciduous Forest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479,113.0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485,456.4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6,343.4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Barren Land (Rock/Sand/Clay)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1,477,931.5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1,503,142.4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25,210.9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Grassland/Herbaceous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926,773.7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1,492,480.5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565,706.9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Shrub/Scrub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9,305,568.7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10,398,604.8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1,093,036.1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2026-09-29T19:57:26Z</dcterms:created>
  <dcterms:modified xsi:type="dcterms:W3CDTF">2026-09-29T19:57:26Z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