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Erythema multiforme</w:t>
            </w:r>
          </w:p>
        </w:tc>
        <w:tc>
          <w:tcPr/>
          <w:p>
            <w:pPr>
              <w:pStyle w:val="Compact"/>
            </w:pPr>
            <w:r>
              <w:t xml:space="preserve">Acute, acral, three-zone targetoid lesions, often after herpes simplex</w:t>
            </w:r>
          </w:p>
        </w:tc>
        <w:tc>
          <w:tcPr/>
          <w:p>
            <w:pPr>
              <w:pStyle w:val="Compact"/>
            </w:pPr>
            <w:r>
              <w:t xml:space="preserve">True targets with three concentric zones on hands and feet</w:t>
            </w:r>
          </w:p>
        </w:tc>
        <w:tc>
          <w:tcPr/>
          <w:p>
            <w:pPr>
              <w:pStyle w:val="Compact"/>
            </w:pPr>
            <w:r>
              <w:t xml:space="preserve">Urticaria multiforme → transient annular wheals, individual lesions under 24 hours</w:t>
            </w:r>
          </w:p>
        </w:tc>
      </w:tr>
      <w:tr>
        <w:tc>
          <w:tcPr/>
          <w:p>
            <w:pPr>
              <w:pStyle w:val="Compact"/>
            </w:pPr>
            <w:r>
              <w:t xml:space="preserve">Pyoderma gangrenosum</w:t>
            </w:r>
          </w:p>
        </w:tc>
        <w:tc>
          <w:tcPr/>
          <w:p>
            <w:pPr>
              <w:pStyle w:val="Compact"/>
            </w:pPr>
            <w:r>
              <w:t xml:space="preserve">Subacute, rapidly enlarging painful ulcer with a violaceous undermined border and pathergy</w:t>
            </w:r>
          </w:p>
        </w:tc>
        <w:tc>
          <w:tcPr/>
          <w:p>
            <w:pPr>
              <w:pStyle w:val="Compact"/>
            </w:pPr>
            <w:r>
              <w:t xml:space="preserve">Neutrophilic dermatosis, so trauma worsens it and debridement is harmful</w:t>
            </w:r>
          </w:p>
        </w:tc>
        <w:tc>
          <w:tcPr/>
          <w:p>
            <w:pPr>
              <w:pStyle w:val="Compact"/>
            </w:pPr>
            <w:r>
              <w:t xml:space="preserve">Infected ulcer → responds to antibiotics, no undermined violaceous edge</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2026-09-01T20:32:07Z</dcterms:created>
  <dcterms:modified xsi:type="dcterms:W3CDTF">2026-09-01T20:32:07Z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