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B329" w14:textId="107A0679" w:rsidR="006B1047" w:rsidRDefault="006B1047" w:rsidP="000576B3">
      <w:pPr>
        <w:pStyle w:val="Title"/>
      </w:pPr>
      <w:r w:rsidRPr="006B1047">
        <w:t>AK4183</w:t>
      </w:r>
      <w:r>
        <w:t xml:space="preserve"> </w:t>
      </w:r>
      <w:r w:rsidRPr="006B1047">
        <w:t>Model Risiko II dan Simulasi</w:t>
      </w:r>
    </w:p>
    <w:p w14:paraId="345714F8" w14:textId="0BCC2CBD" w:rsidR="00140086" w:rsidRPr="00140086" w:rsidRDefault="00140086" w:rsidP="00140086">
      <w:pPr>
        <w:pStyle w:val="Title"/>
      </w:pPr>
      <w:r>
        <w:t>TUGAS I</w:t>
      </w:r>
    </w:p>
    <w:p w14:paraId="39EAE97C" w14:textId="77777777" w:rsidR="000576B3" w:rsidRDefault="000576B3" w:rsidP="000576B3">
      <w:r>
        <w:t>Nama: Jason Hadinata Putra</w:t>
      </w:r>
    </w:p>
    <w:p w14:paraId="02F5AE5B" w14:textId="403A08D1" w:rsidR="000576B3" w:rsidRDefault="000576B3" w:rsidP="000576B3">
      <w:r>
        <w:t>NIM: 10819013</w:t>
      </w:r>
    </w:p>
    <w:p w14:paraId="669D7A49" w14:textId="74CD1F3C" w:rsidR="00CC140B" w:rsidRDefault="00CC140B" w:rsidP="00CC140B">
      <w:pPr>
        <w:pStyle w:val="Heading1"/>
        <w:numPr>
          <w:ilvl w:val="0"/>
          <w:numId w:val="1"/>
        </w:numPr>
      </w:pPr>
      <w:r>
        <w:t>Skenario</w:t>
      </w:r>
    </w:p>
    <w:p w14:paraId="54BE260B" w14:textId="77777777" w:rsidR="0050745D" w:rsidRDefault="00576937" w:rsidP="00CC140B">
      <w:r>
        <w:t>Misal akan dilihat distribusi dari ukuran panjang kaki lansia wanita di Australia. Menurut Mickle et al. (2010), ukuran panjang kaki lansia wanita di Australia memiliki rata-rata 245.7 mm dan standar deviasi 13.5 mm.</w:t>
      </w:r>
      <w:r w:rsidR="0050745D">
        <w:t xml:space="preserve"> Diasumsikan ukuran panjang kaki tersebut berdistribusi normal.</w:t>
      </w:r>
    </w:p>
    <w:p w14:paraId="29CFABE6" w14:textId="204A560F" w:rsidR="0050745D" w:rsidRDefault="0050745D" w:rsidP="00CC140B">
      <w:r>
        <w:t xml:space="preserve">Misal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9A2AE1">
        <w:t xml:space="preserve">peubah acak berdistribusi normal dengan rata-rata 245.7 dan standar deviasi 13.5. Dibangkitkan sampel berukuran 100 dari peubah acak tersebut. </w:t>
      </w:r>
      <w:r w:rsidR="00704490">
        <w:t>Pembangkitan sampel acak tersebut dilakukan menggunakan Python dan package SciPy. Kode yang digunakan dapat dilihat di bawah.</w:t>
      </w:r>
    </w:p>
    <w:p w14:paraId="4D2784EA" w14:textId="77777777" w:rsidR="00704490" w:rsidRPr="00704490" w:rsidRDefault="00704490" w:rsidP="007044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704490">
        <w:rPr>
          <w:rFonts w:ascii="Courier New" w:eastAsia="Times New Roman" w:hAnsi="Courier New" w:cs="Courier New"/>
          <w:color w:val="C586C0"/>
          <w:sz w:val="20"/>
          <w:szCs w:val="20"/>
        </w:rPr>
        <w:t>from</w:t>
      </w: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 scipy </w:t>
      </w:r>
      <w:r w:rsidRPr="00704490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 stats</w:t>
      </w:r>
    </w:p>
    <w:p w14:paraId="0022DEDA" w14:textId="77777777" w:rsidR="00704490" w:rsidRPr="00704490" w:rsidRDefault="00704490" w:rsidP="007044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SEED = </w:t>
      </w:r>
      <w:r w:rsidRPr="00704490">
        <w:rPr>
          <w:rFonts w:ascii="Courier New" w:eastAsia="Times New Roman" w:hAnsi="Courier New" w:cs="Courier New"/>
          <w:color w:val="B5CEA8"/>
          <w:sz w:val="20"/>
          <w:szCs w:val="20"/>
        </w:rPr>
        <w:t>42</w:t>
      </w:r>
    </w:p>
    <w:p w14:paraId="54CBFC81" w14:textId="77777777" w:rsidR="00704490" w:rsidRPr="00704490" w:rsidRDefault="00704490" w:rsidP="007044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30A2BA41" w14:textId="77777777" w:rsidR="00704490" w:rsidRPr="00704490" w:rsidRDefault="00704490" w:rsidP="007044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sample = </w:t>
      </w:r>
      <w:proofErr w:type="gramStart"/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stats.norm.rvs</w:t>
      </w:r>
      <w:r w:rsidRPr="00704490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loc=</w:t>
      </w:r>
      <w:r w:rsidRPr="00704490">
        <w:rPr>
          <w:rFonts w:ascii="Courier New" w:eastAsia="Times New Roman" w:hAnsi="Courier New" w:cs="Courier New"/>
          <w:color w:val="B5CEA8"/>
          <w:sz w:val="20"/>
          <w:szCs w:val="20"/>
        </w:rPr>
        <w:t>245.7</w:t>
      </w:r>
      <w:r w:rsidRPr="00704490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 scale=</w:t>
      </w:r>
      <w:r w:rsidRPr="00704490">
        <w:rPr>
          <w:rFonts w:ascii="Courier New" w:eastAsia="Times New Roman" w:hAnsi="Courier New" w:cs="Courier New"/>
          <w:color w:val="B5CEA8"/>
          <w:sz w:val="20"/>
          <w:szCs w:val="20"/>
        </w:rPr>
        <w:t>13.5</w:t>
      </w:r>
      <w:r w:rsidRPr="00704490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 size=</w:t>
      </w:r>
      <w:r w:rsidRPr="00704490">
        <w:rPr>
          <w:rFonts w:ascii="Courier New" w:eastAsia="Times New Roman" w:hAnsi="Courier New" w:cs="Courier New"/>
          <w:color w:val="B5CEA8"/>
          <w:sz w:val="20"/>
          <w:szCs w:val="20"/>
        </w:rPr>
        <w:t>100</w:t>
      </w:r>
      <w:r w:rsidRPr="00704490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 random_state=SEED</w:t>
      </w:r>
      <w:r w:rsidRPr="00704490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6DD02C39" w14:textId="77777777" w:rsidR="00704490" w:rsidRPr="00704490" w:rsidRDefault="00704490" w:rsidP="007044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704490">
        <w:rPr>
          <w:rFonts w:ascii="Courier New" w:eastAsia="Times New Roman" w:hAnsi="Courier New" w:cs="Courier New"/>
          <w:color w:val="D4D4D4"/>
          <w:sz w:val="20"/>
          <w:szCs w:val="20"/>
        </w:rPr>
        <w:t>sample</w:t>
      </w:r>
    </w:p>
    <w:p w14:paraId="5D20FBA2" w14:textId="6D113C91" w:rsidR="00704490" w:rsidRPr="0050745D" w:rsidRDefault="006B1047" w:rsidP="006B1047">
      <w:pPr>
        <w:rPr>
          <w:rFonts w:asciiTheme="minorHAnsi" w:hAnsiTheme="minorHAnsi"/>
        </w:rPr>
      </w:pPr>
      <w:r>
        <w:br/>
      </w:r>
      <w:r w:rsidR="00704490">
        <w:t xml:space="preserve">Empat observasi pertama yang dihasilkan adalah </w:t>
      </w:r>
      <w:r w:rsidR="00704490" w:rsidRPr="00704490">
        <w:t xml:space="preserve">252.40564107, 243.83343193, 254.44379526, </w:t>
      </w:r>
      <w:r w:rsidR="00704490">
        <w:t xml:space="preserve">dan </w:t>
      </w:r>
      <w:r w:rsidR="00704490" w:rsidRPr="00704490">
        <w:t>266.26090306</w:t>
      </w:r>
      <w:r w:rsidR="00704490">
        <w:t>.</w:t>
      </w:r>
    </w:p>
    <w:p w14:paraId="1745C7DB" w14:textId="55190FA0" w:rsidR="00704490" w:rsidRDefault="00704490" w:rsidP="00704490">
      <w:pPr>
        <w:pStyle w:val="Heading1"/>
        <w:numPr>
          <w:ilvl w:val="0"/>
          <w:numId w:val="1"/>
        </w:numPr>
      </w:pPr>
      <w:r>
        <w:t>Jaminan acak</w:t>
      </w:r>
    </w:p>
    <w:p w14:paraId="447F25A6" w14:textId="3FD0F28F" w:rsidR="006B1047" w:rsidRDefault="00704490" w:rsidP="00704490">
      <w:r>
        <w:t>Salah satu uji yang bisa digunakan untuk melihat apakah sampel acak atau tidak adalah runs test.</w:t>
      </w:r>
      <w:r w:rsidR="006B1047">
        <w:t xml:space="preserve"> </w:t>
      </w:r>
      <w:r w:rsidR="00827801">
        <w:t xml:space="preserve">Hipotesis nol dari uji ini adalah sampling bersifat acak, dan hipotesis tandingannya adalah sampling bersifat tidak acak. </w:t>
      </w:r>
      <w:r w:rsidR="006B1047">
        <w:t xml:space="preserve">Metode non-parametrik ini melihat jumlah “runs” atau pergantian tanda </w:t>
      </w:r>
      <w:r w:rsidR="00773579">
        <w:t>tadi urutan sampling</w:t>
      </w:r>
      <w:r w:rsidR="006B1047">
        <w:t>. Untuk sampel ini, tanda didefinisikan sebagai “</w:t>
      </w:r>
      <m:oMath>
        <m:r>
          <w:rPr>
            <w:rFonts w:ascii="Cambria Math" w:hAnsi="Cambria Math"/>
          </w:rPr>
          <m:t>-</m:t>
        </m:r>
      </m:oMath>
      <w:r w:rsidR="006B1047">
        <w:t>“ jika observasi kurang dari median dan “</w:t>
      </w:r>
      <m:oMath>
        <m:r>
          <w:rPr>
            <w:rFonts w:ascii="Cambria Math" w:hAnsi="Cambria Math"/>
          </w:rPr>
          <m:t>+</m:t>
        </m:r>
      </m:oMath>
      <w:r w:rsidR="006B1047">
        <w:t>” jika observasi lebih dari median. Observasi yang nilainya sama dengan median akan dibuang.</w:t>
      </w:r>
    </w:p>
    <w:p w14:paraId="572771FC" w14:textId="0E5BC770" w:rsidR="00773579" w:rsidRDefault="00773579" w:rsidP="00704490">
      <w:r>
        <w:t xml:space="preserve">Jika banyaknya runs terlalu sedikit, sampling dilakukan secara tidak acak karena </w:t>
      </w:r>
      <w:r w:rsidR="00424B74">
        <w:t xml:space="preserve">terdapat tren yaitu </w:t>
      </w:r>
      <w:r>
        <w:t xml:space="preserve">kecenderungan “berkelompok” (misal </w:t>
      </w:r>
      <m:oMath>
        <m:r>
          <w:rPr>
            <w:rFonts w:ascii="Cambria Math" w:hAnsi="Cambria Math"/>
          </w:rPr>
          <m:t>- - - + + +</m:t>
        </m:r>
      </m:oMath>
      <w:r>
        <w:t xml:space="preserve"> berarti sampling dilakukan dengan memprioritaskan nilai kurang dari median sebelum lebih dari median). Sebaliknya, jika </w:t>
      </w:r>
      <w:r>
        <w:lastRenderedPageBreak/>
        <w:t xml:space="preserve">banyaknya runs terlalu banyak, sampling dilakukan secara tidak acak karena </w:t>
      </w:r>
      <w:r w:rsidR="00424B74">
        <w:t xml:space="preserve">terdapat tren yaitu </w:t>
      </w:r>
      <w:r>
        <w:t>ada kecenderungan untuk “berpisah” atau “zig zag” (</w:t>
      </w:r>
      <w:r w:rsidR="00424B74">
        <w:t xml:space="preserve">misal </w:t>
      </w:r>
      <m:oMath>
        <m:r>
          <w:rPr>
            <w:rFonts w:ascii="Cambria Math" w:hAnsi="Cambria Math"/>
          </w:rPr>
          <m:t>- + - + - +</m:t>
        </m:r>
      </m:oMath>
      <w:r w:rsidR="00424B74">
        <w:t xml:space="preserve"> berarti sampling dilakukan dengan memprioritaskan perubahan tanda) </w:t>
      </w:r>
      <w:sdt>
        <w:sdtPr>
          <w:id w:val="-1739166050"/>
          <w:citation/>
        </w:sdtPr>
        <w:sdtContent>
          <w:r w:rsidR="00424B74">
            <w:fldChar w:fldCharType="begin"/>
          </w:r>
          <w:r w:rsidR="00424B74">
            <w:rPr>
              <w:lang w:val="en-US"/>
            </w:rPr>
            <w:instrText xml:space="preserve"> CITATION Kva \l 1033 </w:instrText>
          </w:r>
          <w:r w:rsidR="00424B74">
            <w:fldChar w:fldCharType="separate"/>
          </w:r>
          <w:r w:rsidR="00175B79">
            <w:rPr>
              <w:noProof/>
              <w:lang w:val="en-US"/>
            </w:rPr>
            <w:t>(Kvam &amp; Vidakovic)</w:t>
          </w:r>
          <w:r w:rsidR="00424B74">
            <w:fldChar w:fldCharType="end"/>
          </w:r>
        </w:sdtContent>
      </w:sdt>
      <w:r w:rsidR="00827801">
        <w:t>.</w:t>
      </w:r>
    </w:p>
    <w:p w14:paraId="0A4CD324" w14:textId="77777777" w:rsidR="00827801" w:rsidRDefault="00827801" w:rsidP="00704490">
      <w:r>
        <w:t xml:space="preserve">Misal </w:t>
      </w:r>
      <m:oMath>
        <m:r>
          <w:rPr>
            <w:rFonts w:ascii="Cambria Math" w:hAnsi="Cambria Math"/>
          </w:rPr>
          <m:t>R</m:t>
        </m:r>
      </m:oMath>
      <w:r>
        <w:t xml:space="preserve"> peubah acak banyaknya runs. Didefinisikan banyaknya observasi bertanda </w:t>
      </w:r>
      <m:oMath>
        <m:r>
          <w:rPr>
            <w:rFonts w:ascii="Cambria Math" w:hAnsi="Cambria Math"/>
          </w:rPr>
          <m:t>-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dan banyaknya observasi bertanda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serta banyaknya observasi yang dipertimbangkan dalam runs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</m:t>
        </m:r>
      </m:oMath>
      <w:r>
        <w:t xml:space="preserve">. Jika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benar, rata-rata dan variansi dari </w:t>
      </w:r>
      <m:oMath>
        <m:r>
          <w:rPr>
            <w:rFonts w:ascii="Cambria Math" w:hAnsi="Cambria Math"/>
          </w:rPr>
          <m:t>R</m:t>
        </m:r>
      </m:oMath>
      <w:r>
        <w:t xml:space="preserve"> diberikan oleh</w:t>
      </w:r>
    </w:p>
    <w:p w14:paraId="1CE05189" w14:textId="77777777" w:rsidR="00827801" w:rsidRDefault="00000000" w:rsidP="007044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89A506E" w14:textId="1CB735A3" w:rsidR="00827801" w:rsidRPr="000E1E3D" w:rsidRDefault="00000000" w:rsidP="0070449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E67D52C" w14:textId="0B2BB766" w:rsidR="000E1E3D" w:rsidRDefault="000E1E3D" w:rsidP="00704490">
      <w:r>
        <w:t xml:space="preserve">Untuk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&gt;15</m:t>
        </m:r>
      </m:oMath>
      <w:r>
        <w:t xml:space="preserve">, distribusi dari </w:t>
      </w:r>
      <m:oMath>
        <m:r>
          <w:rPr>
            <w:rFonts w:ascii="Cambria Math" w:hAnsi="Cambria Math"/>
          </w:rPr>
          <m:t>R</m:t>
        </m:r>
      </m:oMath>
      <w:r>
        <w:t xml:space="preserve"> bisa diaproksimasi oleh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. Daerah kritis yang bersesuaian untuk uji dua arah diberikan oleh</w:t>
      </w:r>
    </w:p>
    <w:p w14:paraId="4FF7F641" w14:textId="11671472" w:rsidR="000E1E3D" w:rsidRPr="000E1E3D" w:rsidRDefault="00000000" w:rsidP="0070449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A88126F" w14:textId="488D5693" w:rsidR="000E1E3D" w:rsidRPr="000E1E3D" w:rsidRDefault="00000000" w:rsidP="0070449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-0.5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F7D79CE" w14:textId="255C9D71" w:rsidR="000E1E3D" w:rsidRPr="006629E3" w:rsidRDefault="006629E3" w:rsidP="001C2A54">
      <w:r>
        <w:t xml:space="preserve">Misal akan dilakukan runs test untuk sampel yang sudah dibangkitkan. Dipilih nilai taraf signifikansi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. Uji ini bisa dilakukan menggunakan Python dengan package statsmodels. Kode yang digunakan dilihat di bawah.</w:t>
      </w:r>
    </w:p>
    <w:p w14:paraId="064D31D5" w14:textId="77777777" w:rsidR="006629E3" w:rsidRPr="006629E3" w:rsidRDefault="006629E3" w:rsidP="006629E3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6629E3">
        <w:rPr>
          <w:rFonts w:ascii="Courier New" w:eastAsia="Times New Roman" w:hAnsi="Courier New" w:cs="Courier New"/>
          <w:color w:val="C586C0"/>
          <w:sz w:val="20"/>
          <w:szCs w:val="20"/>
        </w:rPr>
        <w:t>from</w:t>
      </w:r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 </w:t>
      </w:r>
      <w:proofErr w:type="gramStart"/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statsmodels.sandbox</w:t>
      </w:r>
      <w:proofErr w:type="gramEnd"/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.stats.runs </w:t>
      </w:r>
      <w:r w:rsidRPr="006629E3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 runstest_1samp</w:t>
      </w:r>
    </w:p>
    <w:p w14:paraId="5A7D597F" w14:textId="77777777" w:rsidR="006629E3" w:rsidRPr="006629E3" w:rsidRDefault="006629E3" w:rsidP="006629E3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15DF41EB" w14:textId="77777777" w:rsidR="006629E3" w:rsidRPr="006629E3" w:rsidRDefault="006629E3" w:rsidP="006629E3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runstest_1</w:t>
      </w:r>
      <w:proofErr w:type="gramStart"/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samp</w:t>
      </w:r>
      <w:r w:rsidRPr="006629E3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sample</w:t>
      </w:r>
      <w:r w:rsidRPr="006629E3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 cutoff=</w:t>
      </w:r>
      <w:r w:rsidRPr="006629E3">
        <w:rPr>
          <w:rFonts w:ascii="Courier New" w:eastAsia="Times New Roman" w:hAnsi="Courier New" w:cs="Courier New"/>
          <w:color w:val="CE9178"/>
          <w:sz w:val="20"/>
          <w:szCs w:val="20"/>
        </w:rPr>
        <w:t>'median'</w:t>
      </w:r>
      <w:r w:rsidRPr="006629E3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6629E3">
        <w:rPr>
          <w:rFonts w:ascii="Courier New" w:eastAsia="Times New Roman" w:hAnsi="Courier New" w:cs="Courier New"/>
          <w:color w:val="D4D4D4"/>
          <w:sz w:val="20"/>
          <w:szCs w:val="20"/>
        </w:rPr>
        <w:t> correction=</w:t>
      </w:r>
      <w:r w:rsidRPr="006629E3">
        <w:rPr>
          <w:rFonts w:ascii="Courier New" w:eastAsia="Times New Roman" w:hAnsi="Courier New" w:cs="Courier New"/>
          <w:color w:val="569CD6"/>
          <w:sz w:val="20"/>
          <w:szCs w:val="20"/>
        </w:rPr>
        <w:t>True</w:t>
      </w:r>
      <w:r w:rsidRPr="006629E3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6CF31542" w14:textId="4C6E68B4" w:rsidR="006629E3" w:rsidRPr="006629E3" w:rsidRDefault="006629E3" w:rsidP="001C2A54">
      <w:r>
        <w:br/>
        <w:t xml:space="preserve">Dari hasil uji, didapat nilai </w:t>
      </w:r>
      <m:oMath>
        <m:r>
          <w:rPr>
            <w:rFonts w:ascii="Cambria Math" w:hAnsi="Cambria Math"/>
          </w:rPr>
          <m:t>p</m:t>
        </m:r>
      </m:oMath>
      <w:r>
        <w:t xml:space="preserve">-value sebesar 0.84 yang berarti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tidak ditolak. Tidak ditemukan bukti bahwa sampel tidak acak pada taraf signifikan </w:t>
      </w:r>
      <m:oMath>
        <m:r>
          <w:rPr>
            <w:rFonts w:ascii="Cambria Math" w:hAnsi="Cambria Math"/>
          </w:rPr>
          <m:t>0.05</m:t>
        </m:r>
      </m:oMath>
      <w:r>
        <w:t>.</w:t>
      </w:r>
    </w:p>
    <w:p w14:paraId="209FF440" w14:textId="29087FA5" w:rsidR="00E35DF5" w:rsidRDefault="006629E3" w:rsidP="006629E3">
      <w:pPr>
        <w:pStyle w:val="Heading1"/>
        <w:numPr>
          <w:ilvl w:val="0"/>
          <w:numId w:val="1"/>
        </w:numPr>
      </w:pPr>
      <w:r>
        <w:t xml:space="preserve">Menghitung </w:t>
      </w:r>
      <w:r w:rsidR="00DC367E">
        <w:t>rata-rata</w:t>
      </w:r>
    </w:p>
    <w:p w14:paraId="61E491BC" w14:textId="640384AD" w:rsidR="006629E3" w:rsidRDefault="00DC367E" w:rsidP="006629E3">
      <w:r>
        <w:t xml:space="preserve">Perhitungan rata-rata sampel bisa dilakukan secara langsung dengan memanggil method </w:t>
      </w:r>
      <w:proofErr w:type="gramStart"/>
      <w:r>
        <w:t>mean(</w:t>
      </w:r>
      <w:proofErr w:type="gramEnd"/>
      <w:r>
        <w:t>) dari variabel sample. Kode yang digunakan dapat dilihat di bawah.</w:t>
      </w:r>
    </w:p>
    <w:p w14:paraId="5F654773" w14:textId="77777777" w:rsidR="00DC367E" w:rsidRPr="00DC367E" w:rsidRDefault="00DC367E" w:rsidP="00DC367E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C367E">
        <w:rPr>
          <w:rFonts w:ascii="Courier New" w:eastAsia="Times New Roman" w:hAnsi="Courier New" w:cs="Courier New"/>
          <w:color w:val="D4D4D4"/>
          <w:sz w:val="21"/>
          <w:szCs w:val="21"/>
        </w:rPr>
        <w:t>sample.mean</w:t>
      </w:r>
      <w:proofErr w:type="gramEnd"/>
      <w:r w:rsidRPr="00DC367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49C2C2F" w14:textId="387B1221" w:rsidR="00B315E7" w:rsidRDefault="00DC367E" w:rsidP="006629E3">
      <w:r>
        <w:lastRenderedPageBreak/>
        <w:br/>
        <w:t xml:space="preserve">Nilai rata-rata yang dihasilkan adalah </w:t>
      </w:r>
      <w:r w:rsidRPr="00DC367E">
        <w:t>244.298</w:t>
      </w:r>
      <w:r>
        <w:t xml:space="preserve">. Nilai ini sedikit berbeda dengan parameter rata-rata dari distribusinya sebesar </w:t>
      </w:r>
      <m:oMath>
        <m:r>
          <w:rPr>
            <w:rFonts w:ascii="Cambria Math" w:hAnsi="Cambria Math"/>
          </w:rPr>
          <m:t>245.7</m:t>
        </m:r>
      </m:oMath>
      <w:r w:rsidR="009E5312">
        <w:t>.</w:t>
      </w:r>
    </w:p>
    <w:p w14:paraId="40C21AF1" w14:textId="388E586C" w:rsidR="00A508BF" w:rsidRPr="00A508BF" w:rsidRDefault="00A508BF" w:rsidP="006629E3">
      <w:r>
        <w:t xml:space="preserve">Bila Z test dilakukan untuk hipotesis nol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=245.7</m:t>
        </m:r>
      </m:oMath>
      <w:r>
        <w:t xml:space="preserve"> melawan hipotesis tandingan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245.7</m:t>
        </m:r>
      </m:oMath>
      <w:r>
        <w:t xml:space="preserve">, didapat nilai </w:t>
      </w:r>
      <m:oMath>
        <m:r>
          <w:rPr>
            <w:rFonts w:ascii="Cambria Math" w:hAnsi="Cambria Math"/>
          </w:rPr>
          <m:t>p</m:t>
        </m:r>
      </m:oMath>
      <w:r>
        <w:t xml:space="preserve">-value sebesar </w:t>
      </w:r>
      <m:oMath>
        <m:r>
          <w:rPr>
            <w:rFonts w:ascii="Cambria Math" w:hAnsi="Cambria Math"/>
          </w:rPr>
          <m:t>0.299</m:t>
        </m:r>
      </m:oMath>
      <w:r>
        <w:t xml:space="preserve">. Pada taraf signifikansi biasa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tidak ditolak sehingga tidak ditemukan bukti bahwa rata-rata populasi dari sampel tersebut tidak sama dengan </w:t>
      </w:r>
      <m:oMath>
        <m:r>
          <w:rPr>
            <w:rFonts w:ascii="Cambria Math" w:hAnsi="Cambria Math"/>
          </w:rPr>
          <m:t>245.7</m:t>
        </m:r>
      </m:oMath>
      <w:r>
        <w:t xml:space="preserve"> pada taraf signifikansi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.</w:t>
      </w:r>
    </w:p>
    <w:sdt>
      <w:sdtPr>
        <w:rPr>
          <w:rFonts w:eastAsiaTheme="minorEastAsia" w:cstheme="minorBidi"/>
          <w:sz w:val="24"/>
          <w:szCs w:val="22"/>
        </w:rPr>
        <w:id w:val="-1288513901"/>
        <w:docPartObj>
          <w:docPartGallery w:val="Bibliographies"/>
          <w:docPartUnique/>
        </w:docPartObj>
      </w:sdtPr>
      <w:sdtContent>
        <w:p w14:paraId="7657A8B7" w14:textId="010EC90E" w:rsidR="00B315E7" w:rsidRDefault="00B315E7">
          <w:pPr>
            <w:pStyle w:val="Heading1"/>
          </w:pPr>
          <w:r>
            <w:t>Referensi</w:t>
          </w:r>
        </w:p>
        <w:sdt>
          <w:sdtPr>
            <w:id w:val="-573587230"/>
            <w:bibliography/>
          </w:sdtPr>
          <w:sdtContent>
            <w:p w14:paraId="34F80C63" w14:textId="77777777" w:rsidR="00175B79" w:rsidRDefault="00B315E7" w:rsidP="00175B7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5B79">
                <w:rPr>
                  <w:noProof/>
                </w:rPr>
                <w:t xml:space="preserve">Kvam, P., &amp; Vidakovic, B. (n.d.). Nonparametric Statistics with Applications in Science and Engineering. In P. Kvam, &amp; B. Vidakovic, </w:t>
              </w:r>
              <w:r w:rsidR="00175B79">
                <w:rPr>
                  <w:i/>
                  <w:iCs/>
                  <w:noProof/>
                </w:rPr>
                <w:t>Nonparametric Statistics with Applications in Science and Engineering</w:t>
              </w:r>
              <w:r w:rsidR="00175B79">
                <w:rPr>
                  <w:noProof/>
                </w:rPr>
                <w:t xml:space="preserve"> (pp. 100-106). John Wiley &amp; Sons, Inc.</w:t>
              </w:r>
            </w:p>
            <w:p w14:paraId="2B0014CC" w14:textId="77777777" w:rsidR="00175B79" w:rsidRDefault="00175B79" w:rsidP="00175B7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Mickle, Munro, K. &amp;., Lord, B. &amp;., Menz, S. &amp;., Steele, H. &amp;., &amp; Julie. (2010). Foot shape of older people: Implications for shoe design. </w:t>
              </w:r>
              <w:r>
                <w:rPr>
                  <w:i/>
                  <w:iCs/>
                  <w:noProof/>
                </w:rPr>
                <w:t>Footwear Science</w:t>
              </w:r>
              <w:r>
                <w:rPr>
                  <w:noProof/>
                </w:rPr>
                <w:t>, 131-139.</w:t>
              </w:r>
            </w:p>
            <w:p w14:paraId="54C89D37" w14:textId="1F59627D" w:rsidR="009E5312" w:rsidRPr="009E5312" w:rsidRDefault="00B315E7" w:rsidP="00175B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E5312" w:rsidRPr="009E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D6279"/>
    <w:multiLevelType w:val="hybridMultilevel"/>
    <w:tmpl w:val="513E0BCE"/>
    <w:lvl w:ilvl="0" w:tplc="249A9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0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81"/>
    <w:rsid w:val="000576B3"/>
    <w:rsid w:val="000E1E3D"/>
    <w:rsid w:val="00140086"/>
    <w:rsid w:val="00175B79"/>
    <w:rsid w:val="001C2A54"/>
    <w:rsid w:val="00314EDB"/>
    <w:rsid w:val="00424B74"/>
    <w:rsid w:val="0050745D"/>
    <w:rsid w:val="00576937"/>
    <w:rsid w:val="006629E3"/>
    <w:rsid w:val="006B1047"/>
    <w:rsid w:val="006C3681"/>
    <w:rsid w:val="00704490"/>
    <w:rsid w:val="00773579"/>
    <w:rsid w:val="00827801"/>
    <w:rsid w:val="00982BBF"/>
    <w:rsid w:val="0098450F"/>
    <w:rsid w:val="009A2AE1"/>
    <w:rsid w:val="009E5312"/>
    <w:rsid w:val="00A508BF"/>
    <w:rsid w:val="00AF1138"/>
    <w:rsid w:val="00B270A5"/>
    <w:rsid w:val="00B315E7"/>
    <w:rsid w:val="00CC140B"/>
    <w:rsid w:val="00DC367E"/>
    <w:rsid w:val="00E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5F3A"/>
  <w15:chartTrackingRefBased/>
  <w15:docId w15:val="{0618388E-FE66-42CE-B095-8052F85A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0A5"/>
    <w:pPr>
      <w:keepNext/>
      <w:keepLines/>
      <w:spacing w:before="400" w:after="40" w:line="240" w:lineRule="auto"/>
      <w:outlineLvl w:val="0"/>
    </w:pPr>
    <w:rPr>
      <w:rFonts w:eastAsiaTheme="majorEastAsia" w:cstheme="majorBid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A5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A5"/>
    <w:rPr>
      <w:rFonts w:ascii="Times New Roman" w:eastAsiaTheme="majorEastAsia" w:hAnsi="Times New Roman" w:cstheme="majorBidi"/>
      <w:sz w:val="32"/>
      <w:szCs w:val="36"/>
    </w:rPr>
  </w:style>
  <w:style w:type="character" w:styleId="PlaceholderText">
    <w:name w:val="Placeholder Text"/>
    <w:basedOn w:val="DefaultParagraphFont"/>
    <w:uiPriority w:val="99"/>
    <w:semiHidden/>
    <w:rsid w:val="0050745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270A5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270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A5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A5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A5"/>
    <w:rPr>
      <w:rFonts w:asciiTheme="majorHAnsi" w:eastAsiaTheme="majorEastAsia" w:hAnsiTheme="majorHAnsi" w:cstheme="majorBidi"/>
      <w:b/>
      <w:bCs/>
      <w:color w:val="1F3864" w:themeColor="accent1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A5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A5"/>
    <w:rPr>
      <w:rFonts w:asciiTheme="majorHAnsi" w:eastAsiaTheme="majorEastAsia" w:hAnsiTheme="majorHAnsi" w:cstheme="majorBidi"/>
      <w:i/>
      <w:iCs/>
      <w:color w:val="1F3864" w:themeColor="accent1" w:themeShade="8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0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70A5"/>
    <w:pPr>
      <w:spacing w:after="0"/>
      <w:contextualSpacing/>
      <w:jc w:val="center"/>
    </w:pPr>
    <w:rPr>
      <w:rFonts w:eastAsiaTheme="majorEastAsia" w:cstheme="majorBidi"/>
      <w:b/>
      <w:caps/>
      <w:spacing w:val="-15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70A5"/>
    <w:rPr>
      <w:rFonts w:ascii="Times New Roman" w:eastAsiaTheme="majorEastAsia" w:hAnsi="Times New Roman" w:cstheme="majorBidi"/>
      <w:b/>
      <w:caps/>
      <w:spacing w:val="-15"/>
      <w:sz w:val="3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70A5"/>
    <w:rPr>
      <w:b/>
      <w:bCs/>
    </w:rPr>
  </w:style>
  <w:style w:type="character" w:styleId="Emphasis">
    <w:name w:val="Emphasis"/>
    <w:basedOn w:val="DefaultParagraphFont"/>
    <w:uiPriority w:val="20"/>
    <w:qFormat/>
    <w:rsid w:val="00B270A5"/>
    <w:rPr>
      <w:i/>
      <w:iCs/>
    </w:rPr>
  </w:style>
  <w:style w:type="paragraph" w:styleId="NoSpacing">
    <w:name w:val="No Spacing"/>
    <w:uiPriority w:val="1"/>
    <w:qFormat/>
    <w:rsid w:val="00B270A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270A5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0A5"/>
    <w:rPr>
      <w:rFonts w:ascii="Times New Roman" w:hAnsi="Times New Roman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70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70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70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70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70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0A5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B3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Kva</b:Tag>
    <b:SourceType>BookSection</b:SourceType>
    <b:Guid>{43B7F429-41F4-4E31-87D8-9912B3D427FD}</b:Guid>
    <b:Title>Nonparametric Statistics with Applications in Science and Engineering</b:Title>
    <b:Pages>100-106</b:Pages>
    <b:BookTitle>Nonparametric Statistics with Applications in Science and Engineering</b:BookTitle>
    <b:Publisher>John Wiley &amp; Sons, Inc.</b:Publisher>
    <b:Author>
      <b:Author>
        <b:NameList>
          <b:Person>
            <b:Last>Kvam</b:Last>
            <b:First>Paul</b:First>
          </b:Person>
          <b:Person>
            <b:Last>Vidakovic</b:Last>
            <b:First>Brani</b:First>
          </b:Person>
        </b:NameList>
      </b:Author>
      <b:BookAuthor>
        <b:NameList>
          <b:Person>
            <b:Last>Kvam</b:Last>
            <b:First>Paul</b:First>
          </b:Person>
          <b:Person>
            <b:Last>Vidakovic</b:Last>
            <b:First>Brani</b:First>
          </b:Person>
        </b:NameList>
      </b:BookAuthor>
    </b:Author>
    <b:RefOrder>1</b:RefOrder>
  </b:Source>
  <b:Source>
    <b:Tag>Mic10</b:Tag>
    <b:SourceType>JournalArticle</b:SourceType>
    <b:Guid>{CE07C148-1E1C-46EA-973E-E3515EF900E2}</b:Guid>
    <b:Author>
      <b:Author>
        <b:NameList>
          <b:Person>
            <b:Last>Mickle</b:Last>
          </b:Person>
          <b:Person>
            <b:Last>Munro</b:Last>
            <b:First>Karen</b:First>
            <b:Middle>&amp;</b:Middle>
          </b:Person>
          <b:Person>
            <b:Last>Lord</b:Last>
            <b:First>Bridget</b:First>
            <b:Middle>&amp;</b:Middle>
          </b:Person>
          <b:Person>
            <b:Last>Menz</b:Last>
            <b:First>Stephen</b:First>
            <b:Middle>&amp;</b:Middle>
          </b:Person>
          <b:Person>
            <b:Last>Steele</b:Last>
            <b:First>Hylton</b:First>
            <b:Middle>&amp;</b:Middle>
          </b:Person>
          <b:Person>
            <b:Last>Julie</b:Last>
          </b:Person>
        </b:NameList>
      </b:Author>
    </b:Author>
    <b:Title>Foot shape of older people: Implications for shoe design</b:Title>
    <b:Year>2010</b:Year>
    <b:JournalName>Footwear Science</b:JournalName>
    <b:Pages>131-139</b:Pages>
    <b:RefOrder>2</b:RefOrder>
  </b:Source>
</b:Sources>
</file>

<file path=customXml/itemProps1.xml><?xml version="1.0" encoding="utf-8"?>
<ds:datastoreItem xmlns:ds="http://schemas.openxmlformats.org/officeDocument/2006/customXml" ds:itemID="{506B8F63-3DE4-4452-A502-1EED01DF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Hadinata Putra</dc:creator>
  <cp:keywords/>
  <dc:description/>
  <cp:lastModifiedBy>Jason Hadinata Putra</cp:lastModifiedBy>
  <cp:revision>9</cp:revision>
  <dcterms:created xsi:type="dcterms:W3CDTF">2022-08-27T01:15:00Z</dcterms:created>
  <dcterms:modified xsi:type="dcterms:W3CDTF">2022-08-28T14:03:00Z</dcterms:modified>
</cp:coreProperties>
</file>