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EB3049E" w14:textId="77777777" w:rsidR="00954DB8" w:rsidRDefault="001C6B0C">
      <w:pPr>
        <w:pStyle w:val="Title"/>
        <w:contextualSpacing w:val="0"/>
      </w:pPr>
      <w:bookmarkStart w:id="0" w:name="h.8y9vbqeneph5" w:colFirst="0" w:colLast="0"/>
      <w:bookmarkEnd w:id="0"/>
      <w:r>
        <w:rPr>
          <w:color w:val="980000"/>
        </w:rPr>
        <w:t>Developing an Open Data Support Capability Within RTI’s Information and Communication Technology (ICT) Unit</w:t>
      </w:r>
    </w:p>
    <w:p w14:paraId="14C50A4D" w14:textId="77777777" w:rsidR="00954DB8" w:rsidRDefault="00954DB8">
      <w:pPr>
        <w:pStyle w:val="normal0"/>
      </w:pPr>
    </w:p>
    <w:p w14:paraId="6628EAD6" w14:textId="77777777" w:rsidR="00954DB8" w:rsidRDefault="001C6B0C">
      <w:pPr>
        <w:pStyle w:val="normal0"/>
        <w:jc w:val="center"/>
      </w:pPr>
      <w:r>
        <w:t>Submitted by: BaleFire Global LLC</w:t>
      </w:r>
    </w:p>
    <w:p w14:paraId="4AC5FCCB" w14:textId="77777777" w:rsidR="00954DB8" w:rsidRDefault="00954DB8">
      <w:pPr>
        <w:pStyle w:val="normal0"/>
      </w:pPr>
    </w:p>
    <w:p w14:paraId="287FC48D" w14:textId="77777777" w:rsidR="00954DB8" w:rsidRDefault="001C6B0C">
      <w:pPr>
        <w:pStyle w:val="normal0"/>
        <w:jc w:val="center"/>
      </w:pPr>
      <w:r>
        <w:t>TABLE OF CONTENTS</w:t>
      </w:r>
    </w:p>
    <w:p w14:paraId="48A40FAB" w14:textId="77777777" w:rsidR="00954DB8" w:rsidRDefault="001C6B0C">
      <w:pPr>
        <w:pStyle w:val="normal0"/>
        <w:ind w:left="360"/>
      </w:pPr>
      <w:hyperlink w:anchor="h.ef2hokby3f8l">
        <w:r>
          <w:rPr>
            <w:color w:val="1155CC"/>
            <w:u w:val="single"/>
          </w:rPr>
          <w:t>Executive Summary</w:t>
        </w:r>
      </w:hyperlink>
    </w:p>
    <w:p w14:paraId="58F9E0AC" w14:textId="77777777" w:rsidR="00954DB8" w:rsidRDefault="001C6B0C">
      <w:pPr>
        <w:pStyle w:val="normal0"/>
        <w:ind w:left="360"/>
      </w:pPr>
      <w:hyperlink w:anchor="h.jwx65g7iecju">
        <w:r>
          <w:rPr>
            <w:color w:val="1155CC"/>
            <w:u w:val="single"/>
          </w:rPr>
          <w:t>Proposed Approach</w:t>
        </w:r>
      </w:hyperlink>
    </w:p>
    <w:p w14:paraId="052D0041" w14:textId="77777777" w:rsidR="00954DB8" w:rsidRDefault="001C6B0C">
      <w:pPr>
        <w:pStyle w:val="normal0"/>
        <w:ind w:left="720"/>
      </w:pPr>
      <w:hyperlink w:anchor="h.5s6b3m6i8krz">
        <w:r>
          <w:rPr>
            <w:color w:val="1155CC"/>
            <w:u w:val="single"/>
          </w:rPr>
          <w:t>Delivery Channels for Open Data Support</w:t>
        </w:r>
      </w:hyperlink>
    </w:p>
    <w:p w14:paraId="2A6F61F5" w14:textId="77777777" w:rsidR="00954DB8" w:rsidRDefault="001C6B0C">
      <w:pPr>
        <w:pStyle w:val="normal0"/>
        <w:ind w:left="720"/>
      </w:pPr>
      <w:hyperlink w:anchor="h.1v72g3w6w7x9">
        <w:r>
          <w:rPr>
            <w:color w:val="1155CC"/>
            <w:u w:val="single"/>
          </w:rPr>
          <w:t>Government Digital Service as a Model</w:t>
        </w:r>
      </w:hyperlink>
    </w:p>
    <w:p w14:paraId="0E0DAB28" w14:textId="77777777" w:rsidR="00954DB8" w:rsidRDefault="001C6B0C">
      <w:pPr>
        <w:pStyle w:val="normal0"/>
        <w:ind w:left="720"/>
      </w:pPr>
      <w:hyperlink w:anchor="h.vafhmdqlhf0u">
        <w:r>
          <w:rPr>
            <w:color w:val="1155CC"/>
            <w:u w:val="single"/>
          </w:rPr>
          <w:t>Development of an RTI Data Service Standard</w:t>
        </w:r>
      </w:hyperlink>
    </w:p>
    <w:p w14:paraId="3D6BC505" w14:textId="77777777" w:rsidR="00954DB8" w:rsidRDefault="001C6B0C">
      <w:pPr>
        <w:pStyle w:val="normal0"/>
        <w:ind w:left="720"/>
      </w:pPr>
      <w:hyperlink w:anchor="h.3znysh7">
        <w:r>
          <w:rPr>
            <w:color w:val="1155CC"/>
            <w:u w:val="single"/>
          </w:rPr>
          <w:t>Open Data Team Products and Services</w:t>
        </w:r>
      </w:hyperlink>
    </w:p>
    <w:p w14:paraId="6A722017" w14:textId="77777777" w:rsidR="00954DB8" w:rsidRDefault="001C6B0C">
      <w:pPr>
        <w:pStyle w:val="normal0"/>
        <w:ind w:left="360"/>
      </w:pPr>
      <w:hyperlink w:anchor="h.kjo76f43uj7h">
        <w:r>
          <w:rPr>
            <w:color w:val="1155CC"/>
            <w:u w:val="single"/>
          </w:rPr>
          <w:t>BFG’s Service Core Offerings</w:t>
        </w:r>
      </w:hyperlink>
    </w:p>
    <w:p w14:paraId="3745F2F0" w14:textId="77777777" w:rsidR="00954DB8" w:rsidRDefault="001C6B0C">
      <w:pPr>
        <w:pStyle w:val="normal0"/>
        <w:ind w:left="720"/>
      </w:pPr>
      <w:hyperlink w:anchor="h.3dy6vkm">
        <w:r>
          <w:rPr>
            <w:color w:val="1155CC"/>
            <w:u w:val="single"/>
          </w:rPr>
          <w:t>Pre-implementation services</w:t>
        </w:r>
      </w:hyperlink>
    </w:p>
    <w:p w14:paraId="1185C033" w14:textId="77777777" w:rsidR="00954DB8" w:rsidRDefault="001C6B0C">
      <w:pPr>
        <w:pStyle w:val="normal0"/>
        <w:ind w:left="720"/>
      </w:pPr>
      <w:hyperlink w:anchor="h.qkyqeaw06ya">
        <w:r>
          <w:rPr>
            <w:color w:val="1155CC"/>
            <w:u w:val="single"/>
          </w:rPr>
          <w:t>Implementation services</w:t>
        </w:r>
      </w:hyperlink>
    </w:p>
    <w:p w14:paraId="532B244A" w14:textId="77777777" w:rsidR="00954DB8" w:rsidRDefault="001C6B0C">
      <w:pPr>
        <w:pStyle w:val="normal0"/>
        <w:ind w:left="720"/>
      </w:pPr>
      <w:hyperlink w:anchor="h.qwooyim1060p">
        <w:r>
          <w:rPr>
            <w:color w:val="1155CC"/>
            <w:u w:val="single"/>
          </w:rPr>
          <w:t>Post-implementation services</w:t>
        </w:r>
      </w:hyperlink>
    </w:p>
    <w:p w14:paraId="391C1AD4" w14:textId="77777777" w:rsidR="00954DB8" w:rsidRDefault="001C6B0C">
      <w:pPr>
        <w:pStyle w:val="normal0"/>
        <w:ind w:left="360"/>
      </w:pPr>
      <w:hyperlink w:anchor="h.30j0zll">
        <w:r>
          <w:rPr>
            <w:color w:val="1155CC"/>
            <w:u w:val="single"/>
          </w:rPr>
          <w:t>BaleFire Global LLC and Proposed Project Staff</w:t>
        </w:r>
      </w:hyperlink>
    </w:p>
    <w:p w14:paraId="063DF8BB" w14:textId="77777777" w:rsidR="00954DB8" w:rsidRDefault="001C6B0C">
      <w:pPr>
        <w:pStyle w:val="normal0"/>
        <w:ind w:left="720"/>
      </w:pPr>
      <w:hyperlink w:anchor="h.1fob9te">
        <w:r>
          <w:rPr>
            <w:color w:val="1155CC"/>
            <w:u w:val="single"/>
          </w:rPr>
          <w:t>Business Overview</w:t>
        </w:r>
      </w:hyperlink>
    </w:p>
    <w:p w14:paraId="127BDCE0" w14:textId="77777777" w:rsidR="00954DB8" w:rsidRDefault="001C6B0C">
      <w:pPr>
        <w:pStyle w:val="normal0"/>
        <w:ind w:left="720"/>
      </w:pPr>
      <w:hyperlink w:anchor="h.47ia50x4limq">
        <w:r>
          <w:rPr>
            <w:color w:val="1155CC"/>
            <w:u w:val="single"/>
          </w:rPr>
          <w:t>Key Staff</w:t>
        </w:r>
      </w:hyperlink>
    </w:p>
    <w:p w14:paraId="34D54708" w14:textId="77777777" w:rsidR="00954DB8" w:rsidRDefault="001C6B0C">
      <w:pPr>
        <w:pStyle w:val="normal0"/>
        <w:ind w:left="1080"/>
      </w:pPr>
      <w:hyperlink w:anchor="h.g6ejiqgo96ns">
        <w:r>
          <w:rPr>
            <w:color w:val="1155CC"/>
            <w:u w:val="single"/>
          </w:rPr>
          <w:t xml:space="preserve">Nicole </w:t>
        </w:r>
        <w:proofErr w:type="spellStart"/>
        <w:r>
          <w:rPr>
            <w:color w:val="1155CC"/>
            <w:u w:val="single"/>
          </w:rPr>
          <w:t>Raimundo</w:t>
        </w:r>
        <w:proofErr w:type="spellEnd"/>
      </w:hyperlink>
    </w:p>
    <w:p w14:paraId="7512C695" w14:textId="77777777" w:rsidR="00954DB8" w:rsidRDefault="001C6B0C">
      <w:pPr>
        <w:pStyle w:val="normal0"/>
        <w:ind w:left="1080"/>
      </w:pPr>
      <w:hyperlink w:anchor="h.qe2jmvgb1wp7">
        <w:r>
          <w:rPr>
            <w:color w:val="1155CC"/>
            <w:u w:val="single"/>
          </w:rPr>
          <w:t>Jason Hare</w:t>
        </w:r>
      </w:hyperlink>
    </w:p>
    <w:p w14:paraId="6C5949AC" w14:textId="77777777" w:rsidR="00954DB8" w:rsidRDefault="001C6B0C">
      <w:pPr>
        <w:pStyle w:val="normal0"/>
        <w:ind w:left="1080"/>
      </w:pPr>
      <w:hyperlink w:anchor="h.3o4ryvi6q8n8">
        <w:r>
          <w:rPr>
            <w:color w:val="1155CC"/>
            <w:u w:val="single"/>
          </w:rPr>
          <w:t>Dr. Dennis McDonald</w:t>
        </w:r>
      </w:hyperlink>
    </w:p>
    <w:p w14:paraId="386C3BF4" w14:textId="77777777" w:rsidR="00954DB8" w:rsidRDefault="001C6B0C">
      <w:pPr>
        <w:pStyle w:val="normal0"/>
        <w:ind w:left="360"/>
      </w:pPr>
      <w:hyperlink w:anchor="h.reeg9tlt5jqq">
        <w:r>
          <w:rPr>
            <w:color w:val="1155CC"/>
            <w:u w:val="single"/>
          </w:rPr>
          <w:t>Appendix A: Description of BFG Core Service Deliverables</w:t>
        </w:r>
      </w:hyperlink>
    </w:p>
    <w:p w14:paraId="2B44CBD8" w14:textId="77777777" w:rsidR="00954DB8" w:rsidRDefault="001C6B0C">
      <w:pPr>
        <w:pStyle w:val="normal0"/>
        <w:ind w:left="720"/>
      </w:pPr>
      <w:hyperlink w:anchor="h.csnaqzh2lnp6">
        <w:r>
          <w:rPr>
            <w:color w:val="1155CC"/>
            <w:u w:val="single"/>
          </w:rPr>
          <w:t>Pre-Implementation Deliverables</w:t>
        </w:r>
      </w:hyperlink>
    </w:p>
    <w:p w14:paraId="094CECE5" w14:textId="77777777" w:rsidR="00954DB8" w:rsidRDefault="001C6B0C">
      <w:pPr>
        <w:pStyle w:val="normal0"/>
        <w:ind w:left="1080"/>
      </w:pPr>
      <w:hyperlink w:anchor="h.n3tl6w6c12ad">
        <w:r>
          <w:rPr>
            <w:color w:val="1155CC"/>
            <w:u w:val="single"/>
          </w:rPr>
          <w:t>Assessment and Analysis</w:t>
        </w:r>
      </w:hyperlink>
    </w:p>
    <w:p w14:paraId="6728D558" w14:textId="77777777" w:rsidR="00954DB8" w:rsidRDefault="001C6B0C">
      <w:pPr>
        <w:pStyle w:val="normal0"/>
        <w:ind w:left="1080"/>
      </w:pPr>
      <w:hyperlink w:anchor="h.ckw14sssmxtb">
        <w:r>
          <w:rPr>
            <w:color w:val="1155CC"/>
            <w:u w:val="single"/>
          </w:rPr>
          <w:t>Gap Analysis</w:t>
        </w:r>
      </w:hyperlink>
    </w:p>
    <w:p w14:paraId="248D8E1A" w14:textId="77777777" w:rsidR="00954DB8" w:rsidRDefault="001C6B0C">
      <w:pPr>
        <w:pStyle w:val="normal0"/>
        <w:ind w:left="1080"/>
      </w:pPr>
      <w:hyperlink w:anchor="h.5m0fh9sicqkk">
        <w:r>
          <w:rPr>
            <w:color w:val="1155CC"/>
            <w:u w:val="single"/>
          </w:rPr>
          <w:t>Training</w:t>
        </w:r>
      </w:hyperlink>
    </w:p>
    <w:p w14:paraId="65913BF5" w14:textId="77777777" w:rsidR="00954DB8" w:rsidRDefault="001C6B0C">
      <w:pPr>
        <w:pStyle w:val="normal0"/>
        <w:ind w:left="1080"/>
      </w:pPr>
      <w:hyperlink w:anchor="h.k66cdowc1qmj">
        <w:r>
          <w:rPr>
            <w:color w:val="1155CC"/>
            <w:u w:val="single"/>
          </w:rPr>
          <w:t>Data Audits</w:t>
        </w:r>
      </w:hyperlink>
    </w:p>
    <w:p w14:paraId="0FB60EE8" w14:textId="77777777" w:rsidR="00954DB8" w:rsidRDefault="001C6B0C">
      <w:pPr>
        <w:pStyle w:val="normal0"/>
        <w:ind w:left="720"/>
      </w:pPr>
      <w:hyperlink w:anchor="h.tuuau3t9478l">
        <w:r>
          <w:rPr>
            <w:color w:val="1155CC"/>
            <w:u w:val="single"/>
          </w:rPr>
          <w:t>Implementation Deliverables</w:t>
        </w:r>
      </w:hyperlink>
    </w:p>
    <w:p w14:paraId="56669925" w14:textId="77777777" w:rsidR="00954DB8" w:rsidRDefault="001C6B0C">
      <w:pPr>
        <w:pStyle w:val="normal0"/>
        <w:ind w:left="1080"/>
      </w:pPr>
      <w:hyperlink w:anchor="h.ji11ldktwfq4">
        <w:r>
          <w:rPr>
            <w:color w:val="1155CC"/>
            <w:u w:val="single"/>
          </w:rPr>
          <w:t>Extract, Transform and Load</w:t>
        </w:r>
      </w:hyperlink>
    </w:p>
    <w:p w14:paraId="390E097E" w14:textId="77777777" w:rsidR="00954DB8" w:rsidRDefault="001C6B0C">
      <w:pPr>
        <w:pStyle w:val="normal0"/>
        <w:ind w:left="1080"/>
      </w:pPr>
      <w:hyperlink w:anchor="h.5t3oqc61e7te">
        <w:r>
          <w:rPr>
            <w:color w:val="1155CC"/>
            <w:u w:val="single"/>
          </w:rPr>
          <w:t>API and Enterprise Data Governance</w:t>
        </w:r>
      </w:hyperlink>
    </w:p>
    <w:p w14:paraId="6A8EF393" w14:textId="77777777" w:rsidR="00954DB8" w:rsidRDefault="001C6B0C">
      <w:pPr>
        <w:pStyle w:val="normal0"/>
        <w:ind w:left="1080"/>
      </w:pPr>
      <w:hyperlink w:anchor="h.8jbp54avr7zm">
        <w:r>
          <w:rPr>
            <w:color w:val="1155CC"/>
            <w:u w:val="single"/>
          </w:rPr>
          <w:t>Training</w:t>
        </w:r>
      </w:hyperlink>
    </w:p>
    <w:p w14:paraId="09232F37" w14:textId="77777777" w:rsidR="00954DB8" w:rsidRDefault="001C6B0C">
      <w:pPr>
        <w:pStyle w:val="normal0"/>
        <w:ind w:left="1080"/>
      </w:pPr>
      <w:hyperlink w:anchor="h.db21cj69s1a4">
        <w:r>
          <w:rPr>
            <w:color w:val="1155CC"/>
            <w:u w:val="single"/>
          </w:rPr>
          <w:t>UX and CX Audits</w:t>
        </w:r>
      </w:hyperlink>
    </w:p>
    <w:p w14:paraId="25D6F82B" w14:textId="77777777" w:rsidR="00954DB8" w:rsidRDefault="001C6B0C">
      <w:pPr>
        <w:pStyle w:val="normal0"/>
        <w:ind w:left="720"/>
      </w:pPr>
      <w:hyperlink w:anchor="h.fupgyjmx308i">
        <w:r>
          <w:rPr>
            <w:color w:val="1155CC"/>
            <w:u w:val="single"/>
          </w:rPr>
          <w:t>Post-Implementation Deliverables</w:t>
        </w:r>
      </w:hyperlink>
    </w:p>
    <w:p w14:paraId="42FB6363" w14:textId="77777777" w:rsidR="00954DB8" w:rsidRDefault="001C6B0C">
      <w:pPr>
        <w:pStyle w:val="normal0"/>
        <w:ind w:left="1080"/>
      </w:pPr>
      <w:hyperlink w:anchor="h.uiwpst7zw9mp">
        <w:r>
          <w:rPr>
            <w:color w:val="1155CC"/>
            <w:u w:val="single"/>
          </w:rPr>
          <w:t>Subscription Services</w:t>
        </w:r>
      </w:hyperlink>
    </w:p>
    <w:p w14:paraId="412097AB" w14:textId="77777777" w:rsidR="00954DB8" w:rsidRDefault="001C6B0C">
      <w:pPr>
        <w:pStyle w:val="normal0"/>
        <w:ind w:left="1080"/>
      </w:pPr>
      <w:hyperlink w:anchor="h.7t6h5xpsj1e7">
        <w:r>
          <w:rPr>
            <w:color w:val="1155CC"/>
            <w:u w:val="single"/>
          </w:rPr>
          <w:t>Program Development and Advisement</w:t>
        </w:r>
      </w:hyperlink>
    </w:p>
    <w:p w14:paraId="1A6758A2" w14:textId="77777777" w:rsidR="00954DB8" w:rsidRDefault="001C6B0C">
      <w:pPr>
        <w:pStyle w:val="normal0"/>
        <w:ind w:left="1080"/>
      </w:pPr>
      <w:hyperlink w:anchor="h.sejgp66fa4wn">
        <w:r>
          <w:rPr>
            <w:color w:val="1155CC"/>
            <w:u w:val="single"/>
          </w:rPr>
          <w:t>Training (Ongoing)</w:t>
        </w:r>
      </w:hyperlink>
    </w:p>
    <w:p w14:paraId="09C00CB5" w14:textId="77777777" w:rsidR="00954DB8" w:rsidRDefault="001C6B0C">
      <w:pPr>
        <w:pStyle w:val="normal0"/>
        <w:ind w:left="1080"/>
      </w:pPr>
      <w:hyperlink w:anchor="h.70fh6yg95p73">
        <w:r>
          <w:rPr>
            <w:color w:val="1155CC"/>
            <w:u w:val="single"/>
          </w:rPr>
          <w:t>Program Audits, Certification and Accreditation</w:t>
        </w:r>
      </w:hyperlink>
    </w:p>
    <w:p w14:paraId="27B424AB" w14:textId="77777777" w:rsidR="00954DB8" w:rsidRDefault="00954DB8">
      <w:pPr>
        <w:pStyle w:val="normal0"/>
      </w:pPr>
    </w:p>
    <w:p w14:paraId="44EF6E57" w14:textId="77777777" w:rsidR="00954DB8" w:rsidRDefault="001C6B0C">
      <w:pPr>
        <w:pStyle w:val="Heading1"/>
        <w:contextualSpacing w:val="0"/>
      </w:pPr>
      <w:bookmarkStart w:id="1" w:name="h.ef2hokby3f8l" w:colFirst="0" w:colLast="0"/>
      <w:bookmarkEnd w:id="1"/>
      <w:r>
        <w:lastRenderedPageBreak/>
        <w:t>Executive Summary</w:t>
      </w:r>
    </w:p>
    <w:p w14:paraId="3068DE9E" w14:textId="77777777" w:rsidR="00954DB8" w:rsidRDefault="00954DB8">
      <w:pPr>
        <w:pStyle w:val="normal0"/>
      </w:pPr>
    </w:p>
    <w:p w14:paraId="4231132A" w14:textId="77777777" w:rsidR="00954DB8" w:rsidRDefault="001C6B0C">
      <w:pPr>
        <w:pStyle w:val="normal0"/>
      </w:pPr>
      <w:r>
        <w:t>RTI desires to assume a world leadership position in open</w:t>
      </w:r>
      <w:r>
        <w:t xml:space="preserve"> data through enhancements to its international project operations. </w:t>
      </w:r>
    </w:p>
    <w:p w14:paraId="6FB8FBD6" w14:textId="77777777" w:rsidR="00954DB8" w:rsidRDefault="00954DB8">
      <w:pPr>
        <w:pStyle w:val="normal0"/>
      </w:pPr>
    </w:p>
    <w:p w14:paraId="26A228D2" w14:textId="77777777" w:rsidR="00954DB8" w:rsidRDefault="001C6B0C">
      <w:pPr>
        <w:pStyle w:val="normal0"/>
      </w:pPr>
      <w:r>
        <w:t xml:space="preserve">Balefire Global LLC (BFG), an established international open data consultancy, proposes to help RTI jumpstart its open data program by making BFG resources immediately available to help </w:t>
      </w:r>
      <w:r>
        <w:t xml:space="preserve">RTI define and support open data programming. </w:t>
      </w:r>
    </w:p>
    <w:p w14:paraId="3604BF4E" w14:textId="77777777" w:rsidR="00954DB8" w:rsidRDefault="00954DB8">
      <w:pPr>
        <w:pStyle w:val="normal0"/>
      </w:pPr>
    </w:p>
    <w:p w14:paraId="6F2BE3F5" w14:textId="77777777" w:rsidR="00954DB8" w:rsidRDefault="001C6B0C">
      <w:pPr>
        <w:pStyle w:val="normal0"/>
      </w:pPr>
      <w:r>
        <w:t>BFG can support the development of RTI’s open data program in a variety of ways including:</w:t>
      </w:r>
    </w:p>
    <w:p w14:paraId="01D518EE" w14:textId="77777777" w:rsidR="00954DB8" w:rsidRDefault="00954DB8">
      <w:pPr>
        <w:pStyle w:val="normal0"/>
      </w:pPr>
    </w:p>
    <w:p w14:paraId="672A1DBA" w14:textId="77777777" w:rsidR="00954DB8" w:rsidRDefault="001C6B0C">
      <w:pPr>
        <w:pStyle w:val="normal0"/>
        <w:numPr>
          <w:ilvl w:val="0"/>
          <w:numId w:val="3"/>
        </w:numPr>
        <w:ind w:hanging="360"/>
        <w:contextualSpacing/>
      </w:pPr>
      <w:r>
        <w:t>Reviewing how ICT currently manages and supports RTI projects.</w:t>
      </w:r>
    </w:p>
    <w:p w14:paraId="55C35C69" w14:textId="77777777" w:rsidR="00954DB8" w:rsidRDefault="001C6B0C">
      <w:pPr>
        <w:pStyle w:val="normal0"/>
        <w:numPr>
          <w:ilvl w:val="0"/>
          <w:numId w:val="3"/>
        </w:numPr>
        <w:ind w:hanging="360"/>
        <w:contextualSpacing/>
      </w:pPr>
      <w:r>
        <w:t xml:space="preserve">Assessing open data program opportunities associated </w:t>
      </w:r>
      <w:r>
        <w:t>with current and planned RTI projects.</w:t>
      </w:r>
    </w:p>
    <w:p w14:paraId="42BD11F2" w14:textId="77777777" w:rsidR="00954DB8" w:rsidRDefault="001C6B0C">
      <w:pPr>
        <w:pStyle w:val="normal0"/>
        <w:numPr>
          <w:ilvl w:val="0"/>
          <w:numId w:val="3"/>
        </w:numPr>
        <w:ind w:hanging="360"/>
        <w:contextualSpacing/>
      </w:pPr>
      <w:r>
        <w:t>Designing an Open Data Support Program for RTI ICT that describes project specific activities as well as centralized infrastructure and support capabilities.</w:t>
      </w:r>
    </w:p>
    <w:p w14:paraId="6A6636AC" w14:textId="77777777" w:rsidR="00954DB8" w:rsidRDefault="001C6B0C">
      <w:pPr>
        <w:pStyle w:val="normal0"/>
        <w:numPr>
          <w:ilvl w:val="0"/>
          <w:numId w:val="3"/>
        </w:numPr>
        <w:ind w:hanging="360"/>
        <w:contextualSpacing/>
      </w:pPr>
      <w:r>
        <w:t>Beginning implementation of the Open Data Support Program i</w:t>
      </w:r>
      <w:r>
        <w:t>n connection with a selected number of current and planned RTI projects (“pilot projects”).</w:t>
      </w:r>
    </w:p>
    <w:p w14:paraId="6E4C4271" w14:textId="77777777" w:rsidR="00954DB8" w:rsidRDefault="001C6B0C">
      <w:pPr>
        <w:pStyle w:val="normal0"/>
        <w:numPr>
          <w:ilvl w:val="0"/>
          <w:numId w:val="3"/>
        </w:numPr>
        <w:ind w:hanging="360"/>
        <w:contextualSpacing/>
      </w:pPr>
      <w:r>
        <w:t>Revising and adjust the Open Data Support Program based on learning gained from the pilot projects.</w:t>
      </w:r>
    </w:p>
    <w:p w14:paraId="7E9DE0B5" w14:textId="77777777" w:rsidR="00954DB8" w:rsidRDefault="00954DB8">
      <w:pPr>
        <w:pStyle w:val="normal0"/>
      </w:pPr>
    </w:p>
    <w:p w14:paraId="09C2831B" w14:textId="77777777" w:rsidR="00954DB8" w:rsidRDefault="001C6B0C">
      <w:pPr>
        <w:pStyle w:val="normal0"/>
      </w:pPr>
      <w:r>
        <w:t xml:space="preserve">BFG proposes to adapt its own open data project management </w:t>
      </w:r>
      <w:proofErr w:type="gramStart"/>
      <w:r>
        <w:t>techniques  to</w:t>
      </w:r>
      <w:proofErr w:type="gramEnd"/>
      <w:r>
        <w:t xml:space="preserve"> requirements of the RTI ICT operation. Selected BFG senior </w:t>
      </w:r>
      <w:proofErr w:type="gramStart"/>
      <w:r>
        <w:t>staff  will</w:t>
      </w:r>
      <w:proofErr w:type="gramEnd"/>
      <w:r>
        <w:t xml:space="preserve"> form the core of the initial project team with our goal being to support RTI pilot projects as we simultaneousl</w:t>
      </w:r>
      <w:r>
        <w:t xml:space="preserve">y assist in design and implementation of a self sustaining RTI open data support program. </w:t>
      </w:r>
    </w:p>
    <w:p w14:paraId="062C6653" w14:textId="77777777" w:rsidR="00954DB8" w:rsidRDefault="00954DB8">
      <w:pPr>
        <w:pStyle w:val="Heading1"/>
        <w:contextualSpacing w:val="0"/>
      </w:pPr>
      <w:bookmarkStart w:id="2" w:name="h.9pw31npwb38d" w:colFirst="0" w:colLast="0"/>
      <w:bookmarkEnd w:id="2"/>
    </w:p>
    <w:p w14:paraId="705E2483" w14:textId="77777777" w:rsidR="00954DB8" w:rsidRDefault="001C6B0C">
      <w:pPr>
        <w:pStyle w:val="normal0"/>
      </w:pPr>
      <w:r>
        <w:br w:type="page"/>
      </w:r>
    </w:p>
    <w:p w14:paraId="66ABB5CA" w14:textId="77777777" w:rsidR="00954DB8" w:rsidRDefault="00954DB8">
      <w:pPr>
        <w:pStyle w:val="Heading1"/>
        <w:contextualSpacing w:val="0"/>
      </w:pPr>
      <w:bookmarkStart w:id="3" w:name="h.yitdpvmablk5" w:colFirst="0" w:colLast="0"/>
      <w:bookmarkEnd w:id="3"/>
    </w:p>
    <w:p w14:paraId="6469FE7E" w14:textId="77777777" w:rsidR="00954DB8" w:rsidRDefault="001C6B0C">
      <w:pPr>
        <w:pStyle w:val="Heading1"/>
        <w:contextualSpacing w:val="0"/>
      </w:pPr>
      <w:bookmarkStart w:id="4" w:name="h.jwx65g7iecju" w:colFirst="0" w:colLast="0"/>
      <w:bookmarkEnd w:id="4"/>
      <w:r>
        <w:t>Proposed Approach</w:t>
      </w:r>
    </w:p>
    <w:p w14:paraId="51550821" w14:textId="77777777" w:rsidR="00954DB8" w:rsidRDefault="001C6B0C">
      <w:pPr>
        <w:pStyle w:val="Heading2"/>
        <w:contextualSpacing w:val="0"/>
      </w:pPr>
      <w:bookmarkStart w:id="5" w:name="h.5s6b3m6i8krz" w:colFirst="0" w:colLast="0"/>
      <w:bookmarkEnd w:id="5"/>
      <w:r>
        <w:t>Delivery Channels for Open Data Support</w:t>
      </w:r>
    </w:p>
    <w:p w14:paraId="4625CA75" w14:textId="77777777" w:rsidR="00954DB8" w:rsidRDefault="00954DB8">
      <w:pPr>
        <w:pStyle w:val="normal0"/>
      </w:pPr>
    </w:p>
    <w:p w14:paraId="32D4B6A2" w14:textId="77777777" w:rsidR="00954DB8" w:rsidRDefault="001C6B0C">
      <w:pPr>
        <w:pStyle w:val="normal0"/>
      </w:pPr>
      <w:r>
        <w:t>There are a least three channels via which RTI’s ICT unit can deliver support for transformative open data programs:</w:t>
      </w:r>
    </w:p>
    <w:p w14:paraId="256F2D4F" w14:textId="77777777" w:rsidR="00954DB8" w:rsidRDefault="00954DB8">
      <w:pPr>
        <w:pStyle w:val="normal0"/>
      </w:pPr>
    </w:p>
    <w:p w14:paraId="3529FBFA" w14:textId="77777777" w:rsidR="00954DB8" w:rsidRDefault="001C6B0C">
      <w:pPr>
        <w:pStyle w:val="normal0"/>
        <w:numPr>
          <w:ilvl w:val="0"/>
          <w:numId w:val="6"/>
        </w:numPr>
        <w:ind w:hanging="360"/>
        <w:contextualSpacing/>
      </w:pPr>
      <w:r>
        <w:rPr>
          <w:u w:val="single"/>
        </w:rPr>
        <w:t>Assist in development of open data programs in the countries where RTI projects operate</w:t>
      </w:r>
      <w:r>
        <w:t xml:space="preserve">. Following this approach the ICT unit would </w:t>
      </w:r>
      <w:proofErr w:type="gramStart"/>
      <w:r>
        <w:t>provid</w:t>
      </w:r>
      <w:r>
        <w:t>ed</w:t>
      </w:r>
      <w:proofErr w:type="gramEnd"/>
      <w:r>
        <w:t xml:space="preserve"> direct deliverable services to assist client countries to develop their own open data program capabilities.</w:t>
      </w:r>
    </w:p>
    <w:p w14:paraId="26B47C37" w14:textId="77777777" w:rsidR="00954DB8" w:rsidRDefault="001C6B0C">
      <w:pPr>
        <w:pStyle w:val="normal0"/>
        <w:numPr>
          <w:ilvl w:val="0"/>
          <w:numId w:val="6"/>
        </w:numPr>
        <w:ind w:hanging="360"/>
        <w:contextualSpacing/>
      </w:pPr>
      <w:r>
        <w:rPr>
          <w:u w:val="single"/>
        </w:rPr>
        <w:t xml:space="preserve">Modify RTI’s project management processes to ensure that project data gathered or </w:t>
      </w:r>
      <w:proofErr w:type="gramStart"/>
      <w:r>
        <w:rPr>
          <w:u w:val="single"/>
        </w:rPr>
        <w:t>generated  by</w:t>
      </w:r>
      <w:proofErr w:type="gramEnd"/>
      <w:r>
        <w:rPr>
          <w:u w:val="single"/>
        </w:rPr>
        <w:t xml:space="preserve"> the projects adheres to open data best practices</w:t>
      </w:r>
      <w:r>
        <w:t>.</w:t>
      </w:r>
      <w:r>
        <w:t xml:space="preserve"> Following this approach the ICT unit would develop standards, training, and technical resources that would be provided as “standard operating procedures” throughout RTI project operations. RTI and in-country staff, for example, would be trained in managin</w:t>
      </w:r>
      <w:r>
        <w:t>g data generation and data gathering to ensure compatibility with open data and metadata standards.</w:t>
      </w:r>
    </w:p>
    <w:p w14:paraId="750E0E03" w14:textId="77777777" w:rsidR="00954DB8" w:rsidRDefault="001C6B0C">
      <w:pPr>
        <w:pStyle w:val="normal0"/>
        <w:numPr>
          <w:ilvl w:val="0"/>
          <w:numId w:val="6"/>
        </w:numPr>
        <w:ind w:hanging="360"/>
        <w:contextualSpacing/>
      </w:pPr>
      <w:r>
        <w:rPr>
          <w:u w:val="single"/>
        </w:rPr>
        <w:t>Provide on demand and infrastructure support for open data activities as needed throughout RTI operations</w:t>
      </w:r>
      <w:r>
        <w:t>. By serving as RTI’s “back office” open data suppo</w:t>
      </w:r>
      <w:r>
        <w:t xml:space="preserve">rt operation the ICT unit could provide open data support on a shared services </w:t>
      </w:r>
      <w:proofErr w:type="spellStart"/>
      <w:r>
        <w:t>basios</w:t>
      </w:r>
      <w:proofErr w:type="spellEnd"/>
      <w:r>
        <w:t xml:space="preserve">. An example would be the development and operation of a customized open data portal and API </w:t>
      </w:r>
      <w:proofErr w:type="gramStart"/>
      <w:r>
        <w:t>support  service</w:t>
      </w:r>
      <w:proofErr w:type="gramEnd"/>
      <w:r>
        <w:t xml:space="preserve"> that would accelerate support for open data access through we</w:t>
      </w:r>
      <w:r>
        <w:t>bsites and mobile devices.</w:t>
      </w:r>
    </w:p>
    <w:p w14:paraId="373C8698" w14:textId="77777777" w:rsidR="00954DB8" w:rsidRDefault="00954DB8">
      <w:pPr>
        <w:pStyle w:val="normal0"/>
      </w:pPr>
    </w:p>
    <w:p w14:paraId="280458A6" w14:textId="77777777" w:rsidR="00954DB8" w:rsidRDefault="001C6B0C">
      <w:pPr>
        <w:pStyle w:val="normal0"/>
      </w:pPr>
      <w:r>
        <w:t>BaleFire Global can support any or all of these delivery channels and recommends adoption of a robust service model to guide development of ICT services such as those suggested above. In the following we describe one possible se</w:t>
      </w:r>
      <w:r>
        <w:t>rvice model for consideration by RTI.</w:t>
      </w:r>
    </w:p>
    <w:p w14:paraId="49C9B391" w14:textId="77777777" w:rsidR="00954DB8" w:rsidRDefault="001C6B0C">
      <w:pPr>
        <w:pStyle w:val="Heading2"/>
        <w:contextualSpacing w:val="0"/>
      </w:pPr>
      <w:bookmarkStart w:id="6" w:name="h.1v72g3w6w7x9" w:colFirst="0" w:colLast="0"/>
      <w:bookmarkEnd w:id="6"/>
      <w:r>
        <w:t>Government Digital Service as a Model</w:t>
      </w:r>
    </w:p>
    <w:p w14:paraId="59FAA4A8" w14:textId="77777777" w:rsidR="00954DB8" w:rsidRDefault="00954DB8">
      <w:pPr>
        <w:pStyle w:val="normal0"/>
      </w:pPr>
    </w:p>
    <w:p w14:paraId="7F8B98D8" w14:textId="77777777" w:rsidR="00954DB8" w:rsidRDefault="001C6B0C">
      <w:pPr>
        <w:pStyle w:val="normal0"/>
      </w:pPr>
      <w:r>
        <w:t>One possible approach is for RTI to pattern its approach on existing government programs. One model is the UK’s Government Digital Service (GDS) Unit. Another possible model, thou</w:t>
      </w:r>
      <w:r>
        <w:t>gh less mature, is the U.S. Federal government’s own U.S. Digital Services unit.</w:t>
      </w:r>
    </w:p>
    <w:p w14:paraId="2973922D" w14:textId="77777777" w:rsidR="00954DB8" w:rsidRDefault="00954DB8">
      <w:pPr>
        <w:pStyle w:val="normal0"/>
      </w:pPr>
    </w:p>
    <w:p w14:paraId="51BB9DFD" w14:textId="77777777" w:rsidR="00954DB8" w:rsidRDefault="001C6B0C">
      <w:pPr>
        <w:pStyle w:val="normal0"/>
      </w:pPr>
      <w:r>
        <w:t xml:space="preserve">The GDS in the UK has a highly effective program of transforming government ICT and data governance. The GDS works using a policy called “Digital by Default”. The Digital by </w:t>
      </w:r>
      <w:r>
        <w:t xml:space="preserve">Default Service Standard is the basis for a set of criteria for digital teams building government services to meet the standard where “meeting the standard” means that digital services associated with RTI operations are of a consistently high quality. </w:t>
      </w:r>
    </w:p>
    <w:p w14:paraId="25A8E45B" w14:textId="77777777" w:rsidR="00954DB8" w:rsidRDefault="00954DB8">
      <w:pPr>
        <w:pStyle w:val="normal0"/>
      </w:pPr>
    </w:p>
    <w:p w14:paraId="5B4D2AAF" w14:textId="77777777" w:rsidR="00954DB8" w:rsidRDefault="001C6B0C">
      <w:pPr>
        <w:pStyle w:val="normal0"/>
      </w:pPr>
      <w:r>
        <w:t>Fo</w:t>
      </w:r>
      <w:r>
        <w:t>r RTI this would, following this model</w:t>
      </w:r>
      <w:proofErr w:type="gramStart"/>
      <w:r>
        <w:t>,  include</w:t>
      </w:r>
      <w:proofErr w:type="gramEnd"/>
      <w:r>
        <w:t xml:space="preserve"> creating services that are easily improved, safe, secure and fulfill user needs, regardless of which of the three “channels” described in the previous section is followed.</w:t>
      </w:r>
    </w:p>
    <w:p w14:paraId="3A6B5B2F" w14:textId="77777777" w:rsidR="00954DB8" w:rsidRDefault="001C6B0C">
      <w:pPr>
        <w:pStyle w:val="Heading2"/>
        <w:contextualSpacing w:val="0"/>
      </w:pPr>
      <w:bookmarkStart w:id="7" w:name="h.vafhmdqlhf0u" w:colFirst="0" w:colLast="0"/>
      <w:bookmarkEnd w:id="7"/>
      <w:r>
        <w:lastRenderedPageBreak/>
        <w:t xml:space="preserve">Development of an RTI Data Service </w:t>
      </w:r>
      <w:r>
        <w:t>Standard</w:t>
      </w:r>
    </w:p>
    <w:p w14:paraId="4395EB39" w14:textId="77777777" w:rsidR="00954DB8" w:rsidRDefault="00954DB8">
      <w:pPr>
        <w:pStyle w:val="normal0"/>
      </w:pPr>
    </w:p>
    <w:p w14:paraId="696DB8AE" w14:textId="77777777" w:rsidR="00954DB8" w:rsidRDefault="001C6B0C">
      <w:pPr>
        <w:pStyle w:val="normal0"/>
      </w:pPr>
      <w:r>
        <w:t>Following this model RTI would use open data as the basis for actionable analytics in support of its varied education, training, health, and governance programs. Creating or adapting such a model to drive ICT unit services will require the follow</w:t>
      </w:r>
      <w:r>
        <w:t xml:space="preserve">ing types of tasks as recommended </w:t>
      </w:r>
      <w:proofErr w:type="gramStart"/>
      <w:r>
        <w:t>by  UK’s</w:t>
      </w:r>
      <w:proofErr w:type="gramEnd"/>
      <w:r>
        <w:t xml:space="preserve"> Digital By Default Service Standard manual</w:t>
      </w:r>
      <w:r>
        <w:rPr>
          <w:vertAlign w:val="superscript"/>
        </w:rPr>
        <w:footnoteReference w:id="1"/>
      </w:r>
      <w:r>
        <w:t>:</w:t>
      </w:r>
    </w:p>
    <w:p w14:paraId="3152D649" w14:textId="77777777" w:rsidR="00954DB8" w:rsidRDefault="00954DB8">
      <w:pPr>
        <w:pStyle w:val="normal0"/>
      </w:pPr>
    </w:p>
    <w:p w14:paraId="51F377A6" w14:textId="77777777" w:rsidR="00954DB8" w:rsidRDefault="001C6B0C">
      <w:pPr>
        <w:pStyle w:val="normal0"/>
        <w:numPr>
          <w:ilvl w:val="0"/>
          <w:numId w:val="4"/>
        </w:numPr>
        <w:ind w:hanging="360"/>
        <w:contextualSpacing/>
      </w:pPr>
      <w:r>
        <w:t>Understand user needs. Research to develop a deep knowledge of who the service users are and what that means for digital and assisted digital service design.</w:t>
      </w:r>
    </w:p>
    <w:p w14:paraId="0441FFF0" w14:textId="77777777" w:rsidR="00954DB8" w:rsidRDefault="001C6B0C">
      <w:pPr>
        <w:pStyle w:val="normal0"/>
        <w:numPr>
          <w:ilvl w:val="0"/>
          <w:numId w:val="4"/>
        </w:numPr>
        <w:ind w:hanging="360"/>
        <w:contextualSpacing/>
      </w:pPr>
      <w:r>
        <w:t>Put in place a sustainable multidisciplinary team that can design, build and operate the service, led by a suitably skilled and senior service manager with decision-making responsibility.</w:t>
      </w:r>
    </w:p>
    <w:p w14:paraId="73044B7D" w14:textId="77777777" w:rsidR="00954DB8" w:rsidRDefault="001C6B0C">
      <w:pPr>
        <w:pStyle w:val="normal0"/>
        <w:numPr>
          <w:ilvl w:val="0"/>
          <w:numId w:val="4"/>
        </w:numPr>
        <w:ind w:hanging="360"/>
        <w:contextualSpacing/>
      </w:pPr>
      <w:r>
        <w:t>Evaluate what user data and information the service will be providin</w:t>
      </w:r>
      <w:r>
        <w:t>g or storing, and address the security level, legal responsibilities, and risks associated with the service (consulting with experts where appropriate).</w:t>
      </w:r>
    </w:p>
    <w:p w14:paraId="06D0E82F" w14:textId="77777777" w:rsidR="00954DB8" w:rsidRDefault="001C6B0C">
      <w:pPr>
        <w:pStyle w:val="normal0"/>
        <w:numPr>
          <w:ilvl w:val="0"/>
          <w:numId w:val="4"/>
        </w:numPr>
        <w:ind w:hanging="360"/>
        <w:contextualSpacing/>
      </w:pPr>
      <w:r>
        <w:t>Evaluate the privacy risks to make sure that personal data collection requirements are appropriate. Pri</w:t>
      </w:r>
      <w:r>
        <w:t>vacy risks and privacy tolerance vary by country and region.</w:t>
      </w:r>
    </w:p>
    <w:p w14:paraId="17680A99" w14:textId="77777777" w:rsidR="00954DB8" w:rsidRDefault="001C6B0C">
      <w:pPr>
        <w:pStyle w:val="normal0"/>
        <w:numPr>
          <w:ilvl w:val="0"/>
          <w:numId w:val="4"/>
        </w:numPr>
        <w:ind w:hanging="360"/>
        <w:contextualSpacing/>
      </w:pPr>
      <w:r>
        <w:t>Evaluate what tools and systems will be used to build, host, operate and measure the service, and how to procure them.</w:t>
      </w:r>
    </w:p>
    <w:p w14:paraId="0D6B59EA" w14:textId="77777777" w:rsidR="00954DB8" w:rsidRDefault="001C6B0C">
      <w:pPr>
        <w:pStyle w:val="normal0"/>
        <w:numPr>
          <w:ilvl w:val="0"/>
          <w:numId w:val="4"/>
        </w:numPr>
        <w:ind w:hanging="360"/>
        <w:contextualSpacing/>
      </w:pPr>
      <w:r>
        <w:t>Build the service using the agile, iterative and user-</w:t>
      </w:r>
      <w:proofErr w:type="spellStart"/>
      <w:r>
        <w:t>centred</w:t>
      </w:r>
      <w:proofErr w:type="spellEnd"/>
      <w:r>
        <w:t xml:space="preserve"> methods.</w:t>
      </w:r>
    </w:p>
    <w:p w14:paraId="6A6520AD" w14:textId="77777777" w:rsidR="00954DB8" w:rsidRDefault="001C6B0C">
      <w:pPr>
        <w:pStyle w:val="normal0"/>
        <w:numPr>
          <w:ilvl w:val="0"/>
          <w:numId w:val="4"/>
        </w:numPr>
        <w:ind w:hanging="360"/>
        <w:contextualSpacing/>
      </w:pPr>
      <w:r>
        <w:t>Estab</w:t>
      </w:r>
      <w:r>
        <w:t>lish performance benchmarks using key performance indicators (KPIs) against which the service will be measured.</w:t>
      </w:r>
    </w:p>
    <w:p w14:paraId="44A36F4E" w14:textId="77777777" w:rsidR="00954DB8" w:rsidRDefault="001C6B0C">
      <w:pPr>
        <w:pStyle w:val="normal0"/>
        <w:numPr>
          <w:ilvl w:val="0"/>
          <w:numId w:val="4"/>
        </w:numPr>
        <w:ind w:hanging="360"/>
        <w:contextualSpacing/>
      </w:pPr>
      <w:r>
        <w:t>Analyze the prototype service’s success, and translate user feedback into features and tasks for the next phase of development.</w:t>
      </w:r>
    </w:p>
    <w:p w14:paraId="4CF1D0BD" w14:textId="77777777" w:rsidR="00954DB8" w:rsidRDefault="001C6B0C">
      <w:pPr>
        <w:pStyle w:val="normal0"/>
        <w:numPr>
          <w:ilvl w:val="0"/>
          <w:numId w:val="4"/>
        </w:numPr>
        <w:ind w:hanging="360"/>
        <w:contextualSpacing/>
      </w:pPr>
      <w:r>
        <w:t xml:space="preserve">Create services </w:t>
      </w:r>
      <w:r>
        <w:t>that are simple and intuitive enough that users succeed first time, unaided.</w:t>
      </w:r>
    </w:p>
    <w:p w14:paraId="73E1AE7C" w14:textId="77777777" w:rsidR="00954DB8" w:rsidRDefault="001C6B0C">
      <w:pPr>
        <w:pStyle w:val="normal0"/>
        <w:numPr>
          <w:ilvl w:val="0"/>
          <w:numId w:val="4"/>
        </w:numPr>
        <w:ind w:hanging="360"/>
        <w:contextualSpacing/>
      </w:pPr>
      <w:r>
        <w:t>Put appropriate assisted digital support in place that’s aimed towards those who genuinely need it.</w:t>
      </w:r>
    </w:p>
    <w:p w14:paraId="33EFC45B" w14:textId="77777777" w:rsidR="00954DB8" w:rsidRDefault="001C6B0C">
      <w:pPr>
        <w:pStyle w:val="normal0"/>
        <w:numPr>
          <w:ilvl w:val="0"/>
          <w:numId w:val="4"/>
        </w:numPr>
        <w:ind w:hanging="360"/>
        <w:contextualSpacing/>
      </w:pPr>
      <w:r>
        <w:t xml:space="preserve">Build a service consistent with a user experience based on design patterns and </w:t>
      </w:r>
      <w:r>
        <w:t>style guides developed by RTI.</w:t>
      </w:r>
    </w:p>
    <w:p w14:paraId="104CB3E6" w14:textId="77777777" w:rsidR="00954DB8" w:rsidRDefault="001C6B0C">
      <w:pPr>
        <w:pStyle w:val="normal0"/>
        <w:numPr>
          <w:ilvl w:val="0"/>
          <w:numId w:val="4"/>
        </w:numPr>
        <w:ind w:hanging="360"/>
        <w:contextualSpacing/>
      </w:pPr>
      <w:r>
        <w:t xml:space="preserve">Make all new source code open and reusable, and publish it under appropriate </w:t>
      </w:r>
      <w:proofErr w:type="spellStart"/>
      <w:r>
        <w:t>licences</w:t>
      </w:r>
      <w:proofErr w:type="spellEnd"/>
      <w:r>
        <w:t xml:space="preserve"> (or give a convincing explanation as to why this can’t be done for specific subsets of the source code).</w:t>
      </w:r>
    </w:p>
    <w:p w14:paraId="699E340D" w14:textId="77777777" w:rsidR="00954DB8" w:rsidRDefault="001C6B0C">
      <w:pPr>
        <w:pStyle w:val="normal0"/>
        <w:numPr>
          <w:ilvl w:val="0"/>
          <w:numId w:val="4"/>
        </w:numPr>
        <w:ind w:hanging="360"/>
        <w:contextualSpacing/>
      </w:pPr>
      <w:r>
        <w:t>Use open standards and common gove</w:t>
      </w:r>
      <w:r>
        <w:t>rnment platforms where available.</w:t>
      </w:r>
    </w:p>
    <w:p w14:paraId="753FCB15" w14:textId="77777777" w:rsidR="00954DB8" w:rsidRDefault="001C6B0C">
      <w:pPr>
        <w:pStyle w:val="normal0"/>
        <w:numPr>
          <w:ilvl w:val="0"/>
          <w:numId w:val="4"/>
        </w:numPr>
        <w:ind w:hanging="360"/>
        <w:contextualSpacing/>
      </w:pPr>
      <w:r>
        <w:t xml:space="preserve">Test the end-to-end service in an environment identical to that of the live version on all common browsers and devices. </w:t>
      </w:r>
    </w:p>
    <w:p w14:paraId="2B5EE834" w14:textId="77777777" w:rsidR="00954DB8" w:rsidRDefault="001C6B0C">
      <w:pPr>
        <w:pStyle w:val="normal0"/>
        <w:numPr>
          <w:ilvl w:val="0"/>
          <w:numId w:val="4"/>
        </w:numPr>
        <w:ind w:hanging="360"/>
        <w:contextualSpacing/>
      </w:pPr>
      <w:r>
        <w:t>Put a plan in place for ongoing user research and usability testing to continuously seek feedback fro</w:t>
      </w:r>
      <w:r>
        <w:t>m users.</w:t>
      </w:r>
    </w:p>
    <w:p w14:paraId="72FEEB3A" w14:textId="77777777" w:rsidR="00954DB8" w:rsidRDefault="001C6B0C">
      <w:pPr>
        <w:pStyle w:val="normal0"/>
        <w:numPr>
          <w:ilvl w:val="0"/>
          <w:numId w:val="4"/>
        </w:numPr>
        <w:ind w:hanging="360"/>
        <w:contextualSpacing/>
      </w:pPr>
      <w:r>
        <w:t xml:space="preserve">Establish a benchmark for user satisfaction across the digital and assisted digital service. </w:t>
      </w:r>
    </w:p>
    <w:p w14:paraId="38931631" w14:textId="77777777" w:rsidR="00954DB8" w:rsidRDefault="001C6B0C">
      <w:pPr>
        <w:pStyle w:val="normal0"/>
        <w:numPr>
          <w:ilvl w:val="0"/>
          <w:numId w:val="4"/>
        </w:numPr>
        <w:ind w:hanging="360"/>
        <w:contextualSpacing/>
      </w:pPr>
      <w:r>
        <w:t xml:space="preserve">Establish a benchmark for completion rates across the digital and assisted digital service. </w:t>
      </w:r>
    </w:p>
    <w:p w14:paraId="7DC73508" w14:textId="77777777" w:rsidR="00954DB8" w:rsidRDefault="001C6B0C">
      <w:pPr>
        <w:pStyle w:val="Heading2"/>
        <w:contextualSpacing w:val="0"/>
      </w:pPr>
      <w:bookmarkStart w:id="8" w:name="h.3znysh7" w:colFirst="0" w:colLast="0"/>
      <w:bookmarkEnd w:id="8"/>
      <w:r>
        <w:t>Open Data Team Products and Services</w:t>
      </w:r>
    </w:p>
    <w:p w14:paraId="5E4A6EF0" w14:textId="77777777" w:rsidR="00954DB8" w:rsidRDefault="00954DB8">
      <w:pPr>
        <w:pStyle w:val="normal0"/>
        <w:spacing w:line="240" w:lineRule="auto"/>
      </w:pPr>
    </w:p>
    <w:p w14:paraId="688ED0EA" w14:textId="77777777" w:rsidR="00954DB8" w:rsidRDefault="001C6B0C">
      <w:pPr>
        <w:pStyle w:val="normal0"/>
      </w:pPr>
      <w:r>
        <w:lastRenderedPageBreak/>
        <w:t>The new RTI unit shoul</w:t>
      </w:r>
      <w:r>
        <w:t xml:space="preserve">d work as a technology agnostic service supplier specializing in open data governance and business development around open data programs. As BaleFire Global we have developed partnerships with </w:t>
      </w:r>
      <w:proofErr w:type="spellStart"/>
      <w:r>
        <w:t>Socrata</w:t>
      </w:r>
      <w:proofErr w:type="spellEnd"/>
      <w:r>
        <w:t>, Open Data Soft, and CKAN. These partnerships allow com</w:t>
      </w:r>
      <w:r>
        <w:t>paring the functional requirements of our clients and matching them to the technology most suited to the client strategy.</w:t>
      </w:r>
    </w:p>
    <w:p w14:paraId="49F19825" w14:textId="77777777" w:rsidR="00954DB8" w:rsidRDefault="00954DB8">
      <w:pPr>
        <w:pStyle w:val="normal0"/>
        <w:spacing w:line="240" w:lineRule="auto"/>
      </w:pPr>
    </w:p>
    <w:p w14:paraId="546695F0" w14:textId="77777777" w:rsidR="00954DB8" w:rsidRDefault="001C6B0C">
      <w:pPr>
        <w:pStyle w:val="normal0"/>
      </w:pPr>
      <w:r>
        <w:t>Our business services have one core outcome, to engage citizens and the private sector to create application rich and data aware envi</w:t>
      </w:r>
      <w:r>
        <w:t>ronments. Without creative approaches to engaging the public and private sectors, the value of open data to government is low.</w:t>
      </w:r>
    </w:p>
    <w:p w14:paraId="7E92F180" w14:textId="77777777" w:rsidR="00954DB8" w:rsidRDefault="001C6B0C">
      <w:pPr>
        <w:pStyle w:val="normal0"/>
      </w:pPr>
      <w:r>
        <w:br/>
        <w:t>Our clients do not think of us merely as a vendor for an open data or a development project, but as a primary partner that could</w:t>
      </w:r>
      <w:r>
        <w:t xml:space="preserve"> add value across many areas as needed. Our unit divides open data initiatives, deployments and programs along three basic lines: </w:t>
      </w:r>
    </w:p>
    <w:p w14:paraId="6647A91E" w14:textId="77777777" w:rsidR="00954DB8" w:rsidRDefault="00954DB8">
      <w:pPr>
        <w:pStyle w:val="normal0"/>
      </w:pPr>
    </w:p>
    <w:p w14:paraId="662FDA35" w14:textId="77777777" w:rsidR="00954DB8" w:rsidRDefault="001C6B0C">
      <w:pPr>
        <w:pStyle w:val="normal0"/>
        <w:numPr>
          <w:ilvl w:val="0"/>
          <w:numId w:val="8"/>
        </w:numPr>
        <w:ind w:hanging="360"/>
        <w:contextualSpacing/>
      </w:pPr>
      <w:r>
        <w:t>Pre-implementation</w:t>
      </w:r>
    </w:p>
    <w:p w14:paraId="54D31C30" w14:textId="77777777" w:rsidR="00954DB8" w:rsidRDefault="001C6B0C">
      <w:pPr>
        <w:pStyle w:val="normal0"/>
        <w:numPr>
          <w:ilvl w:val="0"/>
          <w:numId w:val="8"/>
        </w:numPr>
        <w:ind w:hanging="360"/>
        <w:contextualSpacing/>
      </w:pPr>
      <w:r>
        <w:t>Implementation</w:t>
      </w:r>
    </w:p>
    <w:p w14:paraId="41ED3DB8" w14:textId="77777777" w:rsidR="00954DB8" w:rsidRDefault="001C6B0C">
      <w:pPr>
        <w:pStyle w:val="normal0"/>
        <w:numPr>
          <w:ilvl w:val="0"/>
          <w:numId w:val="8"/>
        </w:numPr>
        <w:ind w:hanging="360"/>
        <w:contextualSpacing/>
      </w:pPr>
      <w:r>
        <w:t>Post-Implementation</w:t>
      </w:r>
    </w:p>
    <w:p w14:paraId="4565A558" w14:textId="77777777" w:rsidR="00954DB8" w:rsidRDefault="00954DB8">
      <w:pPr>
        <w:pStyle w:val="normal0"/>
      </w:pPr>
    </w:p>
    <w:p w14:paraId="6784F137" w14:textId="77777777" w:rsidR="00954DB8" w:rsidRDefault="001C6B0C">
      <w:pPr>
        <w:pStyle w:val="normal0"/>
      </w:pPr>
      <w:r>
        <w:t xml:space="preserve">In addition we score each part of our business offerings with a “Capabilities Index” that allows us to demonstrate to our clients the maturity roadmap from the current state and potential state in regards to their open data program. </w:t>
      </w:r>
    </w:p>
    <w:p w14:paraId="7226B96C" w14:textId="77777777" w:rsidR="00954DB8" w:rsidRDefault="00954DB8">
      <w:pPr>
        <w:pStyle w:val="Heading1"/>
        <w:contextualSpacing w:val="0"/>
      </w:pPr>
      <w:bookmarkStart w:id="9" w:name="h.58qyfmia6yl" w:colFirst="0" w:colLast="0"/>
      <w:bookmarkEnd w:id="9"/>
    </w:p>
    <w:p w14:paraId="52A45A65" w14:textId="77777777" w:rsidR="00954DB8" w:rsidRDefault="00954DB8">
      <w:pPr>
        <w:pStyle w:val="Heading1"/>
        <w:contextualSpacing w:val="0"/>
      </w:pPr>
      <w:bookmarkStart w:id="10" w:name="h.dtgaocgnv5d4" w:colFirst="0" w:colLast="0"/>
      <w:bookmarkEnd w:id="10"/>
    </w:p>
    <w:p w14:paraId="062CBFC5" w14:textId="77777777" w:rsidR="00954DB8" w:rsidRDefault="001C6B0C">
      <w:pPr>
        <w:pStyle w:val="normal0"/>
      </w:pPr>
      <w:r>
        <w:br w:type="page"/>
      </w:r>
    </w:p>
    <w:p w14:paraId="7DC58B54" w14:textId="77777777" w:rsidR="00954DB8" w:rsidRDefault="00954DB8">
      <w:pPr>
        <w:pStyle w:val="Heading1"/>
        <w:contextualSpacing w:val="0"/>
      </w:pPr>
      <w:bookmarkStart w:id="11" w:name="h.gl6lab2cetqs" w:colFirst="0" w:colLast="0"/>
      <w:bookmarkEnd w:id="11"/>
    </w:p>
    <w:p w14:paraId="1E7F2083" w14:textId="77777777" w:rsidR="00954DB8" w:rsidRDefault="001C6B0C">
      <w:pPr>
        <w:pStyle w:val="Heading1"/>
        <w:contextualSpacing w:val="0"/>
      </w:pPr>
      <w:bookmarkStart w:id="12" w:name="h.kjo76f43uj7h" w:colFirst="0" w:colLast="0"/>
      <w:bookmarkEnd w:id="12"/>
      <w:r>
        <w:t>BFG’s Service Cor</w:t>
      </w:r>
      <w:r>
        <w:t>e Offerings</w:t>
      </w:r>
    </w:p>
    <w:p w14:paraId="0E0EF2F9" w14:textId="77777777" w:rsidR="00954DB8" w:rsidRDefault="00954DB8">
      <w:pPr>
        <w:pStyle w:val="normal0"/>
      </w:pPr>
    </w:p>
    <w:p w14:paraId="6E8BE277" w14:textId="77777777" w:rsidR="00954DB8" w:rsidRDefault="001C6B0C">
      <w:pPr>
        <w:pStyle w:val="normal0"/>
      </w:pPr>
      <w:r>
        <w:t>We propose to adapt BFG’s core service offerings, where appropriate, for use by RTI ICT in supporting RTI projects and programs.</w:t>
      </w:r>
    </w:p>
    <w:p w14:paraId="077BEF49" w14:textId="77777777" w:rsidR="00954DB8" w:rsidRDefault="001C6B0C">
      <w:pPr>
        <w:pStyle w:val="Heading2"/>
        <w:contextualSpacing w:val="0"/>
      </w:pPr>
      <w:bookmarkStart w:id="13" w:name="h.3dy6vkm" w:colFirst="0" w:colLast="0"/>
      <w:bookmarkEnd w:id="13"/>
      <w:r>
        <w:t>Pre-implementation services</w:t>
      </w:r>
    </w:p>
    <w:p w14:paraId="38978755" w14:textId="77777777" w:rsidR="00954DB8" w:rsidRDefault="00954DB8">
      <w:pPr>
        <w:pStyle w:val="normal0"/>
        <w:widowControl w:val="0"/>
        <w:spacing w:line="240" w:lineRule="auto"/>
      </w:pPr>
    </w:p>
    <w:p w14:paraId="282F8A1E" w14:textId="77777777" w:rsidR="00954DB8" w:rsidRDefault="001C6B0C">
      <w:pPr>
        <w:pStyle w:val="normal0"/>
        <w:numPr>
          <w:ilvl w:val="0"/>
          <w:numId w:val="7"/>
        </w:numPr>
        <w:ind w:hanging="360"/>
        <w:contextualSpacing/>
      </w:pPr>
      <w:r>
        <w:t>Assessments (Readiness as well as assessing current open data portal against best practice rubric)</w:t>
      </w:r>
    </w:p>
    <w:p w14:paraId="42D26A41" w14:textId="77777777" w:rsidR="00954DB8" w:rsidRDefault="001C6B0C">
      <w:pPr>
        <w:pStyle w:val="normal0"/>
        <w:numPr>
          <w:ilvl w:val="0"/>
          <w:numId w:val="7"/>
        </w:numPr>
        <w:ind w:hanging="360"/>
        <w:contextualSpacing/>
      </w:pPr>
      <w:r>
        <w:t>Data Audits</w:t>
      </w:r>
    </w:p>
    <w:p w14:paraId="1D4312C9" w14:textId="77777777" w:rsidR="00954DB8" w:rsidRDefault="001C6B0C">
      <w:pPr>
        <w:pStyle w:val="normal0"/>
        <w:numPr>
          <w:ilvl w:val="0"/>
          <w:numId w:val="7"/>
        </w:numPr>
        <w:ind w:hanging="360"/>
        <w:contextualSpacing/>
      </w:pPr>
      <w:r>
        <w:t>Gap Analysis</w:t>
      </w:r>
    </w:p>
    <w:p w14:paraId="31347453" w14:textId="77777777" w:rsidR="00954DB8" w:rsidRDefault="001C6B0C">
      <w:pPr>
        <w:pStyle w:val="normal0"/>
        <w:numPr>
          <w:ilvl w:val="0"/>
          <w:numId w:val="7"/>
        </w:numPr>
        <w:ind w:hanging="360"/>
        <w:contextualSpacing/>
      </w:pPr>
      <w:r>
        <w:t>Training</w:t>
      </w:r>
    </w:p>
    <w:p w14:paraId="445F5CAF" w14:textId="77777777" w:rsidR="00954DB8" w:rsidRDefault="001C6B0C">
      <w:pPr>
        <w:pStyle w:val="normal0"/>
        <w:numPr>
          <w:ilvl w:val="0"/>
          <w:numId w:val="7"/>
        </w:numPr>
        <w:ind w:hanging="360"/>
        <w:contextualSpacing/>
      </w:pPr>
      <w:r>
        <w:t>Program advisement, strategic planning</w:t>
      </w:r>
    </w:p>
    <w:p w14:paraId="197378D2" w14:textId="77777777" w:rsidR="00954DB8" w:rsidRDefault="001C6B0C">
      <w:pPr>
        <w:pStyle w:val="normal0"/>
        <w:numPr>
          <w:ilvl w:val="0"/>
          <w:numId w:val="7"/>
        </w:numPr>
        <w:ind w:hanging="360"/>
        <w:contextualSpacing/>
      </w:pPr>
      <w:r>
        <w:t>Project SDM advisement and development</w:t>
      </w:r>
    </w:p>
    <w:p w14:paraId="7DEEE28F" w14:textId="77777777" w:rsidR="00954DB8" w:rsidRDefault="001C6B0C">
      <w:pPr>
        <w:pStyle w:val="Heading2"/>
        <w:contextualSpacing w:val="0"/>
      </w:pPr>
      <w:bookmarkStart w:id="14" w:name="h.qkyqeaw06ya" w:colFirst="0" w:colLast="0"/>
      <w:bookmarkEnd w:id="14"/>
      <w:r>
        <w:t>Implementation services</w:t>
      </w:r>
    </w:p>
    <w:p w14:paraId="507672B9" w14:textId="77777777" w:rsidR="00954DB8" w:rsidRDefault="00954DB8">
      <w:pPr>
        <w:pStyle w:val="normal0"/>
      </w:pPr>
    </w:p>
    <w:p w14:paraId="6B1BF6E6" w14:textId="77777777" w:rsidR="00954DB8" w:rsidRDefault="001C6B0C">
      <w:pPr>
        <w:pStyle w:val="normal0"/>
        <w:numPr>
          <w:ilvl w:val="0"/>
          <w:numId w:val="9"/>
        </w:numPr>
        <w:ind w:hanging="360"/>
        <w:contextualSpacing/>
      </w:pPr>
      <w:r>
        <w:t xml:space="preserve">Data extraction and </w:t>
      </w:r>
      <w:r>
        <w:t>transformation and loading (ETLs)</w:t>
      </w:r>
    </w:p>
    <w:p w14:paraId="2ADBD1A3" w14:textId="77777777" w:rsidR="00954DB8" w:rsidRDefault="001C6B0C">
      <w:pPr>
        <w:pStyle w:val="normal0"/>
        <w:numPr>
          <w:ilvl w:val="0"/>
          <w:numId w:val="9"/>
        </w:numPr>
        <w:ind w:hanging="360"/>
        <w:contextualSpacing/>
      </w:pPr>
      <w:r>
        <w:t>Developing programmatic ETLs</w:t>
      </w:r>
    </w:p>
    <w:p w14:paraId="4E062C43" w14:textId="77777777" w:rsidR="00954DB8" w:rsidRDefault="001C6B0C">
      <w:pPr>
        <w:pStyle w:val="normal0"/>
        <w:numPr>
          <w:ilvl w:val="0"/>
          <w:numId w:val="9"/>
        </w:numPr>
        <w:ind w:hanging="360"/>
        <w:contextualSpacing/>
      </w:pPr>
      <w:r>
        <w:t>Designing API strategies and architectures</w:t>
      </w:r>
    </w:p>
    <w:p w14:paraId="5DDCDC35" w14:textId="77777777" w:rsidR="00954DB8" w:rsidRDefault="001C6B0C">
      <w:pPr>
        <w:pStyle w:val="normal0"/>
        <w:numPr>
          <w:ilvl w:val="0"/>
          <w:numId w:val="9"/>
        </w:numPr>
        <w:ind w:hanging="360"/>
        <w:contextualSpacing/>
      </w:pPr>
      <w:r>
        <w:t>Enterprise Architecture advisement</w:t>
      </w:r>
    </w:p>
    <w:p w14:paraId="7CF8BD3C" w14:textId="77777777" w:rsidR="00954DB8" w:rsidRDefault="001C6B0C">
      <w:pPr>
        <w:pStyle w:val="normal0"/>
        <w:numPr>
          <w:ilvl w:val="0"/>
          <w:numId w:val="9"/>
        </w:numPr>
        <w:ind w:hanging="360"/>
        <w:contextualSpacing/>
      </w:pPr>
      <w:r>
        <w:t>UX and CX analysis and recommendations</w:t>
      </w:r>
    </w:p>
    <w:p w14:paraId="6D809AC9" w14:textId="77777777" w:rsidR="00954DB8" w:rsidRDefault="001C6B0C">
      <w:pPr>
        <w:pStyle w:val="Heading2"/>
        <w:contextualSpacing w:val="0"/>
      </w:pPr>
      <w:bookmarkStart w:id="15" w:name="h.qwooyim1060p" w:colFirst="0" w:colLast="0"/>
      <w:bookmarkEnd w:id="15"/>
      <w:r>
        <w:t>Post-implementation services</w:t>
      </w:r>
    </w:p>
    <w:p w14:paraId="79BEF1C0" w14:textId="77777777" w:rsidR="00954DB8" w:rsidRDefault="00954DB8">
      <w:pPr>
        <w:pStyle w:val="normal0"/>
      </w:pPr>
    </w:p>
    <w:p w14:paraId="2D4D3FC6" w14:textId="77777777" w:rsidR="00954DB8" w:rsidRDefault="001C6B0C">
      <w:pPr>
        <w:pStyle w:val="normal0"/>
        <w:numPr>
          <w:ilvl w:val="0"/>
          <w:numId w:val="10"/>
        </w:numPr>
        <w:ind w:hanging="360"/>
        <w:contextualSpacing/>
      </w:pPr>
      <w:r>
        <w:t>On-going training via subscription</w:t>
      </w:r>
    </w:p>
    <w:p w14:paraId="07944D80" w14:textId="77777777" w:rsidR="00954DB8" w:rsidRDefault="001C6B0C">
      <w:pPr>
        <w:pStyle w:val="normal0"/>
        <w:numPr>
          <w:ilvl w:val="0"/>
          <w:numId w:val="10"/>
        </w:numPr>
        <w:ind w:hanging="360"/>
        <w:contextualSpacing/>
      </w:pPr>
      <w:r>
        <w:t>Program development and advisement</w:t>
      </w:r>
    </w:p>
    <w:p w14:paraId="5F6DCE50" w14:textId="77777777" w:rsidR="00954DB8" w:rsidRDefault="001C6B0C">
      <w:pPr>
        <w:pStyle w:val="normal0"/>
        <w:numPr>
          <w:ilvl w:val="0"/>
          <w:numId w:val="10"/>
        </w:numPr>
        <w:ind w:hanging="360"/>
        <w:contextualSpacing/>
      </w:pPr>
      <w:r>
        <w:t>Policy and legal strategies for privacy, adherence to local and state laws recording record disclosures</w:t>
      </w:r>
    </w:p>
    <w:p w14:paraId="1290B05A" w14:textId="77777777" w:rsidR="00954DB8" w:rsidRDefault="001C6B0C">
      <w:pPr>
        <w:pStyle w:val="normal0"/>
        <w:numPr>
          <w:ilvl w:val="0"/>
          <w:numId w:val="10"/>
        </w:numPr>
        <w:ind w:hanging="360"/>
        <w:contextualSpacing/>
      </w:pPr>
      <w:r>
        <w:t>Data set certification</w:t>
      </w:r>
    </w:p>
    <w:p w14:paraId="53CA25A4" w14:textId="77777777" w:rsidR="00954DB8" w:rsidRDefault="001C6B0C">
      <w:pPr>
        <w:pStyle w:val="normal0"/>
        <w:numPr>
          <w:ilvl w:val="0"/>
          <w:numId w:val="10"/>
        </w:numPr>
        <w:ind w:hanging="360"/>
        <w:contextualSpacing/>
      </w:pPr>
      <w:r>
        <w:t>Program audit and accreditation</w:t>
      </w:r>
    </w:p>
    <w:p w14:paraId="0D12E038" w14:textId="77777777" w:rsidR="00954DB8" w:rsidRDefault="001C6B0C">
      <w:pPr>
        <w:pStyle w:val="normal0"/>
        <w:numPr>
          <w:ilvl w:val="0"/>
          <w:numId w:val="10"/>
        </w:numPr>
        <w:ind w:hanging="360"/>
        <w:contextualSpacing/>
      </w:pPr>
      <w:r>
        <w:t>Client staff professional development (helping them certify on</w:t>
      </w:r>
      <w:r>
        <w:t xml:space="preserve"> the technology they are using)</w:t>
      </w:r>
    </w:p>
    <w:p w14:paraId="28307D71" w14:textId="77777777" w:rsidR="00954DB8" w:rsidRDefault="001C6B0C">
      <w:pPr>
        <w:pStyle w:val="normal0"/>
        <w:numPr>
          <w:ilvl w:val="0"/>
          <w:numId w:val="10"/>
        </w:numPr>
        <w:ind w:hanging="360"/>
        <w:contextualSpacing/>
      </w:pPr>
      <w:r>
        <w:t>Data governance up to providing a virtual CDO</w:t>
      </w:r>
    </w:p>
    <w:p w14:paraId="67491B42" w14:textId="77777777" w:rsidR="00954DB8" w:rsidRDefault="00954DB8">
      <w:pPr>
        <w:pStyle w:val="normal0"/>
        <w:spacing w:line="240" w:lineRule="auto"/>
      </w:pPr>
    </w:p>
    <w:p w14:paraId="7AA7B08E" w14:textId="77777777" w:rsidR="00954DB8" w:rsidRDefault="001C6B0C">
      <w:pPr>
        <w:pStyle w:val="normal0"/>
      </w:pPr>
      <w:r>
        <w:t>Additional details of these core service offerings are provided in Appendix A.</w:t>
      </w:r>
    </w:p>
    <w:p w14:paraId="0E2D21EA" w14:textId="77777777" w:rsidR="00954DB8" w:rsidRDefault="001C6B0C">
      <w:pPr>
        <w:pStyle w:val="normal0"/>
      </w:pPr>
      <w:r>
        <w:br w:type="page"/>
      </w:r>
    </w:p>
    <w:p w14:paraId="747AB7E4" w14:textId="77777777" w:rsidR="00954DB8" w:rsidRDefault="00954DB8">
      <w:pPr>
        <w:pStyle w:val="Heading1"/>
        <w:contextualSpacing w:val="0"/>
      </w:pPr>
      <w:bookmarkStart w:id="16" w:name="h.d3109dnk2kjz" w:colFirst="0" w:colLast="0"/>
      <w:bookmarkEnd w:id="16"/>
    </w:p>
    <w:p w14:paraId="22ED9446" w14:textId="77777777" w:rsidR="00954DB8" w:rsidRDefault="001C6B0C">
      <w:pPr>
        <w:pStyle w:val="Heading1"/>
        <w:contextualSpacing w:val="0"/>
      </w:pPr>
      <w:bookmarkStart w:id="17" w:name="h.30j0zll" w:colFirst="0" w:colLast="0"/>
      <w:bookmarkEnd w:id="17"/>
      <w:r>
        <w:t>BaleFire Global LLC and Proposed Project Staff</w:t>
      </w:r>
    </w:p>
    <w:p w14:paraId="0F5E1162" w14:textId="77777777" w:rsidR="00954DB8" w:rsidRDefault="001C6B0C">
      <w:pPr>
        <w:pStyle w:val="normal0"/>
      </w:pPr>
      <w:r>
        <w:br/>
        <w:t>Data is the 21st century’s new raw material. Th</w:t>
      </w:r>
      <w:r>
        <w:t xml:space="preserve">e availability of data is the key to the identification of economic opportunities and policy decision-making. Without a strong program aligned to promote reuse of open data, the data itself will have little value. </w:t>
      </w:r>
    </w:p>
    <w:p w14:paraId="26CD88D0" w14:textId="77777777" w:rsidR="00954DB8" w:rsidRDefault="00954DB8">
      <w:pPr>
        <w:pStyle w:val="normal0"/>
      </w:pPr>
    </w:p>
    <w:p w14:paraId="36064D7C" w14:textId="77777777" w:rsidR="00954DB8" w:rsidRDefault="001C6B0C">
      <w:pPr>
        <w:pStyle w:val="normal0"/>
      </w:pPr>
      <w:r>
        <w:t>We have a record of successful engagemen</w:t>
      </w:r>
      <w:r>
        <w:t>ts with municipal, state and national governments to fundamentally change the way governments interact with their citizens. This interaction centers on the concept of “data as infrastructure” where data is a strategic asset that belongs to everyone.</w:t>
      </w:r>
    </w:p>
    <w:p w14:paraId="2AD7512F" w14:textId="77777777" w:rsidR="00954DB8" w:rsidRDefault="00954DB8">
      <w:pPr>
        <w:pStyle w:val="normal0"/>
        <w:spacing w:line="240" w:lineRule="auto"/>
      </w:pPr>
    </w:p>
    <w:p w14:paraId="21524853" w14:textId="77777777" w:rsidR="00954DB8" w:rsidRDefault="001C6B0C">
      <w:pPr>
        <w:pStyle w:val="normal0"/>
      </w:pPr>
      <w:r>
        <w:rPr>
          <w:b/>
        </w:rPr>
        <w:t>All o</w:t>
      </w:r>
      <w:r>
        <w:rPr>
          <w:b/>
        </w:rPr>
        <w:t>f our services and strategies are aimed at providing measurable business outcomes aligning to an open data strategy.</w:t>
      </w:r>
    </w:p>
    <w:p w14:paraId="6CAD603B" w14:textId="77777777" w:rsidR="00954DB8" w:rsidRDefault="00954DB8">
      <w:pPr>
        <w:pStyle w:val="normal0"/>
        <w:spacing w:line="240" w:lineRule="auto"/>
      </w:pPr>
    </w:p>
    <w:p w14:paraId="5251AD98" w14:textId="77777777" w:rsidR="00954DB8" w:rsidRDefault="001C6B0C">
      <w:pPr>
        <w:pStyle w:val="normal0"/>
      </w:pPr>
      <w:r>
        <w:t xml:space="preserve">Our </w:t>
      </w:r>
      <w:proofErr w:type="gramStart"/>
      <w:r>
        <w:t>staff work</w:t>
      </w:r>
      <w:proofErr w:type="gramEnd"/>
      <w:r>
        <w:t xml:space="preserve"> with government executive teams, departments, agencies and ministries to map out open data strategies that create value and</w:t>
      </w:r>
      <w:r>
        <w:t xml:space="preserve"> provide a path to citizen engagement and collaboration. This business unit is built on collaboration between government and civil society. </w:t>
      </w:r>
    </w:p>
    <w:p w14:paraId="227D8B4B" w14:textId="77777777" w:rsidR="00954DB8" w:rsidRDefault="001C6B0C">
      <w:pPr>
        <w:pStyle w:val="Heading2"/>
        <w:contextualSpacing w:val="0"/>
      </w:pPr>
      <w:bookmarkStart w:id="18" w:name="h.1fob9te" w:colFirst="0" w:colLast="0"/>
      <w:bookmarkEnd w:id="18"/>
      <w:r>
        <w:t>Business Overview</w:t>
      </w:r>
    </w:p>
    <w:p w14:paraId="45558560" w14:textId="77777777" w:rsidR="00954DB8" w:rsidRDefault="00954DB8">
      <w:pPr>
        <w:pStyle w:val="normal0"/>
        <w:spacing w:line="240" w:lineRule="auto"/>
      </w:pPr>
    </w:p>
    <w:p w14:paraId="7CEA9880" w14:textId="77777777" w:rsidR="00954DB8" w:rsidRDefault="001C6B0C">
      <w:pPr>
        <w:pStyle w:val="normal0"/>
      </w:pPr>
      <w:r>
        <w:t>Being located in the heart of the Research Triangle Park gives our company access to some of the</w:t>
      </w:r>
      <w:r>
        <w:t xml:space="preserve"> biggest technology companies in the world. RTI ITC engaged with BaleFire Global to develop a plan that could become the core of RTIs efforts to operate within the international open data community. BaleFire Global has deep roots in the international open </w:t>
      </w:r>
      <w:r>
        <w:t xml:space="preserve">data community as well as NGOs. Nicole </w:t>
      </w:r>
      <w:proofErr w:type="spellStart"/>
      <w:r>
        <w:t>Raimundo</w:t>
      </w:r>
      <w:proofErr w:type="spellEnd"/>
      <w:r>
        <w:t xml:space="preserve">, Jason Hare and Dennis McDonald worked on this plan. </w:t>
      </w:r>
    </w:p>
    <w:p w14:paraId="4EE96487" w14:textId="77777777" w:rsidR="00954DB8" w:rsidRDefault="00954DB8">
      <w:pPr>
        <w:pStyle w:val="normal0"/>
      </w:pPr>
    </w:p>
    <w:p w14:paraId="6AC27CF6" w14:textId="77777777" w:rsidR="00954DB8" w:rsidRDefault="001C6B0C">
      <w:pPr>
        <w:pStyle w:val="normal0"/>
      </w:pPr>
      <w:r>
        <w:t>Our mission is to foster regional collaboration between cities, states and countries to create vast data ecosystems that promote innovation through the c</w:t>
      </w:r>
      <w:r>
        <w:t>reation of data aware applications. This is fundamentally at the core of what we deliver. Creation of sustainable two-sided data markets through citizen engagement and the widespread adoption of data aware devices.</w:t>
      </w:r>
    </w:p>
    <w:p w14:paraId="4240D51D" w14:textId="77777777" w:rsidR="00954DB8" w:rsidRDefault="001C6B0C">
      <w:pPr>
        <w:pStyle w:val="Heading2"/>
        <w:contextualSpacing w:val="0"/>
      </w:pPr>
      <w:bookmarkStart w:id="19" w:name="h.47ia50x4limq" w:colFirst="0" w:colLast="0"/>
      <w:bookmarkEnd w:id="19"/>
      <w:r>
        <w:t>Key Staff</w:t>
      </w:r>
    </w:p>
    <w:p w14:paraId="4C3C9B04" w14:textId="77777777" w:rsidR="00954DB8" w:rsidRDefault="00954DB8">
      <w:pPr>
        <w:pStyle w:val="normal0"/>
      </w:pPr>
    </w:p>
    <w:p w14:paraId="4C13CE5B" w14:textId="77777777" w:rsidR="00954DB8" w:rsidRDefault="001C6B0C">
      <w:pPr>
        <w:pStyle w:val="normal0"/>
      </w:pPr>
      <w:r>
        <w:rPr>
          <w:u w:val="single"/>
        </w:rPr>
        <w:t xml:space="preserve">Nicole </w:t>
      </w:r>
      <w:proofErr w:type="spellStart"/>
      <w:r>
        <w:rPr>
          <w:u w:val="single"/>
        </w:rPr>
        <w:t>Raimundo</w:t>
      </w:r>
      <w:proofErr w:type="spellEnd"/>
      <w:r>
        <w:t xml:space="preserve"> is the CEO and Co-Founder of BaleFire Global LLC. </w:t>
      </w:r>
      <w:r>
        <w:rPr>
          <w:u w:val="single"/>
        </w:rPr>
        <w:t>Jason Hare</w:t>
      </w:r>
      <w:r>
        <w:t xml:space="preserve"> is the other Co-Founder and acts as the Director of Open Data as well as the Executive Director of our overseas offices. </w:t>
      </w:r>
      <w:r>
        <w:rPr>
          <w:u w:val="single"/>
        </w:rPr>
        <w:t>Dr. Dennis D. McDonald</w:t>
      </w:r>
      <w:r>
        <w:t xml:space="preserve"> is a Sr. Consultant with Balefire and supports </w:t>
      </w:r>
      <w:proofErr w:type="spellStart"/>
      <w:r>
        <w:t>Bal</w:t>
      </w:r>
      <w:r>
        <w:t>eFire’s</w:t>
      </w:r>
      <w:proofErr w:type="spellEnd"/>
      <w:r>
        <w:t xml:space="preserve"> project management and strategy work.</w:t>
      </w:r>
    </w:p>
    <w:p w14:paraId="2EE05419" w14:textId="77777777" w:rsidR="00954DB8" w:rsidRDefault="00954DB8">
      <w:pPr>
        <w:pStyle w:val="normal0"/>
      </w:pPr>
    </w:p>
    <w:p w14:paraId="6F071128" w14:textId="77777777" w:rsidR="00954DB8" w:rsidRDefault="00954DB8">
      <w:pPr>
        <w:pStyle w:val="normal0"/>
      </w:pPr>
    </w:p>
    <w:p w14:paraId="7D2A0FB5" w14:textId="77777777" w:rsidR="00954DB8" w:rsidRDefault="001C6B0C">
      <w:pPr>
        <w:pStyle w:val="Heading3"/>
        <w:contextualSpacing w:val="0"/>
      </w:pPr>
      <w:bookmarkStart w:id="20" w:name="h.qe2jmvgb1wp7" w:colFirst="0" w:colLast="0"/>
      <w:bookmarkEnd w:id="20"/>
      <w:r>
        <w:t>Jason Hare</w:t>
      </w:r>
    </w:p>
    <w:p w14:paraId="51A98D69" w14:textId="77777777" w:rsidR="00954DB8" w:rsidRDefault="00954DB8">
      <w:pPr>
        <w:pStyle w:val="normal0"/>
      </w:pPr>
    </w:p>
    <w:p w14:paraId="70A2DC51" w14:textId="77777777" w:rsidR="00954DB8" w:rsidRDefault="001C6B0C">
      <w:pPr>
        <w:pStyle w:val="normal0"/>
      </w:pPr>
      <w:r>
        <w:lastRenderedPageBreak/>
        <w:t>In 2013 Jason Hare became an Open Data Institute Member and founded an ODI Node in North Carolina. In the same year he became an Open Government Partnership (OGP) Delegate. Jason Hare has guest-bl</w:t>
      </w:r>
      <w:r>
        <w:t xml:space="preserve">ogged on the OGP website. He also is on the Open Data Working Group for the US OGP Civil Society Delegation. </w:t>
      </w:r>
    </w:p>
    <w:p w14:paraId="32EB1433" w14:textId="77777777" w:rsidR="00954DB8" w:rsidRDefault="00954DB8">
      <w:pPr>
        <w:pStyle w:val="normal0"/>
      </w:pPr>
    </w:p>
    <w:p w14:paraId="7F72BD45" w14:textId="77777777" w:rsidR="00954DB8" w:rsidRDefault="001C6B0C">
      <w:pPr>
        <w:pStyle w:val="normal0"/>
      </w:pPr>
      <w:r>
        <w:t>Jason is a charter member of the Open Data Institute Nodes and has close ties with the senior management of that institution. Jason also consulte</w:t>
      </w:r>
      <w:r>
        <w:t>d with the Open Knowledge Foundation to help craft Ireland’s OGP submission and has spent several years working on the ground with Irish Civil Society. Jason Hare also has strong ties to Microsoft Public Sector in Ireland, Central Europe and the Middle Eas</w:t>
      </w:r>
      <w:r>
        <w:t>t Africa group.</w:t>
      </w:r>
    </w:p>
    <w:p w14:paraId="6FD3EA9D" w14:textId="77777777" w:rsidR="00954DB8" w:rsidRDefault="00954DB8">
      <w:pPr>
        <w:pStyle w:val="normal0"/>
      </w:pPr>
    </w:p>
    <w:p w14:paraId="2FDC6E44" w14:textId="77777777" w:rsidR="00954DB8" w:rsidRDefault="001C6B0C">
      <w:pPr>
        <w:pStyle w:val="normal0"/>
      </w:pPr>
      <w:r>
        <w:t>Jason Hare earned his BS in Applied Anthropology, Summa Cum Laude, at Washington State University and attended graduate studies in Cognitive and Applied Archaeology at Simon Fraser University. His specialty</w:t>
      </w:r>
      <w:r>
        <w:t xml:space="preserve"> is pre-literate communications </w:t>
      </w:r>
      <w:r>
        <w:t xml:space="preserve">and technology. Jason Hare is a Department of Defense NORCUS Scholar and did his internship at Battelle Pacific Northwest Laboratories, Hanford Cultural Resource Laboratory. He then worked on UNESCO projects in Brescia, Italy and the </w:t>
      </w:r>
      <w:proofErr w:type="spellStart"/>
      <w:r>
        <w:t>Quinghai</w:t>
      </w:r>
      <w:proofErr w:type="spellEnd"/>
      <w:r>
        <w:t xml:space="preserve"> Province in C</w:t>
      </w:r>
      <w:r>
        <w:t>hina. Since 1991 Jason Hare has been involved in geospatial analysis of data relating to environmental carrying capacity and human response to environmental stress. He has authored papers on symbolism and adaptation in the post-Holocene world on both the</w:t>
      </w:r>
      <w:bookmarkStart w:id="21" w:name="_GoBack"/>
      <w:bookmarkEnd w:id="21"/>
      <w:r>
        <w:t xml:space="preserve"> Columbian and Qinghai Plateaus.</w:t>
      </w:r>
    </w:p>
    <w:p w14:paraId="367EE977" w14:textId="77777777" w:rsidR="00954DB8" w:rsidRDefault="00954DB8">
      <w:pPr>
        <w:pStyle w:val="normal0"/>
      </w:pPr>
    </w:p>
    <w:p w14:paraId="3DCF4E00" w14:textId="77777777" w:rsidR="00954DB8" w:rsidRDefault="001C6B0C">
      <w:pPr>
        <w:pStyle w:val="normal0"/>
      </w:pPr>
      <w:r>
        <w:t>Over 20 years Jason has worked on the web stack from user experience design to heuristic usability analysis to online user behavior analysis to stress testing and security at the server and cloud level. His customers hav</w:t>
      </w:r>
      <w:r>
        <w:t xml:space="preserve">e included Duke University, </w:t>
      </w:r>
      <w:proofErr w:type="spellStart"/>
      <w:r>
        <w:t>Merkle</w:t>
      </w:r>
      <w:proofErr w:type="spellEnd"/>
      <w:r>
        <w:t>, US Fish and Wildlife, Verizon, British Telecom, Bank Atlantic, Durham Public Schools, City of Raleigh, Ireland’s Ministry of Reform, Colombia’s Ministry of Information and Communications, The Commonwealth of Puerto Rico,</w:t>
      </w:r>
      <w:r>
        <w:t xml:space="preserve"> The Colorado Secretary of State’s Office and several cities across the US and Europe.</w:t>
      </w:r>
    </w:p>
    <w:p w14:paraId="54F032AF" w14:textId="77777777" w:rsidR="00954DB8" w:rsidRDefault="001C6B0C">
      <w:pPr>
        <w:pStyle w:val="normal0"/>
      </w:pPr>
      <w:r>
        <w:t xml:space="preserve"> </w:t>
      </w:r>
    </w:p>
    <w:p w14:paraId="1DD557DE" w14:textId="77777777" w:rsidR="00954DB8" w:rsidRDefault="001C6B0C">
      <w:pPr>
        <w:pStyle w:val="Heading3"/>
        <w:contextualSpacing w:val="0"/>
      </w:pPr>
      <w:bookmarkStart w:id="22" w:name="h.3o4ryvi6q8n8" w:colFirst="0" w:colLast="0"/>
      <w:bookmarkEnd w:id="22"/>
      <w:r>
        <w:t>Dr. Dennis McDonald</w:t>
      </w:r>
    </w:p>
    <w:p w14:paraId="1C988F88" w14:textId="77777777" w:rsidR="00954DB8" w:rsidRDefault="00954DB8">
      <w:pPr>
        <w:pStyle w:val="normal0"/>
      </w:pPr>
    </w:p>
    <w:p w14:paraId="23C70A82" w14:textId="77777777" w:rsidR="00954DB8" w:rsidRDefault="001C6B0C">
      <w:pPr>
        <w:pStyle w:val="normal0"/>
      </w:pPr>
      <w:r>
        <w:t>Dr. McDonald has collaborated since 2013 with BaleFire Global and frequently publishes on open data strategy and project management (http://www.dd</w:t>
      </w:r>
      <w:r>
        <w:t>mcd.com/open-data). His specialty is the enhancement of project and program management methods in data intensive publishing and information management operations. He has worked as a strategist, project manager, and analyst in the U.S. and in Europe, Egypt,</w:t>
      </w:r>
      <w:r>
        <w:t xml:space="preserve"> and China. </w:t>
      </w:r>
    </w:p>
    <w:p w14:paraId="25EAD640" w14:textId="77777777" w:rsidR="00954DB8" w:rsidRDefault="00954DB8">
      <w:pPr>
        <w:pStyle w:val="normal0"/>
      </w:pPr>
    </w:p>
    <w:p w14:paraId="3D2A117E" w14:textId="77777777" w:rsidR="00954DB8" w:rsidRDefault="001C6B0C">
      <w:pPr>
        <w:pStyle w:val="normal0"/>
      </w:pPr>
      <w:r>
        <w:t>His clients have included communication and IT departments in various organizations including the World Bank (collaboration metrics and SharePoint adoption), the US Environmental Protection Agency (research program management), the U.S. Natio</w:t>
      </w:r>
      <w:r>
        <w:t>nal Academy of Engineering (social media support for STEM careers), Catalyst RX (enhanced project management support for enterprise system integration projects), the U.S. National Science Foundation (improvement of Egyptian scientific and technical informa</w:t>
      </w:r>
      <w:r>
        <w:t xml:space="preserve">tion resources), AIG (requirements for improved insurance system support operations in Hong Kong and Chinese markets), and </w:t>
      </w:r>
      <w:proofErr w:type="spellStart"/>
      <w:r>
        <w:t>Keyspan</w:t>
      </w:r>
      <w:proofErr w:type="spellEnd"/>
      <w:r>
        <w:t xml:space="preserve"> Energy  </w:t>
      </w:r>
      <w:r>
        <w:lastRenderedPageBreak/>
        <w:t xml:space="preserve">(integration of mainframe data management and application software following a corporate merger). </w:t>
      </w:r>
    </w:p>
    <w:p w14:paraId="11EDEA1D" w14:textId="77777777" w:rsidR="00954DB8" w:rsidRDefault="00954DB8">
      <w:pPr>
        <w:pStyle w:val="normal0"/>
      </w:pPr>
    </w:p>
    <w:p w14:paraId="6F3B1E1E" w14:textId="77777777" w:rsidR="00954DB8" w:rsidRDefault="001C6B0C">
      <w:pPr>
        <w:pStyle w:val="normal0"/>
      </w:pPr>
      <w:r>
        <w:t>He earned his MLS</w:t>
      </w:r>
      <w:r>
        <w:t xml:space="preserve"> and PhD in Library and Information Science at the University of Maryland where he obtained NSF support for the mathematical modeling of cancer researchers’ and physicists’ selection of journals in which to publish research.</w:t>
      </w:r>
    </w:p>
    <w:p w14:paraId="49FF5EF5" w14:textId="77777777" w:rsidR="00954DB8" w:rsidRDefault="00954DB8">
      <w:pPr>
        <w:pStyle w:val="normal0"/>
      </w:pPr>
    </w:p>
    <w:p w14:paraId="64EAB2CB" w14:textId="77777777" w:rsidR="00954DB8" w:rsidRDefault="00954DB8">
      <w:pPr>
        <w:pStyle w:val="Heading1"/>
        <w:contextualSpacing w:val="0"/>
      </w:pPr>
      <w:bookmarkStart w:id="23" w:name="h.1odk62ree3fp" w:colFirst="0" w:colLast="0"/>
      <w:bookmarkEnd w:id="23"/>
    </w:p>
    <w:p w14:paraId="1ADA1520" w14:textId="77777777" w:rsidR="00954DB8" w:rsidRDefault="001C6B0C">
      <w:pPr>
        <w:pStyle w:val="normal0"/>
      </w:pPr>
      <w:r>
        <w:br w:type="page"/>
      </w:r>
    </w:p>
    <w:p w14:paraId="3B693E5F" w14:textId="77777777" w:rsidR="00954DB8" w:rsidRDefault="00954DB8">
      <w:pPr>
        <w:pStyle w:val="Heading1"/>
        <w:contextualSpacing w:val="0"/>
      </w:pPr>
      <w:bookmarkStart w:id="24" w:name="h.o9cgxa4sim9j" w:colFirst="0" w:colLast="0"/>
      <w:bookmarkEnd w:id="24"/>
    </w:p>
    <w:p w14:paraId="4F8AA2DE" w14:textId="77777777" w:rsidR="00954DB8" w:rsidRDefault="001C6B0C">
      <w:pPr>
        <w:pStyle w:val="Heading1"/>
        <w:contextualSpacing w:val="0"/>
      </w:pPr>
      <w:bookmarkStart w:id="25" w:name="h.reeg9tlt5jqq" w:colFirst="0" w:colLast="0"/>
      <w:bookmarkEnd w:id="25"/>
      <w:r>
        <w:t>Appendix A: Description of</w:t>
      </w:r>
      <w:r>
        <w:t xml:space="preserve"> BFG Core Service Deliverables</w:t>
      </w:r>
    </w:p>
    <w:p w14:paraId="14970F1E" w14:textId="77777777" w:rsidR="00954DB8" w:rsidRDefault="00954DB8">
      <w:pPr>
        <w:pStyle w:val="normal0"/>
        <w:widowControl w:val="0"/>
        <w:spacing w:line="240" w:lineRule="auto"/>
        <w:ind w:left="580" w:right="737"/>
      </w:pPr>
    </w:p>
    <w:p w14:paraId="022BBE08" w14:textId="77777777" w:rsidR="00954DB8" w:rsidRDefault="001C6B0C">
      <w:pPr>
        <w:pStyle w:val="normal0"/>
      </w:pPr>
      <w:r>
        <w:t>Our project approach focuses on both business and technical priorities for our clients. We partner with clients to develop sound open data strategies in the context of industry best practices, business goals, and existing constraints. We have a proven trac</w:t>
      </w:r>
      <w:r>
        <w:t>k record of delivering our projects on time and on budget and we are proud to boast that the majority of our work comes from referrals.  The following is a list of the services we are prepared to adapt to support RTI’s open data program goals:</w:t>
      </w:r>
    </w:p>
    <w:p w14:paraId="6325DAFF" w14:textId="77777777" w:rsidR="00954DB8" w:rsidRDefault="00954DB8">
      <w:pPr>
        <w:pStyle w:val="normal0"/>
        <w:spacing w:line="240" w:lineRule="auto"/>
      </w:pPr>
    </w:p>
    <w:p w14:paraId="3E4F5B48" w14:textId="77777777" w:rsidR="00954DB8" w:rsidRDefault="001C6B0C">
      <w:pPr>
        <w:pStyle w:val="Heading2"/>
        <w:spacing w:line="240" w:lineRule="auto"/>
        <w:contextualSpacing w:val="0"/>
      </w:pPr>
      <w:bookmarkStart w:id="26" w:name="h.csnaqzh2lnp6" w:colFirst="0" w:colLast="0"/>
      <w:bookmarkEnd w:id="26"/>
      <w:r>
        <w:t>Pre-Impleme</w:t>
      </w:r>
      <w:r>
        <w:t>ntation Deliverables</w:t>
      </w:r>
      <w:r>
        <w:br/>
      </w:r>
    </w:p>
    <w:tbl>
      <w:tblPr>
        <w:tblStyle w:val="a"/>
        <w:tblW w:w="9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40"/>
        <w:gridCol w:w="2080"/>
        <w:gridCol w:w="2080"/>
        <w:gridCol w:w="2080"/>
      </w:tblGrid>
      <w:tr w:rsidR="00954DB8" w14:paraId="264206E9" w14:textId="77777777" w:rsidTr="00954DB8">
        <w:trPr>
          <w:cnfStyle w:val="100000000000" w:firstRow="1" w:lastRow="0" w:firstColumn="0" w:lastColumn="0" w:oddVBand="0" w:evenVBand="0" w:oddHBand="0" w:evenHBand="0" w:firstRowFirstColumn="0" w:firstRowLastColumn="0" w:lastRowFirstColumn="0" w:lastRowLastColumn="0"/>
          <w:trHeight w:val="800"/>
        </w:trPr>
        <w:tc>
          <w:tcPr>
            <w:cnfStyle w:val="001000000100" w:firstRow="0" w:lastRow="0" w:firstColumn="1" w:lastColumn="0" w:oddVBand="0" w:evenVBand="0" w:oddHBand="0" w:evenHBand="0" w:firstRowFirstColumn="1" w:firstRowLastColumn="0" w:lastRowFirstColumn="0" w:lastRowLastColumn="0"/>
            <w:tcW w:w="3140" w:type="dxa"/>
            <w:shd w:val="clear" w:color="auto" w:fill="F3F3F3"/>
          </w:tcPr>
          <w:p w14:paraId="056DA031" w14:textId="77777777" w:rsidR="00954DB8" w:rsidRDefault="00954DB8">
            <w:pPr>
              <w:pStyle w:val="normal0"/>
              <w:spacing w:line="240" w:lineRule="auto"/>
              <w:contextualSpacing w:val="0"/>
            </w:pPr>
          </w:p>
          <w:p w14:paraId="59A732C5" w14:textId="77777777" w:rsidR="00954DB8" w:rsidRDefault="001C6B0C">
            <w:pPr>
              <w:pStyle w:val="normal0"/>
              <w:spacing w:line="240" w:lineRule="auto"/>
              <w:contextualSpacing w:val="0"/>
            </w:pPr>
            <w:r>
              <w:t>Business Service</w:t>
            </w:r>
          </w:p>
        </w:tc>
        <w:tc>
          <w:tcPr>
            <w:tcW w:w="2080" w:type="dxa"/>
            <w:shd w:val="clear" w:color="auto" w:fill="F3F3F3"/>
          </w:tcPr>
          <w:p w14:paraId="7E538787" w14:textId="77777777" w:rsidR="00954DB8" w:rsidRDefault="00954DB8">
            <w:pPr>
              <w:pStyle w:val="normal0"/>
              <w:spacing w:line="240" w:lineRule="auto"/>
              <w:contextualSpacing w:val="0"/>
              <w:cnfStyle w:val="100000000000" w:firstRow="1" w:lastRow="0" w:firstColumn="0" w:lastColumn="0" w:oddVBand="0" w:evenVBand="0" w:oddHBand="0" w:evenHBand="0" w:firstRowFirstColumn="0" w:firstRowLastColumn="0" w:lastRowFirstColumn="0" w:lastRowLastColumn="0"/>
            </w:pPr>
          </w:p>
          <w:p w14:paraId="65834FAF" w14:textId="77777777" w:rsidR="00954DB8" w:rsidRDefault="001C6B0C">
            <w:pPr>
              <w:pStyle w:val="normal0"/>
              <w:spacing w:line="240" w:lineRule="auto"/>
              <w:contextualSpacing w:val="0"/>
              <w:cnfStyle w:val="100000000000" w:firstRow="1" w:lastRow="0" w:firstColumn="0" w:lastColumn="0" w:oddVBand="0" w:evenVBand="0" w:oddHBand="0" w:evenHBand="0" w:firstRowFirstColumn="0" w:firstRowLastColumn="0" w:lastRowFirstColumn="0" w:lastRowLastColumn="0"/>
            </w:pPr>
            <w:r>
              <w:t>Service Team</w:t>
            </w:r>
          </w:p>
        </w:tc>
        <w:tc>
          <w:tcPr>
            <w:tcW w:w="2080" w:type="dxa"/>
            <w:shd w:val="clear" w:color="auto" w:fill="F3F3F3"/>
          </w:tcPr>
          <w:p w14:paraId="7994E056" w14:textId="77777777" w:rsidR="00954DB8" w:rsidRDefault="00954DB8">
            <w:pPr>
              <w:pStyle w:val="normal0"/>
              <w:spacing w:line="240" w:lineRule="auto"/>
              <w:contextualSpacing w:val="0"/>
              <w:cnfStyle w:val="100000000000" w:firstRow="1" w:lastRow="0" w:firstColumn="0" w:lastColumn="0" w:oddVBand="0" w:evenVBand="0" w:oddHBand="0" w:evenHBand="0" w:firstRowFirstColumn="0" w:firstRowLastColumn="0" w:lastRowFirstColumn="0" w:lastRowLastColumn="0"/>
            </w:pPr>
          </w:p>
          <w:p w14:paraId="5F6F356E" w14:textId="77777777" w:rsidR="00954DB8" w:rsidRDefault="001C6B0C">
            <w:pPr>
              <w:pStyle w:val="normal0"/>
              <w:spacing w:line="240" w:lineRule="auto"/>
              <w:contextualSpacing w:val="0"/>
              <w:cnfStyle w:val="100000000000" w:firstRow="1" w:lastRow="0" w:firstColumn="0" w:lastColumn="0" w:oddVBand="0" w:evenVBand="0" w:oddHBand="0" w:evenHBand="0" w:firstRowFirstColumn="0" w:firstRowLastColumn="0" w:lastRowFirstColumn="0" w:lastRowLastColumn="0"/>
            </w:pPr>
            <w:r>
              <w:t>Deliverables</w:t>
            </w:r>
          </w:p>
        </w:tc>
        <w:tc>
          <w:tcPr>
            <w:tcW w:w="2080" w:type="dxa"/>
            <w:shd w:val="clear" w:color="auto" w:fill="F3F3F3"/>
          </w:tcPr>
          <w:p w14:paraId="4861B645" w14:textId="77777777" w:rsidR="00954DB8" w:rsidRDefault="00954DB8">
            <w:pPr>
              <w:pStyle w:val="normal0"/>
              <w:spacing w:line="240" w:lineRule="auto"/>
              <w:contextualSpacing w:val="0"/>
              <w:cnfStyle w:val="100000000000" w:firstRow="1" w:lastRow="0" w:firstColumn="0" w:lastColumn="0" w:oddVBand="0" w:evenVBand="0" w:oddHBand="0" w:evenHBand="0" w:firstRowFirstColumn="0" w:firstRowLastColumn="0" w:lastRowFirstColumn="0" w:lastRowLastColumn="0"/>
            </w:pPr>
          </w:p>
          <w:p w14:paraId="679A51D3" w14:textId="77777777" w:rsidR="00954DB8" w:rsidRDefault="001C6B0C">
            <w:pPr>
              <w:pStyle w:val="normal0"/>
              <w:spacing w:line="240" w:lineRule="auto"/>
              <w:contextualSpacing w:val="0"/>
              <w:cnfStyle w:val="100000000000" w:firstRow="1" w:lastRow="0" w:firstColumn="0" w:lastColumn="0" w:oddVBand="0" w:evenVBand="0" w:oddHBand="0" w:evenHBand="0" w:firstRowFirstColumn="0" w:firstRowLastColumn="0" w:lastRowFirstColumn="0" w:lastRowLastColumn="0"/>
            </w:pPr>
            <w:r>
              <w:t>Pricing</w:t>
            </w:r>
          </w:p>
        </w:tc>
      </w:tr>
      <w:tr w:rsidR="00954DB8" w14:paraId="78DAD20F" w14:textId="77777777" w:rsidTr="00954DB8">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3140" w:type="dxa"/>
            <w:shd w:val="clear" w:color="auto" w:fill="F3F3F3"/>
          </w:tcPr>
          <w:p w14:paraId="4E0FEAC4" w14:textId="77777777" w:rsidR="00954DB8" w:rsidRDefault="001C6B0C">
            <w:pPr>
              <w:pStyle w:val="Heading3"/>
              <w:spacing w:line="240" w:lineRule="auto"/>
              <w:contextualSpacing w:val="0"/>
              <w:outlineLvl w:val="2"/>
            </w:pPr>
            <w:bookmarkStart w:id="27" w:name="h.n3tl6w6c12ad" w:colFirst="0" w:colLast="0"/>
            <w:bookmarkEnd w:id="27"/>
            <w:r>
              <w:lastRenderedPageBreak/>
              <w:t>Assessment and Analysis</w:t>
            </w:r>
            <w:r>
              <w:br/>
            </w:r>
          </w:p>
          <w:p w14:paraId="53AE3E0A" w14:textId="77777777" w:rsidR="00954DB8" w:rsidRDefault="001C6B0C">
            <w:pPr>
              <w:pStyle w:val="normal0"/>
              <w:numPr>
                <w:ilvl w:val="0"/>
                <w:numId w:val="5"/>
              </w:numPr>
              <w:spacing w:line="240" w:lineRule="auto"/>
              <w:ind w:hanging="360"/>
              <w:rPr>
                <w:sz w:val="18"/>
                <w:szCs w:val="18"/>
              </w:rPr>
            </w:pPr>
            <w:r>
              <w:rPr>
                <w:b w:val="0"/>
                <w:sz w:val="18"/>
                <w:szCs w:val="18"/>
              </w:rPr>
              <w:t>Research and analyze information and data landscape</w:t>
            </w:r>
          </w:p>
          <w:p w14:paraId="5E8EE17E" w14:textId="77777777" w:rsidR="00954DB8" w:rsidRDefault="001C6B0C">
            <w:pPr>
              <w:pStyle w:val="normal0"/>
              <w:numPr>
                <w:ilvl w:val="0"/>
                <w:numId w:val="5"/>
              </w:numPr>
              <w:spacing w:line="240" w:lineRule="auto"/>
              <w:ind w:hanging="360"/>
              <w:rPr>
                <w:sz w:val="18"/>
                <w:szCs w:val="18"/>
              </w:rPr>
            </w:pPr>
            <w:r>
              <w:rPr>
                <w:b w:val="0"/>
                <w:sz w:val="18"/>
                <w:szCs w:val="18"/>
              </w:rPr>
              <w:t>Research best practices and emerging trends to identify candidate functionality for the portal.</w:t>
            </w:r>
          </w:p>
          <w:p w14:paraId="2A6D9324" w14:textId="77777777" w:rsidR="00954DB8" w:rsidRDefault="00954DB8">
            <w:pPr>
              <w:pStyle w:val="normal0"/>
              <w:spacing w:line="240" w:lineRule="auto"/>
              <w:contextualSpacing w:val="0"/>
            </w:pPr>
          </w:p>
        </w:tc>
        <w:tc>
          <w:tcPr>
            <w:tcW w:w="2080" w:type="dxa"/>
            <w:shd w:val="clear" w:color="auto" w:fill="F3F3F3"/>
          </w:tcPr>
          <w:p w14:paraId="48B282ED" w14:textId="77777777" w:rsidR="00954DB8" w:rsidRDefault="00954DB8">
            <w:pPr>
              <w:pStyle w:val="normal0"/>
              <w:spacing w:line="240" w:lineRule="auto"/>
              <w:contextualSpacing w:val="0"/>
              <w:cnfStyle w:val="000000100000" w:firstRow="0" w:lastRow="0" w:firstColumn="0" w:lastColumn="0" w:oddVBand="0" w:evenVBand="0" w:oddHBand="1" w:evenHBand="0" w:firstRowFirstColumn="0" w:firstRowLastColumn="0" w:lastRowFirstColumn="0" w:lastRowLastColumn="0"/>
            </w:pPr>
          </w:p>
          <w:p w14:paraId="03559671" w14:textId="77777777" w:rsidR="00954DB8" w:rsidRDefault="001C6B0C">
            <w:pPr>
              <w:pStyle w:val="normal0"/>
              <w:numPr>
                <w:ilvl w:val="0"/>
                <w:numId w:val="1"/>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Project Manager</w:t>
            </w:r>
          </w:p>
          <w:p w14:paraId="05792673" w14:textId="77777777" w:rsidR="00954DB8" w:rsidRDefault="001C6B0C">
            <w:pPr>
              <w:pStyle w:val="normal0"/>
              <w:numPr>
                <w:ilvl w:val="0"/>
                <w:numId w:val="1"/>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Open Data Strategist</w:t>
            </w:r>
          </w:p>
          <w:p w14:paraId="13C4C280" w14:textId="77777777" w:rsidR="00954DB8" w:rsidRDefault="001C6B0C">
            <w:pPr>
              <w:pStyle w:val="normal0"/>
              <w:numPr>
                <w:ilvl w:val="0"/>
                <w:numId w:val="1"/>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Business Analyst</w:t>
            </w:r>
          </w:p>
          <w:p w14:paraId="7E666F3B" w14:textId="77777777" w:rsidR="00954DB8" w:rsidRDefault="001C6B0C">
            <w:pPr>
              <w:pStyle w:val="normal0"/>
              <w:numPr>
                <w:ilvl w:val="0"/>
                <w:numId w:val="1"/>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Open Data Trainer</w:t>
            </w:r>
          </w:p>
        </w:tc>
        <w:tc>
          <w:tcPr>
            <w:tcW w:w="2080" w:type="dxa"/>
            <w:shd w:val="clear" w:color="auto" w:fill="F3F3F3"/>
          </w:tcPr>
          <w:p w14:paraId="3AC61642" w14:textId="77777777" w:rsidR="00954DB8" w:rsidRDefault="00954DB8">
            <w:pPr>
              <w:pStyle w:val="normal0"/>
              <w:spacing w:line="240" w:lineRule="auto"/>
              <w:contextualSpacing w:val="0"/>
              <w:cnfStyle w:val="000000100000" w:firstRow="0" w:lastRow="0" w:firstColumn="0" w:lastColumn="0" w:oddVBand="0" w:evenVBand="0" w:oddHBand="1" w:evenHBand="0" w:firstRowFirstColumn="0" w:firstRowLastColumn="0" w:lastRowFirstColumn="0" w:lastRowLastColumn="0"/>
            </w:pPr>
          </w:p>
          <w:p w14:paraId="5C50A423" w14:textId="77777777" w:rsidR="00954DB8" w:rsidRDefault="001C6B0C">
            <w:pPr>
              <w:pStyle w:val="normal0"/>
              <w:numPr>
                <w:ilvl w:val="0"/>
                <w:numId w:val="5"/>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Assessment Report</w:t>
            </w:r>
          </w:p>
          <w:p w14:paraId="1CB5BB78" w14:textId="77777777" w:rsidR="00954DB8" w:rsidRDefault="001C6B0C">
            <w:pPr>
              <w:pStyle w:val="normal0"/>
              <w:numPr>
                <w:ilvl w:val="0"/>
                <w:numId w:val="5"/>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Project management </w:t>
            </w:r>
          </w:p>
          <w:p w14:paraId="02E59B87" w14:textId="77777777" w:rsidR="00954DB8" w:rsidRDefault="001C6B0C">
            <w:pPr>
              <w:pStyle w:val="normal0"/>
              <w:numPr>
                <w:ilvl w:val="0"/>
                <w:numId w:val="5"/>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Current Site Analysis Presentation</w:t>
            </w:r>
          </w:p>
          <w:p w14:paraId="3D8C2E9C" w14:textId="77777777" w:rsidR="00954DB8" w:rsidRDefault="001C6B0C">
            <w:pPr>
              <w:pStyle w:val="normal0"/>
              <w:numPr>
                <w:ilvl w:val="0"/>
                <w:numId w:val="5"/>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Candidate Data Set Matrix </w:t>
            </w:r>
          </w:p>
        </w:tc>
        <w:tc>
          <w:tcPr>
            <w:tcW w:w="2080" w:type="dxa"/>
            <w:shd w:val="clear" w:color="auto" w:fill="F3F3F3"/>
          </w:tcPr>
          <w:p w14:paraId="45E4E2BA" w14:textId="77777777" w:rsidR="00954DB8" w:rsidRDefault="001C6B0C">
            <w:pPr>
              <w:pStyle w:val="normal0"/>
              <w:spacing w:line="240" w:lineRule="auto"/>
              <w:contextualSpacing w:val="0"/>
              <w:cnfStyle w:val="000000100000" w:firstRow="0" w:lastRow="0" w:firstColumn="0" w:lastColumn="0" w:oddVBand="0" w:evenVBand="0" w:oddHBand="1" w:evenHBand="0" w:firstRowFirstColumn="0" w:firstRowLastColumn="0" w:lastRowFirstColumn="0" w:lastRowLastColumn="0"/>
            </w:pPr>
            <w:r>
              <w:rPr>
                <w:sz w:val="18"/>
                <w:szCs w:val="18"/>
              </w:rPr>
              <w:br/>
              <w:t>Cost is estimated on the size of the jurisdiction</w:t>
            </w:r>
          </w:p>
        </w:tc>
      </w:tr>
      <w:tr w:rsidR="00954DB8" w14:paraId="13FC926C" w14:textId="77777777" w:rsidTr="00954DB8">
        <w:trPr>
          <w:trHeight w:val="800"/>
        </w:trPr>
        <w:tc>
          <w:tcPr>
            <w:cnfStyle w:val="001000000000" w:firstRow="0" w:lastRow="0" w:firstColumn="1" w:lastColumn="0" w:oddVBand="0" w:evenVBand="0" w:oddHBand="0" w:evenHBand="0" w:firstRowFirstColumn="0" w:firstRowLastColumn="0" w:lastRowFirstColumn="0" w:lastRowLastColumn="0"/>
            <w:tcW w:w="3140" w:type="dxa"/>
            <w:shd w:val="clear" w:color="auto" w:fill="F3F3F3"/>
          </w:tcPr>
          <w:p w14:paraId="7DB97724" w14:textId="77777777" w:rsidR="00954DB8" w:rsidRDefault="001C6B0C">
            <w:pPr>
              <w:pStyle w:val="Heading3"/>
              <w:spacing w:line="240" w:lineRule="auto"/>
              <w:contextualSpacing w:val="0"/>
              <w:outlineLvl w:val="2"/>
            </w:pPr>
            <w:bookmarkStart w:id="28" w:name="h.ckw14sssmxtb" w:colFirst="0" w:colLast="0"/>
            <w:bookmarkEnd w:id="28"/>
            <w:r>
              <w:t>Gap Analysis</w:t>
            </w:r>
            <w:r>
              <w:br/>
            </w:r>
          </w:p>
          <w:p w14:paraId="4F1C9D48" w14:textId="77777777" w:rsidR="00954DB8" w:rsidRDefault="001C6B0C">
            <w:pPr>
              <w:pStyle w:val="normal0"/>
              <w:numPr>
                <w:ilvl w:val="0"/>
                <w:numId w:val="5"/>
              </w:numPr>
              <w:spacing w:line="240" w:lineRule="auto"/>
              <w:ind w:hanging="360"/>
              <w:rPr>
                <w:sz w:val="18"/>
                <w:szCs w:val="18"/>
              </w:rPr>
            </w:pPr>
            <w:r>
              <w:rPr>
                <w:b w:val="0"/>
                <w:sz w:val="18"/>
                <w:szCs w:val="18"/>
              </w:rPr>
              <w:t>Prepare for and conduct interviews with key stakeholders (up to 10)</w:t>
            </w:r>
          </w:p>
          <w:p w14:paraId="17CAC114" w14:textId="77777777" w:rsidR="00954DB8" w:rsidRDefault="001C6B0C">
            <w:pPr>
              <w:pStyle w:val="normal0"/>
              <w:numPr>
                <w:ilvl w:val="0"/>
                <w:numId w:val="5"/>
              </w:numPr>
              <w:spacing w:line="240" w:lineRule="auto"/>
              <w:ind w:hanging="360"/>
              <w:rPr>
                <w:sz w:val="18"/>
                <w:szCs w:val="18"/>
              </w:rPr>
            </w:pPr>
            <w:r>
              <w:rPr>
                <w:b w:val="0"/>
                <w:sz w:val="18"/>
                <w:szCs w:val="18"/>
              </w:rPr>
              <w:t>Define Business Requirements and strategic priorities</w:t>
            </w:r>
          </w:p>
          <w:p w14:paraId="585DE1A6" w14:textId="77777777" w:rsidR="00954DB8" w:rsidRDefault="001C6B0C">
            <w:pPr>
              <w:pStyle w:val="normal0"/>
              <w:numPr>
                <w:ilvl w:val="0"/>
                <w:numId w:val="5"/>
              </w:numPr>
              <w:spacing w:line="240" w:lineRule="auto"/>
              <w:ind w:hanging="360"/>
              <w:rPr>
                <w:sz w:val="18"/>
                <w:szCs w:val="18"/>
              </w:rPr>
            </w:pPr>
            <w:r>
              <w:rPr>
                <w:b w:val="0"/>
                <w:sz w:val="18"/>
                <w:szCs w:val="18"/>
              </w:rPr>
              <w:t xml:space="preserve">Conduct Citizen Research </w:t>
            </w:r>
          </w:p>
          <w:p w14:paraId="24A67ECA" w14:textId="77777777" w:rsidR="00954DB8" w:rsidRDefault="001C6B0C">
            <w:pPr>
              <w:pStyle w:val="normal0"/>
              <w:numPr>
                <w:ilvl w:val="0"/>
                <w:numId w:val="5"/>
              </w:numPr>
              <w:spacing w:line="240" w:lineRule="auto"/>
              <w:ind w:hanging="360"/>
              <w:rPr>
                <w:sz w:val="18"/>
                <w:szCs w:val="18"/>
              </w:rPr>
            </w:pPr>
            <w:r>
              <w:rPr>
                <w:b w:val="0"/>
                <w:sz w:val="18"/>
                <w:szCs w:val="18"/>
              </w:rPr>
              <w:t>Analyze current functionality and level of engagement against best practice maturity models.</w:t>
            </w:r>
          </w:p>
          <w:p w14:paraId="225ACAED" w14:textId="77777777" w:rsidR="00954DB8" w:rsidRDefault="00954DB8">
            <w:pPr>
              <w:pStyle w:val="normal0"/>
              <w:spacing w:line="240" w:lineRule="auto"/>
              <w:contextualSpacing w:val="0"/>
            </w:pPr>
          </w:p>
        </w:tc>
        <w:tc>
          <w:tcPr>
            <w:tcW w:w="2080" w:type="dxa"/>
            <w:shd w:val="clear" w:color="auto" w:fill="F3F3F3"/>
          </w:tcPr>
          <w:p w14:paraId="10279AC7" w14:textId="77777777" w:rsidR="00954DB8" w:rsidRDefault="00954DB8">
            <w:pPr>
              <w:pStyle w:val="normal0"/>
              <w:spacing w:line="240" w:lineRule="auto"/>
              <w:contextualSpacing w:val="0"/>
              <w:cnfStyle w:val="000000000000" w:firstRow="0" w:lastRow="0" w:firstColumn="0" w:lastColumn="0" w:oddVBand="0" w:evenVBand="0" w:oddHBand="0" w:evenHBand="0" w:firstRowFirstColumn="0" w:firstRowLastColumn="0" w:lastRowFirstColumn="0" w:lastRowLastColumn="0"/>
            </w:pPr>
          </w:p>
          <w:p w14:paraId="5A696C01" w14:textId="77777777" w:rsidR="00954DB8" w:rsidRDefault="001C6B0C">
            <w:pPr>
              <w:pStyle w:val="normal0"/>
              <w:numPr>
                <w:ilvl w:val="0"/>
                <w:numId w:val="5"/>
              </w:numPr>
              <w:spacing w:line="240" w:lineRule="auto"/>
              <w:ind w:hanging="3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Project Manag</w:t>
            </w:r>
            <w:r>
              <w:rPr>
                <w:sz w:val="18"/>
                <w:szCs w:val="18"/>
              </w:rPr>
              <w:t>er</w:t>
            </w:r>
          </w:p>
          <w:p w14:paraId="1961468C" w14:textId="77777777" w:rsidR="00954DB8" w:rsidRDefault="001C6B0C">
            <w:pPr>
              <w:pStyle w:val="normal0"/>
              <w:numPr>
                <w:ilvl w:val="0"/>
                <w:numId w:val="5"/>
              </w:numPr>
              <w:spacing w:line="240" w:lineRule="auto"/>
              <w:ind w:hanging="3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Open Data Strategist</w:t>
            </w:r>
          </w:p>
          <w:p w14:paraId="43DC16B7" w14:textId="77777777" w:rsidR="00954DB8" w:rsidRDefault="001C6B0C">
            <w:pPr>
              <w:pStyle w:val="normal0"/>
              <w:numPr>
                <w:ilvl w:val="0"/>
                <w:numId w:val="5"/>
              </w:numPr>
              <w:spacing w:line="240" w:lineRule="auto"/>
              <w:ind w:hanging="3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Business Analyst</w:t>
            </w:r>
          </w:p>
        </w:tc>
        <w:tc>
          <w:tcPr>
            <w:tcW w:w="2080" w:type="dxa"/>
            <w:shd w:val="clear" w:color="auto" w:fill="F3F3F3"/>
          </w:tcPr>
          <w:p w14:paraId="6D604A9C" w14:textId="77777777" w:rsidR="00954DB8" w:rsidRDefault="00954DB8">
            <w:pPr>
              <w:pStyle w:val="normal0"/>
              <w:spacing w:line="240" w:lineRule="auto"/>
              <w:contextualSpacing w:val="0"/>
              <w:cnfStyle w:val="000000000000" w:firstRow="0" w:lastRow="0" w:firstColumn="0" w:lastColumn="0" w:oddVBand="0" w:evenVBand="0" w:oddHBand="0" w:evenHBand="0" w:firstRowFirstColumn="0" w:firstRowLastColumn="0" w:lastRowFirstColumn="0" w:lastRowLastColumn="0"/>
            </w:pPr>
          </w:p>
          <w:p w14:paraId="221B449A" w14:textId="77777777" w:rsidR="00954DB8" w:rsidRDefault="001C6B0C">
            <w:pPr>
              <w:pStyle w:val="normal0"/>
              <w:numPr>
                <w:ilvl w:val="0"/>
                <w:numId w:val="5"/>
              </w:numPr>
              <w:spacing w:line="240" w:lineRule="auto"/>
              <w:ind w:hanging="3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Gap Analysis</w:t>
            </w:r>
          </w:p>
          <w:p w14:paraId="0B237A3A" w14:textId="77777777" w:rsidR="00954DB8" w:rsidRDefault="001C6B0C">
            <w:pPr>
              <w:pStyle w:val="normal0"/>
              <w:numPr>
                <w:ilvl w:val="0"/>
                <w:numId w:val="5"/>
              </w:numPr>
              <w:spacing w:line="240" w:lineRule="auto"/>
              <w:ind w:hanging="3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Interview Business </w:t>
            </w:r>
            <w:proofErr w:type="spellStart"/>
            <w:r>
              <w:rPr>
                <w:sz w:val="18"/>
                <w:szCs w:val="18"/>
              </w:rPr>
              <w:t>Reqs</w:t>
            </w:r>
            <w:proofErr w:type="spellEnd"/>
          </w:p>
        </w:tc>
        <w:tc>
          <w:tcPr>
            <w:tcW w:w="2080" w:type="dxa"/>
            <w:shd w:val="clear" w:color="auto" w:fill="F3F3F3"/>
          </w:tcPr>
          <w:p w14:paraId="6B14B1F9" w14:textId="77777777" w:rsidR="00954DB8" w:rsidRDefault="001C6B0C">
            <w:pPr>
              <w:pStyle w:val="normal0"/>
              <w:spacing w:line="240" w:lineRule="auto"/>
              <w:contextualSpacing w:val="0"/>
              <w:cnfStyle w:val="000000000000" w:firstRow="0" w:lastRow="0" w:firstColumn="0" w:lastColumn="0" w:oddVBand="0" w:evenVBand="0" w:oddHBand="0" w:evenHBand="0" w:firstRowFirstColumn="0" w:firstRowLastColumn="0" w:lastRowFirstColumn="0" w:lastRowLastColumn="0"/>
            </w:pPr>
            <w:r>
              <w:rPr>
                <w:sz w:val="18"/>
                <w:szCs w:val="18"/>
              </w:rPr>
              <w:br/>
              <w:t>Cost is estimated on the size of the jurisdiction</w:t>
            </w:r>
          </w:p>
        </w:tc>
      </w:tr>
      <w:tr w:rsidR="00954DB8" w14:paraId="74CC07B1" w14:textId="77777777" w:rsidTr="00954DB8">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3140" w:type="dxa"/>
            <w:shd w:val="clear" w:color="auto" w:fill="F3F3F3"/>
          </w:tcPr>
          <w:p w14:paraId="5B8A018A" w14:textId="77777777" w:rsidR="00954DB8" w:rsidRDefault="001C6B0C">
            <w:pPr>
              <w:pStyle w:val="Heading3"/>
              <w:spacing w:line="240" w:lineRule="auto"/>
              <w:contextualSpacing w:val="0"/>
              <w:outlineLvl w:val="2"/>
            </w:pPr>
            <w:bookmarkStart w:id="29" w:name="h.5m0fh9sicqkk" w:colFirst="0" w:colLast="0"/>
            <w:bookmarkEnd w:id="29"/>
            <w:r>
              <w:t>Training</w:t>
            </w:r>
            <w:r>
              <w:br/>
            </w:r>
          </w:p>
          <w:p w14:paraId="5869EFD6" w14:textId="77777777" w:rsidR="00954DB8" w:rsidRDefault="001C6B0C">
            <w:pPr>
              <w:pStyle w:val="normal0"/>
              <w:numPr>
                <w:ilvl w:val="0"/>
                <w:numId w:val="5"/>
              </w:numPr>
              <w:spacing w:line="240" w:lineRule="auto"/>
              <w:ind w:hanging="360"/>
              <w:rPr>
                <w:sz w:val="18"/>
                <w:szCs w:val="18"/>
              </w:rPr>
            </w:pPr>
            <w:r>
              <w:rPr>
                <w:b w:val="0"/>
                <w:sz w:val="18"/>
                <w:szCs w:val="18"/>
              </w:rPr>
              <w:t>Interactive training workshops</w:t>
            </w:r>
          </w:p>
          <w:p w14:paraId="7322C360" w14:textId="77777777" w:rsidR="00954DB8" w:rsidRDefault="001C6B0C">
            <w:pPr>
              <w:pStyle w:val="normal0"/>
              <w:numPr>
                <w:ilvl w:val="0"/>
                <w:numId w:val="5"/>
              </w:numPr>
              <w:spacing w:line="240" w:lineRule="auto"/>
              <w:ind w:hanging="360"/>
              <w:rPr>
                <w:sz w:val="18"/>
                <w:szCs w:val="18"/>
              </w:rPr>
            </w:pPr>
            <w:r>
              <w:rPr>
                <w:b w:val="0"/>
                <w:sz w:val="18"/>
                <w:szCs w:val="18"/>
              </w:rPr>
              <w:t>1 day training course: beginners</w:t>
            </w:r>
          </w:p>
          <w:p w14:paraId="17AE2387" w14:textId="77777777" w:rsidR="00954DB8" w:rsidRDefault="001C6B0C">
            <w:pPr>
              <w:pStyle w:val="normal0"/>
              <w:numPr>
                <w:ilvl w:val="0"/>
                <w:numId w:val="5"/>
              </w:numPr>
              <w:spacing w:line="240" w:lineRule="auto"/>
              <w:ind w:hanging="360"/>
              <w:rPr>
                <w:sz w:val="18"/>
                <w:szCs w:val="18"/>
              </w:rPr>
            </w:pPr>
            <w:r>
              <w:rPr>
                <w:b w:val="0"/>
                <w:sz w:val="18"/>
                <w:szCs w:val="18"/>
              </w:rPr>
              <w:t>3 days training course: beginners/ intermediate</w:t>
            </w:r>
          </w:p>
          <w:p w14:paraId="0E95AA05" w14:textId="77777777" w:rsidR="00954DB8" w:rsidRDefault="001C6B0C">
            <w:pPr>
              <w:pStyle w:val="normal0"/>
              <w:numPr>
                <w:ilvl w:val="0"/>
                <w:numId w:val="5"/>
              </w:numPr>
              <w:spacing w:line="240" w:lineRule="auto"/>
              <w:ind w:hanging="360"/>
              <w:rPr>
                <w:sz w:val="18"/>
                <w:szCs w:val="18"/>
              </w:rPr>
            </w:pPr>
            <w:r>
              <w:rPr>
                <w:b w:val="0"/>
                <w:sz w:val="18"/>
                <w:szCs w:val="18"/>
              </w:rPr>
              <w:t>5 days intensive training course: intermediate/ advanced</w:t>
            </w:r>
          </w:p>
        </w:tc>
        <w:tc>
          <w:tcPr>
            <w:tcW w:w="2080" w:type="dxa"/>
            <w:shd w:val="clear" w:color="auto" w:fill="F3F3F3"/>
          </w:tcPr>
          <w:p w14:paraId="1EA8293B" w14:textId="77777777" w:rsidR="00954DB8" w:rsidRDefault="00954DB8">
            <w:pPr>
              <w:pStyle w:val="normal0"/>
              <w:spacing w:line="240" w:lineRule="auto"/>
              <w:contextualSpacing w:val="0"/>
              <w:cnfStyle w:val="000000100000" w:firstRow="0" w:lastRow="0" w:firstColumn="0" w:lastColumn="0" w:oddVBand="0" w:evenVBand="0" w:oddHBand="1" w:evenHBand="0" w:firstRowFirstColumn="0" w:firstRowLastColumn="0" w:lastRowFirstColumn="0" w:lastRowLastColumn="0"/>
            </w:pPr>
          </w:p>
          <w:p w14:paraId="344284BE" w14:textId="77777777" w:rsidR="00954DB8" w:rsidRDefault="001C6B0C">
            <w:pPr>
              <w:pStyle w:val="normal0"/>
              <w:numPr>
                <w:ilvl w:val="0"/>
                <w:numId w:val="5"/>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Open Data Trainer</w:t>
            </w:r>
          </w:p>
          <w:p w14:paraId="76EB2B5C" w14:textId="77777777" w:rsidR="00954DB8" w:rsidRDefault="001C6B0C">
            <w:pPr>
              <w:pStyle w:val="normal0"/>
              <w:numPr>
                <w:ilvl w:val="0"/>
                <w:numId w:val="5"/>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Open Data Strategist</w:t>
            </w:r>
          </w:p>
        </w:tc>
        <w:tc>
          <w:tcPr>
            <w:tcW w:w="2080" w:type="dxa"/>
            <w:shd w:val="clear" w:color="auto" w:fill="F3F3F3"/>
          </w:tcPr>
          <w:p w14:paraId="36EB6D6C" w14:textId="77777777" w:rsidR="00954DB8" w:rsidRDefault="00954DB8">
            <w:pPr>
              <w:pStyle w:val="normal0"/>
              <w:spacing w:line="240" w:lineRule="auto"/>
              <w:contextualSpacing w:val="0"/>
              <w:cnfStyle w:val="000000100000" w:firstRow="0" w:lastRow="0" w:firstColumn="0" w:lastColumn="0" w:oddVBand="0" w:evenVBand="0" w:oddHBand="1" w:evenHBand="0" w:firstRowFirstColumn="0" w:firstRowLastColumn="0" w:lastRowFirstColumn="0" w:lastRowLastColumn="0"/>
            </w:pPr>
          </w:p>
          <w:p w14:paraId="00D18B99" w14:textId="77777777" w:rsidR="00954DB8" w:rsidRDefault="001C6B0C">
            <w:pPr>
              <w:pStyle w:val="normal0"/>
              <w:numPr>
                <w:ilvl w:val="0"/>
                <w:numId w:val="5"/>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Data Literacy (1 day)</w:t>
            </w:r>
          </w:p>
          <w:p w14:paraId="01E52B60" w14:textId="77777777" w:rsidR="00954DB8" w:rsidRDefault="001C6B0C">
            <w:pPr>
              <w:pStyle w:val="normal0"/>
              <w:numPr>
                <w:ilvl w:val="0"/>
                <w:numId w:val="5"/>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Open Data in One Day (1 day)</w:t>
            </w:r>
          </w:p>
          <w:p w14:paraId="4FBDBD98" w14:textId="77777777" w:rsidR="00954DB8" w:rsidRDefault="001C6B0C">
            <w:pPr>
              <w:pStyle w:val="normal0"/>
              <w:numPr>
                <w:ilvl w:val="0"/>
                <w:numId w:val="5"/>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Open Data Strategies </w:t>
            </w:r>
            <w:r>
              <w:rPr>
                <w:sz w:val="18"/>
                <w:szCs w:val="18"/>
              </w:rPr>
              <w:br/>
              <w:t>(3 days)</w:t>
            </w:r>
            <w:r>
              <w:rPr>
                <w:sz w:val="18"/>
                <w:szCs w:val="18"/>
              </w:rPr>
              <w:br/>
            </w:r>
          </w:p>
        </w:tc>
        <w:tc>
          <w:tcPr>
            <w:tcW w:w="2080" w:type="dxa"/>
            <w:shd w:val="clear" w:color="auto" w:fill="F3F3F3"/>
          </w:tcPr>
          <w:p w14:paraId="3D1F4CA4" w14:textId="77777777" w:rsidR="00954DB8" w:rsidRDefault="001C6B0C">
            <w:pPr>
              <w:pStyle w:val="normal0"/>
              <w:spacing w:line="240" w:lineRule="auto"/>
              <w:contextualSpacing w:val="0"/>
              <w:cnfStyle w:val="000000100000" w:firstRow="0" w:lastRow="0" w:firstColumn="0" w:lastColumn="0" w:oddVBand="0" w:evenVBand="0" w:oddHBand="1" w:evenHBand="0" w:firstRowFirstColumn="0" w:firstRowLastColumn="0" w:lastRowFirstColumn="0" w:lastRowLastColumn="0"/>
            </w:pPr>
            <w:r>
              <w:rPr>
                <w:sz w:val="18"/>
                <w:szCs w:val="18"/>
              </w:rPr>
              <w:br/>
            </w:r>
            <w:r>
              <w:rPr>
                <w:sz w:val="18"/>
                <w:szCs w:val="18"/>
              </w:rPr>
              <w:t>Cost is estimated on the time to travel and number of attendees and length of training engagement</w:t>
            </w:r>
          </w:p>
        </w:tc>
      </w:tr>
    </w:tbl>
    <w:p w14:paraId="52500284" w14:textId="77777777" w:rsidR="00954DB8" w:rsidRDefault="00954DB8">
      <w:pPr>
        <w:pStyle w:val="normal0"/>
      </w:pPr>
    </w:p>
    <w:tbl>
      <w:tblPr>
        <w:tblStyle w:val="a0"/>
        <w:tblW w:w="938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3140"/>
        <w:gridCol w:w="2080"/>
        <w:gridCol w:w="2080"/>
        <w:gridCol w:w="2080"/>
      </w:tblGrid>
      <w:tr w:rsidR="00954DB8" w14:paraId="70717C02" w14:textId="77777777" w:rsidTr="00954DB8">
        <w:trPr>
          <w:cnfStyle w:val="100000000000" w:firstRow="1" w:lastRow="0" w:firstColumn="0" w:lastColumn="0" w:oddVBand="0" w:evenVBand="0" w:oddHBand="0" w:evenHBand="0" w:firstRowFirstColumn="0" w:firstRowLastColumn="0" w:lastRowFirstColumn="0" w:lastRowLastColumn="0"/>
          <w:trHeight w:val="800"/>
        </w:trPr>
        <w:tc>
          <w:tcPr>
            <w:cnfStyle w:val="001000000100" w:firstRow="0" w:lastRow="0" w:firstColumn="1" w:lastColumn="0" w:oddVBand="0" w:evenVBand="0" w:oddHBand="0" w:evenHBand="0" w:firstRowFirstColumn="1" w:firstRowLastColumn="0" w:lastRowFirstColumn="0" w:lastRowLastColumn="0"/>
            <w:tcW w:w="3140" w:type="dxa"/>
            <w:shd w:val="clear" w:color="auto" w:fill="F3F3F3"/>
          </w:tcPr>
          <w:p w14:paraId="627D6D79" w14:textId="77777777" w:rsidR="00954DB8" w:rsidRDefault="001C6B0C">
            <w:pPr>
              <w:pStyle w:val="Heading3"/>
              <w:spacing w:line="240" w:lineRule="auto"/>
              <w:contextualSpacing w:val="0"/>
              <w:outlineLvl w:val="2"/>
            </w:pPr>
            <w:bookmarkStart w:id="30" w:name="h.k66cdowc1qmj" w:colFirst="0" w:colLast="0"/>
            <w:bookmarkEnd w:id="30"/>
            <w:r>
              <w:t>Data Audits</w:t>
            </w:r>
            <w:r>
              <w:br/>
            </w:r>
          </w:p>
          <w:p w14:paraId="00DDADE7" w14:textId="77777777" w:rsidR="00954DB8" w:rsidRDefault="001C6B0C">
            <w:pPr>
              <w:pStyle w:val="normal0"/>
              <w:numPr>
                <w:ilvl w:val="0"/>
                <w:numId w:val="5"/>
              </w:numPr>
              <w:spacing w:line="240" w:lineRule="auto"/>
              <w:ind w:hanging="360"/>
              <w:rPr>
                <w:sz w:val="18"/>
                <w:szCs w:val="18"/>
              </w:rPr>
            </w:pPr>
            <w:r>
              <w:rPr>
                <w:b w:val="0"/>
                <w:sz w:val="18"/>
                <w:szCs w:val="18"/>
              </w:rPr>
              <w:t>Review available existing data and produce an inventory together with recommendations.</w:t>
            </w:r>
          </w:p>
          <w:p w14:paraId="53651C75" w14:textId="77777777" w:rsidR="00954DB8" w:rsidRDefault="001C6B0C">
            <w:pPr>
              <w:pStyle w:val="normal0"/>
              <w:numPr>
                <w:ilvl w:val="0"/>
                <w:numId w:val="5"/>
              </w:numPr>
              <w:spacing w:line="240" w:lineRule="auto"/>
              <w:ind w:hanging="360"/>
              <w:rPr>
                <w:sz w:val="18"/>
                <w:szCs w:val="18"/>
              </w:rPr>
            </w:pPr>
            <w:r>
              <w:rPr>
                <w:b w:val="0"/>
                <w:sz w:val="18"/>
                <w:szCs w:val="18"/>
              </w:rPr>
              <w:t>Expert team members will be able to build on and extend the work that has already been carried about by local open data advocates</w:t>
            </w:r>
          </w:p>
          <w:p w14:paraId="69018E6B" w14:textId="77777777" w:rsidR="00954DB8" w:rsidRDefault="00954DB8">
            <w:pPr>
              <w:pStyle w:val="normal0"/>
              <w:spacing w:line="240" w:lineRule="auto"/>
              <w:contextualSpacing w:val="0"/>
            </w:pPr>
          </w:p>
        </w:tc>
        <w:tc>
          <w:tcPr>
            <w:tcW w:w="2080" w:type="dxa"/>
            <w:shd w:val="clear" w:color="auto" w:fill="F3F3F3"/>
          </w:tcPr>
          <w:p w14:paraId="7BC182F9" w14:textId="77777777" w:rsidR="00954DB8" w:rsidRDefault="00954DB8">
            <w:pPr>
              <w:pStyle w:val="normal0"/>
              <w:spacing w:line="240" w:lineRule="auto"/>
              <w:contextualSpacing w:val="0"/>
              <w:cnfStyle w:val="100000000000" w:firstRow="1" w:lastRow="0" w:firstColumn="0" w:lastColumn="0" w:oddVBand="0" w:evenVBand="0" w:oddHBand="0" w:evenHBand="0" w:firstRowFirstColumn="0" w:firstRowLastColumn="0" w:lastRowFirstColumn="0" w:lastRowLastColumn="0"/>
            </w:pPr>
          </w:p>
          <w:p w14:paraId="49CA7E12" w14:textId="77777777" w:rsidR="00954DB8" w:rsidRDefault="001C6B0C">
            <w:pPr>
              <w:pStyle w:val="normal0"/>
              <w:numPr>
                <w:ilvl w:val="0"/>
                <w:numId w:val="5"/>
              </w:numPr>
              <w:spacing w:line="240" w:lineRule="auto"/>
              <w:ind w:hanging="360"/>
              <w:cnfStyle w:val="100000000000" w:firstRow="1" w:lastRow="0" w:firstColumn="0" w:lastColumn="0" w:oddVBand="0" w:evenVBand="0" w:oddHBand="0" w:evenHBand="0" w:firstRowFirstColumn="0" w:firstRowLastColumn="0" w:lastRowFirstColumn="0" w:lastRowLastColumn="0"/>
              <w:rPr>
                <w:sz w:val="18"/>
                <w:szCs w:val="18"/>
              </w:rPr>
            </w:pPr>
            <w:r>
              <w:rPr>
                <w:b w:val="0"/>
                <w:sz w:val="18"/>
                <w:szCs w:val="18"/>
              </w:rPr>
              <w:t>Project Manager</w:t>
            </w:r>
          </w:p>
          <w:p w14:paraId="78535CDD" w14:textId="77777777" w:rsidR="00954DB8" w:rsidRDefault="001C6B0C">
            <w:pPr>
              <w:pStyle w:val="normal0"/>
              <w:numPr>
                <w:ilvl w:val="0"/>
                <w:numId w:val="5"/>
              </w:numPr>
              <w:spacing w:line="240" w:lineRule="auto"/>
              <w:ind w:hanging="360"/>
              <w:cnfStyle w:val="100000000000" w:firstRow="1" w:lastRow="0" w:firstColumn="0" w:lastColumn="0" w:oddVBand="0" w:evenVBand="0" w:oddHBand="0" w:evenHBand="0" w:firstRowFirstColumn="0" w:firstRowLastColumn="0" w:lastRowFirstColumn="0" w:lastRowLastColumn="0"/>
              <w:rPr>
                <w:sz w:val="18"/>
                <w:szCs w:val="18"/>
              </w:rPr>
            </w:pPr>
            <w:r>
              <w:rPr>
                <w:b w:val="0"/>
                <w:sz w:val="18"/>
                <w:szCs w:val="18"/>
              </w:rPr>
              <w:t>Open Data Strategist</w:t>
            </w:r>
          </w:p>
        </w:tc>
        <w:tc>
          <w:tcPr>
            <w:tcW w:w="2080" w:type="dxa"/>
            <w:shd w:val="clear" w:color="auto" w:fill="F3F3F3"/>
          </w:tcPr>
          <w:p w14:paraId="311E92CE" w14:textId="77777777" w:rsidR="00954DB8" w:rsidRDefault="00954DB8">
            <w:pPr>
              <w:pStyle w:val="normal0"/>
              <w:spacing w:line="240" w:lineRule="auto"/>
              <w:contextualSpacing w:val="0"/>
              <w:cnfStyle w:val="100000000000" w:firstRow="1" w:lastRow="0" w:firstColumn="0" w:lastColumn="0" w:oddVBand="0" w:evenVBand="0" w:oddHBand="0" w:evenHBand="0" w:firstRowFirstColumn="0" w:firstRowLastColumn="0" w:lastRowFirstColumn="0" w:lastRowLastColumn="0"/>
            </w:pPr>
          </w:p>
          <w:p w14:paraId="7CF2C0E0" w14:textId="77777777" w:rsidR="00954DB8" w:rsidRDefault="001C6B0C">
            <w:pPr>
              <w:pStyle w:val="normal0"/>
              <w:numPr>
                <w:ilvl w:val="0"/>
                <w:numId w:val="5"/>
              </w:numPr>
              <w:spacing w:line="240" w:lineRule="auto"/>
              <w:ind w:hanging="360"/>
              <w:cnfStyle w:val="100000000000" w:firstRow="1" w:lastRow="0" w:firstColumn="0" w:lastColumn="0" w:oddVBand="0" w:evenVBand="0" w:oddHBand="0" w:evenHBand="0" w:firstRowFirstColumn="0" w:firstRowLastColumn="0" w:lastRowFirstColumn="0" w:lastRowLastColumn="0"/>
              <w:rPr>
                <w:sz w:val="18"/>
                <w:szCs w:val="18"/>
              </w:rPr>
            </w:pPr>
            <w:r>
              <w:rPr>
                <w:b w:val="0"/>
                <w:sz w:val="18"/>
                <w:szCs w:val="18"/>
              </w:rPr>
              <w:t>Assessment of data assets</w:t>
            </w:r>
          </w:p>
          <w:p w14:paraId="07DE3BA1" w14:textId="77777777" w:rsidR="00954DB8" w:rsidRDefault="001C6B0C">
            <w:pPr>
              <w:pStyle w:val="normal0"/>
              <w:numPr>
                <w:ilvl w:val="0"/>
                <w:numId w:val="5"/>
              </w:numPr>
              <w:spacing w:line="240" w:lineRule="auto"/>
              <w:ind w:hanging="360"/>
              <w:cnfStyle w:val="100000000000" w:firstRow="1" w:lastRow="0" w:firstColumn="0" w:lastColumn="0" w:oddVBand="0" w:evenVBand="0" w:oddHBand="0" w:evenHBand="0" w:firstRowFirstColumn="0" w:firstRowLastColumn="0" w:lastRowFirstColumn="0" w:lastRowLastColumn="0"/>
              <w:rPr>
                <w:sz w:val="18"/>
                <w:szCs w:val="18"/>
              </w:rPr>
            </w:pPr>
            <w:r>
              <w:rPr>
                <w:b w:val="0"/>
                <w:sz w:val="18"/>
                <w:szCs w:val="18"/>
              </w:rPr>
              <w:t>Creation of data asset inventory</w:t>
            </w:r>
          </w:p>
          <w:p w14:paraId="73A2327A" w14:textId="77777777" w:rsidR="00954DB8" w:rsidRDefault="001C6B0C">
            <w:pPr>
              <w:pStyle w:val="normal0"/>
              <w:numPr>
                <w:ilvl w:val="0"/>
                <w:numId w:val="5"/>
              </w:numPr>
              <w:spacing w:line="240" w:lineRule="auto"/>
              <w:ind w:hanging="360"/>
              <w:cnfStyle w:val="100000000000" w:firstRow="1" w:lastRow="0" w:firstColumn="0" w:lastColumn="0" w:oddVBand="0" w:evenVBand="0" w:oddHBand="0" w:evenHBand="0" w:firstRowFirstColumn="0" w:firstRowLastColumn="0" w:lastRowFirstColumn="0" w:lastRowLastColumn="0"/>
              <w:rPr>
                <w:sz w:val="18"/>
                <w:szCs w:val="18"/>
              </w:rPr>
            </w:pPr>
            <w:r>
              <w:rPr>
                <w:b w:val="0"/>
                <w:sz w:val="18"/>
                <w:szCs w:val="18"/>
              </w:rPr>
              <w:t>Train stakeholders to curate data asset inventories</w:t>
            </w:r>
          </w:p>
        </w:tc>
        <w:tc>
          <w:tcPr>
            <w:tcW w:w="2080" w:type="dxa"/>
            <w:shd w:val="clear" w:color="auto" w:fill="F3F3F3"/>
          </w:tcPr>
          <w:p w14:paraId="30776BDB" w14:textId="77777777" w:rsidR="00954DB8" w:rsidRDefault="001C6B0C">
            <w:pPr>
              <w:pStyle w:val="normal0"/>
              <w:spacing w:line="240" w:lineRule="auto"/>
              <w:contextualSpacing w:val="0"/>
              <w:cnfStyle w:val="100000000000" w:firstRow="1" w:lastRow="0" w:firstColumn="0" w:lastColumn="0" w:oddVBand="0" w:evenVBand="0" w:oddHBand="0" w:evenHBand="0" w:firstRowFirstColumn="0" w:firstRowLastColumn="0" w:lastRowFirstColumn="0" w:lastRowLastColumn="0"/>
            </w:pPr>
            <w:r>
              <w:rPr>
                <w:b w:val="0"/>
                <w:sz w:val="18"/>
                <w:szCs w:val="18"/>
              </w:rPr>
              <w:br/>
              <w:t>Cost is estimated on the size of the jurisdiction and scope of data audit.</w:t>
            </w:r>
          </w:p>
        </w:tc>
      </w:tr>
    </w:tbl>
    <w:p w14:paraId="4CAF558F" w14:textId="77777777" w:rsidR="00954DB8" w:rsidRDefault="00954DB8">
      <w:pPr>
        <w:pStyle w:val="normal0"/>
      </w:pPr>
    </w:p>
    <w:p w14:paraId="7D721A19" w14:textId="77777777" w:rsidR="00954DB8" w:rsidRDefault="001C6B0C">
      <w:pPr>
        <w:pStyle w:val="Heading2"/>
        <w:contextualSpacing w:val="0"/>
      </w:pPr>
      <w:bookmarkStart w:id="31" w:name="h.tuuau3t9478l" w:colFirst="0" w:colLast="0"/>
      <w:bookmarkEnd w:id="31"/>
      <w:r>
        <w:lastRenderedPageBreak/>
        <w:t>Implementation Deliverables</w:t>
      </w:r>
      <w:r>
        <w:br/>
      </w:r>
    </w:p>
    <w:tbl>
      <w:tblPr>
        <w:tblStyle w:val="a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80"/>
        <w:gridCol w:w="2380"/>
        <w:gridCol w:w="2420"/>
        <w:gridCol w:w="2380"/>
      </w:tblGrid>
      <w:tr w:rsidR="00954DB8" w14:paraId="195F65DE" w14:textId="77777777" w:rsidTr="00954DB8">
        <w:trPr>
          <w:cnfStyle w:val="100000000000" w:firstRow="1" w:lastRow="0" w:firstColumn="0" w:lastColumn="0" w:oddVBand="0" w:evenVBand="0" w:oddHBand="0" w:evenHBand="0" w:firstRowFirstColumn="0" w:firstRowLastColumn="0" w:lastRowFirstColumn="0" w:lastRowLastColumn="0"/>
          <w:trHeight w:val="800"/>
        </w:trPr>
        <w:tc>
          <w:tcPr>
            <w:cnfStyle w:val="001000000100" w:firstRow="0" w:lastRow="0" w:firstColumn="1" w:lastColumn="0" w:oddVBand="0" w:evenVBand="0" w:oddHBand="0" w:evenHBand="0" w:firstRowFirstColumn="1" w:firstRowLastColumn="0" w:lastRowFirstColumn="0" w:lastRowLastColumn="0"/>
            <w:tcW w:w="2180" w:type="dxa"/>
            <w:shd w:val="clear" w:color="auto" w:fill="EFEFEF"/>
          </w:tcPr>
          <w:p w14:paraId="1D603868" w14:textId="77777777" w:rsidR="00954DB8" w:rsidRDefault="00954DB8">
            <w:pPr>
              <w:pStyle w:val="normal0"/>
              <w:spacing w:line="240" w:lineRule="auto"/>
              <w:contextualSpacing w:val="0"/>
            </w:pPr>
          </w:p>
          <w:p w14:paraId="0F60A30F" w14:textId="77777777" w:rsidR="00954DB8" w:rsidRDefault="001C6B0C">
            <w:pPr>
              <w:pStyle w:val="normal0"/>
              <w:spacing w:line="240" w:lineRule="auto"/>
              <w:contextualSpacing w:val="0"/>
            </w:pPr>
            <w:r>
              <w:t>Business Service</w:t>
            </w:r>
          </w:p>
        </w:tc>
        <w:tc>
          <w:tcPr>
            <w:tcW w:w="2380" w:type="dxa"/>
            <w:shd w:val="clear" w:color="auto" w:fill="EFEFEF"/>
          </w:tcPr>
          <w:p w14:paraId="095C2F8C" w14:textId="77777777" w:rsidR="00954DB8" w:rsidRDefault="00954DB8">
            <w:pPr>
              <w:pStyle w:val="normal0"/>
              <w:spacing w:line="240" w:lineRule="auto"/>
              <w:contextualSpacing w:val="0"/>
              <w:cnfStyle w:val="100000000000" w:firstRow="1" w:lastRow="0" w:firstColumn="0" w:lastColumn="0" w:oddVBand="0" w:evenVBand="0" w:oddHBand="0" w:evenHBand="0" w:firstRowFirstColumn="0" w:firstRowLastColumn="0" w:lastRowFirstColumn="0" w:lastRowLastColumn="0"/>
            </w:pPr>
          </w:p>
          <w:p w14:paraId="3098D112" w14:textId="77777777" w:rsidR="00954DB8" w:rsidRDefault="001C6B0C">
            <w:pPr>
              <w:pStyle w:val="normal0"/>
              <w:spacing w:line="240" w:lineRule="auto"/>
              <w:contextualSpacing w:val="0"/>
              <w:cnfStyle w:val="100000000000" w:firstRow="1" w:lastRow="0" w:firstColumn="0" w:lastColumn="0" w:oddVBand="0" w:evenVBand="0" w:oddHBand="0" w:evenHBand="0" w:firstRowFirstColumn="0" w:firstRowLastColumn="0" w:lastRowFirstColumn="0" w:lastRowLastColumn="0"/>
            </w:pPr>
            <w:r>
              <w:t>Service Team</w:t>
            </w:r>
          </w:p>
        </w:tc>
        <w:tc>
          <w:tcPr>
            <w:tcW w:w="2420" w:type="dxa"/>
            <w:shd w:val="clear" w:color="auto" w:fill="EFEFEF"/>
          </w:tcPr>
          <w:p w14:paraId="719976C1" w14:textId="77777777" w:rsidR="00954DB8" w:rsidRDefault="00954DB8">
            <w:pPr>
              <w:pStyle w:val="normal0"/>
              <w:spacing w:line="240" w:lineRule="auto"/>
              <w:contextualSpacing w:val="0"/>
              <w:cnfStyle w:val="100000000000" w:firstRow="1" w:lastRow="0" w:firstColumn="0" w:lastColumn="0" w:oddVBand="0" w:evenVBand="0" w:oddHBand="0" w:evenHBand="0" w:firstRowFirstColumn="0" w:firstRowLastColumn="0" w:lastRowFirstColumn="0" w:lastRowLastColumn="0"/>
            </w:pPr>
          </w:p>
          <w:p w14:paraId="276DB470" w14:textId="77777777" w:rsidR="00954DB8" w:rsidRDefault="001C6B0C">
            <w:pPr>
              <w:pStyle w:val="normal0"/>
              <w:spacing w:line="240" w:lineRule="auto"/>
              <w:contextualSpacing w:val="0"/>
              <w:cnfStyle w:val="100000000000" w:firstRow="1" w:lastRow="0" w:firstColumn="0" w:lastColumn="0" w:oddVBand="0" w:evenVBand="0" w:oddHBand="0" w:evenHBand="0" w:firstRowFirstColumn="0" w:firstRowLastColumn="0" w:lastRowFirstColumn="0" w:lastRowLastColumn="0"/>
            </w:pPr>
            <w:r>
              <w:t>Deliverables</w:t>
            </w:r>
          </w:p>
        </w:tc>
        <w:tc>
          <w:tcPr>
            <w:tcW w:w="2380" w:type="dxa"/>
            <w:shd w:val="clear" w:color="auto" w:fill="EFEFEF"/>
          </w:tcPr>
          <w:p w14:paraId="36AFFCF0" w14:textId="77777777" w:rsidR="00954DB8" w:rsidRDefault="00954DB8">
            <w:pPr>
              <w:pStyle w:val="normal0"/>
              <w:spacing w:line="240" w:lineRule="auto"/>
              <w:contextualSpacing w:val="0"/>
              <w:cnfStyle w:val="100000000000" w:firstRow="1" w:lastRow="0" w:firstColumn="0" w:lastColumn="0" w:oddVBand="0" w:evenVBand="0" w:oddHBand="0" w:evenHBand="0" w:firstRowFirstColumn="0" w:firstRowLastColumn="0" w:lastRowFirstColumn="0" w:lastRowLastColumn="0"/>
            </w:pPr>
          </w:p>
          <w:p w14:paraId="18874B45" w14:textId="77777777" w:rsidR="00954DB8" w:rsidRDefault="001C6B0C">
            <w:pPr>
              <w:pStyle w:val="normal0"/>
              <w:spacing w:line="240" w:lineRule="auto"/>
              <w:contextualSpacing w:val="0"/>
              <w:cnfStyle w:val="100000000000" w:firstRow="1" w:lastRow="0" w:firstColumn="0" w:lastColumn="0" w:oddVBand="0" w:evenVBand="0" w:oddHBand="0" w:evenHBand="0" w:firstRowFirstColumn="0" w:firstRowLastColumn="0" w:lastRowFirstColumn="0" w:lastRowLastColumn="0"/>
            </w:pPr>
            <w:r>
              <w:t>Pricing</w:t>
            </w:r>
          </w:p>
        </w:tc>
      </w:tr>
      <w:tr w:rsidR="00954DB8" w14:paraId="799CC54B" w14:textId="77777777" w:rsidTr="00954DB8">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180" w:type="dxa"/>
            <w:shd w:val="clear" w:color="auto" w:fill="EFEFEF"/>
          </w:tcPr>
          <w:p w14:paraId="7BD3BA48" w14:textId="77777777" w:rsidR="00954DB8" w:rsidRDefault="001C6B0C">
            <w:pPr>
              <w:pStyle w:val="Heading3"/>
              <w:spacing w:line="240" w:lineRule="auto"/>
              <w:contextualSpacing w:val="0"/>
              <w:outlineLvl w:val="2"/>
            </w:pPr>
            <w:bookmarkStart w:id="32" w:name="h.ji11ldktwfq4" w:colFirst="0" w:colLast="0"/>
            <w:bookmarkEnd w:id="32"/>
            <w:r>
              <w:lastRenderedPageBreak/>
              <w:t>Extract, Transform and Load</w:t>
            </w:r>
          </w:p>
          <w:p w14:paraId="049E44AF" w14:textId="77777777" w:rsidR="00954DB8" w:rsidRDefault="001C6B0C">
            <w:pPr>
              <w:pStyle w:val="normal0"/>
              <w:numPr>
                <w:ilvl w:val="0"/>
                <w:numId w:val="5"/>
              </w:numPr>
              <w:spacing w:line="240" w:lineRule="auto"/>
              <w:ind w:hanging="360"/>
              <w:rPr>
                <w:sz w:val="18"/>
                <w:szCs w:val="18"/>
              </w:rPr>
            </w:pPr>
            <w:r>
              <w:rPr>
                <w:b w:val="0"/>
                <w:sz w:val="18"/>
                <w:szCs w:val="18"/>
              </w:rPr>
              <w:t>Data extraction and transformation and loading (ETLs)</w:t>
            </w:r>
          </w:p>
          <w:p w14:paraId="46BDB009" w14:textId="77777777" w:rsidR="00954DB8" w:rsidRDefault="001C6B0C">
            <w:pPr>
              <w:pStyle w:val="normal0"/>
              <w:numPr>
                <w:ilvl w:val="0"/>
                <w:numId w:val="5"/>
              </w:numPr>
              <w:spacing w:line="240" w:lineRule="auto"/>
              <w:ind w:hanging="360"/>
              <w:rPr>
                <w:sz w:val="18"/>
                <w:szCs w:val="18"/>
              </w:rPr>
            </w:pPr>
            <w:r>
              <w:rPr>
                <w:b w:val="0"/>
                <w:sz w:val="18"/>
                <w:szCs w:val="18"/>
              </w:rPr>
              <w:t>Developing programmatic ETLs</w:t>
            </w:r>
          </w:p>
        </w:tc>
        <w:tc>
          <w:tcPr>
            <w:tcW w:w="2380" w:type="dxa"/>
            <w:shd w:val="clear" w:color="auto" w:fill="EFEFEF"/>
          </w:tcPr>
          <w:p w14:paraId="76172787" w14:textId="77777777" w:rsidR="00954DB8" w:rsidRDefault="00954DB8">
            <w:pPr>
              <w:pStyle w:val="normal0"/>
              <w:spacing w:line="240" w:lineRule="auto"/>
              <w:contextualSpacing w:val="0"/>
              <w:cnfStyle w:val="000000100000" w:firstRow="0" w:lastRow="0" w:firstColumn="0" w:lastColumn="0" w:oddVBand="0" w:evenVBand="0" w:oddHBand="1" w:evenHBand="0" w:firstRowFirstColumn="0" w:firstRowLastColumn="0" w:lastRowFirstColumn="0" w:lastRowLastColumn="0"/>
            </w:pPr>
          </w:p>
          <w:p w14:paraId="71545336" w14:textId="77777777" w:rsidR="00954DB8" w:rsidRDefault="001C6B0C">
            <w:pPr>
              <w:pStyle w:val="normal0"/>
              <w:numPr>
                <w:ilvl w:val="0"/>
                <w:numId w:val="5"/>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Project Manager</w:t>
            </w:r>
          </w:p>
          <w:p w14:paraId="4B09317B" w14:textId="77777777" w:rsidR="00954DB8" w:rsidRDefault="001C6B0C">
            <w:pPr>
              <w:pStyle w:val="normal0"/>
              <w:numPr>
                <w:ilvl w:val="0"/>
                <w:numId w:val="5"/>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Open Data Strategist</w:t>
            </w:r>
          </w:p>
          <w:p w14:paraId="3ABC270E" w14:textId="77777777" w:rsidR="00954DB8" w:rsidRDefault="001C6B0C">
            <w:pPr>
              <w:pStyle w:val="normal0"/>
              <w:numPr>
                <w:ilvl w:val="0"/>
                <w:numId w:val="5"/>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Business Analyst</w:t>
            </w:r>
          </w:p>
        </w:tc>
        <w:tc>
          <w:tcPr>
            <w:tcW w:w="2420" w:type="dxa"/>
            <w:shd w:val="clear" w:color="auto" w:fill="EFEFEF"/>
          </w:tcPr>
          <w:p w14:paraId="5F332916" w14:textId="77777777" w:rsidR="00954DB8" w:rsidRDefault="00954DB8">
            <w:pPr>
              <w:pStyle w:val="normal0"/>
              <w:spacing w:line="240" w:lineRule="auto"/>
              <w:contextualSpacing w:val="0"/>
              <w:cnfStyle w:val="000000100000" w:firstRow="0" w:lastRow="0" w:firstColumn="0" w:lastColumn="0" w:oddVBand="0" w:evenVBand="0" w:oddHBand="1" w:evenHBand="0" w:firstRowFirstColumn="0" w:firstRowLastColumn="0" w:lastRowFirstColumn="0" w:lastRowLastColumn="0"/>
            </w:pPr>
          </w:p>
          <w:p w14:paraId="48BC2B80" w14:textId="77777777" w:rsidR="00954DB8" w:rsidRDefault="001C6B0C">
            <w:pPr>
              <w:pStyle w:val="normal0"/>
              <w:numPr>
                <w:ilvl w:val="0"/>
                <w:numId w:val="5"/>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Data set location</w:t>
            </w:r>
          </w:p>
          <w:p w14:paraId="75DDA6A9" w14:textId="77777777" w:rsidR="00954DB8" w:rsidRDefault="001C6B0C">
            <w:pPr>
              <w:pStyle w:val="normal0"/>
              <w:numPr>
                <w:ilvl w:val="0"/>
                <w:numId w:val="5"/>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Data set mining</w:t>
            </w:r>
          </w:p>
          <w:p w14:paraId="534FA771" w14:textId="77777777" w:rsidR="00954DB8" w:rsidRDefault="001C6B0C">
            <w:pPr>
              <w:pStyle w:val="normal0"/>
              <w:numPr>
                <w:ilvl w:val="0"/>
                <w:numId w:val="5"/>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Data loading and visualizations</w:t>
            </w:r>
          </w:p>
          <w:p w14:paraId="31D7723E" w14:textId="77777777" w:rsidR="00954DB8" w:rsidRDefault="001C6B0C">
            <w:pPr>
              <w:pStyle w:val="normal0"/>
              <w:numPr>
                <w:ilvl w:val="0"/>
                <w:numId w:val="5"/>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Project management </w:t>
            </w:r>
          </w:p>
        </w:tc>
        <w:tc>
          <w:tcPr>
            <w:tcW w:w="2380" w:type="dxa"/>
            <w:shd w:val="clear" w:color="auto" w:fill="EFEFEF"/>
          </w:tcPr>
          <w:p w14:paraId="31468659" w14:textId="77777777" w:rsidR="00954DB8" w:rsidRDefault="001C6B0C">
            <w:pPr>
              <w:pStyle w:val="normal0"/>
              <w:spacing w:line="240" w:lineRule="auto"/>
              <w:contextualSpacing w:val="0"/>
              <w:cnfStyle w:val="000000100000" w:firstRow="0" w:lastRow="0" w:firstColumn="0" w:lastColumn="0" w:oddVBand="0" w:evenVBand="0" w:oddHBand="1" w:evenHBand="0" w:firstRowFirstColumn="0" w:firstRowLastColumn="0" w:lastRowFirstColumn="0" w:lastRowLastColumn="0"/>
            </w:pPr>
            <w:r>
              <w:rPr>
                <w:sz w:val="18"/>
                <w:szCs w:val="18"/>
              </w:rPr>
              <w:br/>
            </w:r>
            <w:r>
              <w:rPr>
                <w:sz w:val="18"/>
                <w:szCs w:val="18"/>
              </w:rPr>
              <w:t>Cost is estimated on the number of data sets and effort to mine the data.</w:t>
            </w:r>
          </w:p>
        </w:tc>
      </w:tr>
      <w:tr w:rsidR="00954DB8" w14:paraId="1847704B" w14:textId="77777777" w:rsidTr="00954DB8">
        <w:trPr>
          <w:trHeight w:val="800"/>
        </w:trPr>
        <w:tc>
          <w:tcPr>
            <w:cnfStyle w:val="001000000000" w:firstRow="0" w:lastRow="0" w:firstColumn="1" w:lastColumn="0" w:oddVBand="0" w:evenVBand="0" w:oddHBand="0" w:evenHBand="0" w:firstRowFirstColumn="0" w:firstRowLastColumn="0" w:lastRowFirstColumn="0" w:lastRowLastColumn="0"/>
            <w:tcW w:w="2180" w:type="dxa"/>
            <w:shd w:val="clear" w:color="auto" w:fill="EFEFEF"/>
          </w:tcPr>
          <w:p w14:paraId="0E49BA99" w14:textId="77777777" w:rsidR="00954DB8" w:rsidRDefault="001C6B0C">
            <w:pPr>
              <w:pStyle w:val="Heading3"/>
              <w:spacing w:line="240" w:lineRule="auto"/>
              <w:contextualSpacing w:val="0"/>
              <w:outlineLvl w:val="2"/>
            </w:pPr>
            <w:bookmarkStart w:id="33" w:name="h.5t3oqc61e7te" w:colFirst="0" w:colLast="0"/>
            <w:bookmarkEnd w:id="33"/>
            <w:r>
              <w:t>API and Enterprise Data Governance</w:t>
            </w:r>
          </w:p>
          <w:p w14:paraId="3D8825DF" w14:textId="77777777" w:rsidR="00954DB8" w:rsidRDefault="001C6B0C">
            <w:pPr>
              <w:pStyle w:val="normal0"/>
              <w:numPr>
                <w:ilvl w:val="0"/>
                <w:numId w:val="5"/>
              </w:numPr>
              <w:spacing w:line="240" w:lineRule="auto"/>
              <w:ind w:hanging="360"/>
              <w:rPr>
                <w:sz w:val="18"/>
                <w:szCs w:val="18"/>
              </w:rPr>
            </w:pPr>
            <w:r>
              <w:rPr>
                <w:b w:val="0"/>
                <w:sz w:val="18"/>
                <w:szCs w:val="18"/>
              </w:rPr>
              <w:t>Designing API strategies and architectures</w:t>
            </w:r>
          </w:p>
          <w:p w14:paraId="2B21AEE2" w14:textId="77777777" w:rsidR="00954DB8" w:rsidRDefault="001C6B0C">
            <w:pPr>
              <w:pStyle w:val="normal0"/>
              <w:numPr>
                <w:ilvl w:val="0"/>
                <w:numId w:val="5"/>
              </w:numPr>
              <w:spacing w:line="240" w:lineRule="auto"/>
              <w:ind w:hanging="360"/>
              <w:rPr>
                <w:sz w:val="18"/>
                <w:szCs w:val="18"/>
              </w:rPr>
            </w:pPr>
            <w:r>
              <w:rPr>
                <w:b w:val="0"/>
                <w:sz w:val="18"/>
                <w:szCs w:val="18"/>
              </w:rPr>
              <w:t>Enterprise Architecture advisement</w:t>
            </w:r>
          </w:p>
          <w:p w14:paraId="463EE9E5" w14:textId="77777777" w:rsidR="00954DB8" w:rsidRDefault="001C6B0C">
            <w:pPr>
              <w:pStyle w:val="normal0"/>
              <w:numPr>
                <w:ilvl w:val="0"/>
                <w:numId w:val="5"/>
              </w:numPr>
              <w:spacing w:line="240" w:lineRule="auto"/>
              <w:ind w:hanging="360"/>
              <w:rPr>
                <w:sz w:val="18"/>
                <w:szCs w:val="18"/>
              </w:rPr>
            </w:pPr>
            <w:r>
              <w:rPr>
                <w:b w:val="0"/>
                <w:sz w:val="18"/>
                <w:szCs w:val="18"/>
              </w:rPr>
              <w:t>Developing data governance models</w:t>
            </w:r>
          </w:p>
          <w:p w14:paraId="769FCF34" w14:textId="77777777" w:rsidR="00954DB8" w:rsidRDefault="00954DB8">
            <w:pPr>
              <w:pStyle w:val="normal0"/>
              <w:spacing w:line="240" w:lineRule="auto"/>
              <w:contextualSpacing w:val="0"/>
            </w:pPr>
          </w:p>
        </w:tc>
        <w:tc>
          <w:tcPr>
            <w:tcW w:w="2380" w:type="dxa"/>
            <w:shd w:val="clear" w:color="auto" w:fill="EFEFEF"/>
          </w:tcPr>
          <w:p w14:paraId="6BDCF600" w14:textId="77777777" w:rsidR="00954DB8" w:rsidRDefault="00954DB8">
            <w:pPr>
              <w:pStyle w:val="normal0"/>
              <w:spacing w:line="240" w:lineRule="auto"/>
              <w:contextualSpacing w:val="0"/>
              <w:cnfStyle w:val="000000000000" w:firstRow="0" w:lastRow="0" w:firstColumn="0" w:lastColumn="0" w:oddVBand="0" w:evenVBand="0" w:oddHBand="0" w:evenHBand="0" w:firstRowFirstColumn="0" w:firstRowLastColumn="0" w:lastRowFirstColumn="0" w:lastRowLastColumn="0"/>
            </w:pPr>
          </w:p>
          <w:p w14:paraId="16D63E70" w14:textId="77777777" w:rsidR="00954DB8" w:rsidRDefault="001C6B0C">
            <w:pPr>
              <w:pStyle w:val="normal0"/>
              <w:numPr>
                <w:ilvl w:val="0"/>
                <w:numId w:val="5"/>
              </w:numPr>
              <w:spacing w:line="240" w:lineRule="auto"/>
              <w:ind w:hanging="3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Project Manager</w:t>
            </w:r>
          </w:p>
          <w:p w14:paraId="3425F979" w14:textId="77777777" w:rsidR="00954DB8" w:rsidRDefault="001C6B0C">
            <w:pPr>
              <w:pStyle w:val="normal0"/>
              <w:numPr>
                <w:ilvl w:val="0"/>
                <w:numId w:val="5"/>
              </w:numPr>
              <w:spacing w:line="240" w:lineRule="auto"/>
              <w:ind w:hanging="3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Open Data Strategist</w:t>
            </w:r>
          </w:p>
          <w:p w14:paraId="2FE065EF" w14:textId="77777777" w:rsidR="00954DB8" w:rsidRDefault="001C6B0C">
            <w:pPr>
              <w:pStyle w:val="normal0"/>
              <w:numPr>
                <w:ilvl w:val="0"/>
                <w:numId w:val="5"/>
              </w:numPr>
              <w:spacing w:line="240" w:lineRule="auto"/>
              <w:ind w:hanging="3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Business Analyst</w:t>
            </w:r>
          </w:p>
        </w:tc>
        <w:tc>
          <w:tcPr>
            <w:tcW w:w="2420" w:type="dxa"/>
            <w:shd w:val="clear" w:color="auto" w:fill="EFEFEF"/>
          </w:tcPr>
          <w:p w14:paraId="4EB34688" w14:textId="77777777" w:rsidR="00954DB8" w:rsidRDefault="00954DB8">
            <w:pPr>
              <w:pStyle w:val="normal0"/>
              <w:spacing w:line="240" w:lineRule="auto"/>
              <w:contextualSpacing w:val="0"/>
              <w:cnfStyle w:val="000000000000" w:firstRow="0" w:lastRow="0" w:firstColumn="0" w:lastColumn="0" w:oddVBand="0" w:evenVBand="0" w:oddHBand="0" w:evenHBand="0" w:firstRowFirstColumn="0" w:firstRowLastColumn="0" w:lastRowFirstColumn="0" w:lastRowLastColumn="0"/>
            </w:pPr>
          </w:p>
          <w:p w14:paraId="4EA5BEE6" w14:textId="77777777" w:rsidR="00954DB8" w:rsidRDefault="001C6B0C">
            <w:pPr>
              <w:pStyle w:val="normal0"/>
              <w:numPr>
                <w:ilvl w:val="0"/>
                <w:numId w:val="5"/>
              </w:numPr>
              <w:spacing w:line="240" w:lineRule="auto"/>
              <w:ind w:hanging="3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EA design </w:t>
            </w:r>
          </w:p>
          <w:p w14:paraId="4799622F" w14:textId="77777777" w:rsidR="00954DB8" w:rsidRDefault="001C6B0C">
            <w:pPr>
              <w:pStyle w:val="normal0"/>
              <w:numPr>
                <w:ilvl w:val="0"/>
                <w:numId w:val="5"/>
              </w:numPr>
              <w:spacing w:line="240" w:lineRule="auto"/>
              <w:ind w:hanging="3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Beta architecture and testing</w:t>
            </w:r>
          </w:p>
          <w:p w14:paraId="62587CBD" w14:textId="77777777" w:rsidR="00954DB8" w:rsidRDefault="001C6B0C">
            <w:pPr>
              <w:pStyle w:val="normal0"/>
              <w:numPr>
                <w:ilvl w:val="0"/>
                <w:numId w:val="5"/>
              </w:numPr>
              <w:spacing w:line="240" w:lineRule="auto"/>
              <w:ind w:hanging="3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Business Requirements </w:t>
            </w:r>
          </w:p>
          <w:p w14:paraId="77B64C6D" w14:textId="77777777" w:rsidR="00954DB8" w:rsidRDefault="001C6B0C">
            <w:pPr>
              <w:pStyle w:val="normal0"/>
              <w:numPr>
                <w:ilvl w:val="0"/>
                <w:numId w:val="5"/>
              </w:numPr>
              <w:spacing w:line="240" w:lineRule="auto"/>
              <w:ind w:hanging="3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Data governance best practices strategy document</w:t>
            </w:r>
          </w:p>
        </w:tc>
        <w:tc>
          <w:tcPr>
            <w:tcW w:w="2380" w:type="dxa"/>
            <w:shd w:val="clear" w:color="auto" w:fill="EFEFEF"/>
          </w:tcPr>
          <w:p w14:paraId="279EF5C6" w14:textId="77777777" w:rsidR="00954DB8" w:rsidRDefault="001C6B0C">
            <w:pPr>
              <w:pStyle w:val="normal0"/>
              <w:spacing w:line="240" w:lineRule="auto"/>
              <w:contextualSpacing w:val="0"/>
              <w:cnfStyle w:val="000000000000" w:firstRow="0" w:lastRow="0" w:firstColumn="0" w:lastColumn="0" w:oddVBand="0" w:evenVBand="0" w:oddHBand="0" w:evenHBand="0" w:firstRowFirstColumn="0" w:firstRowLastColumn="0" w:lastRowFirstColumn="0" w:lastRowLastColumn="0"/>
            </w:pPr>
            <w:r>
              <w:rPr>
                <w:sz w:val="18"/>
                <w:szCs w:val="18"/>
              </w:rPr>
              <w:br/>
              <w:t>Cost is estimated on the scope. The engagement should start with an assessment on what the design of th</w:t>
            </w:r>
            <w:r>
              <w:rPr>
                <w:sz w:val="18"/>
                <w:szCs w:val="18"/>
              </w:rPr>
              <w:t>e architecture.</w:t>
            </w:r>
          </w:p>
        </w:tc>
      </w:tr>
      <w:tr w:rsidR="00954DB8" w14:paraId="32515216" w14:textId="77777777" w:rsidTr="00954DB8">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180" w:type="dxa"/>
            <w:shd w:val="clear" w:color="auto" w:fill="EFEFEF"/>
          </w:tcPr>
          <w:p w14:paraId="07ABAC0A" w14:textId="77777777" w:rsidR="00954DB8" w:rsidRDefault="001C6B0C">
            <w:pPr>
              <w:pStyle w:val="Heading3"/>
              <w:spacing w:line="240" w:lineRule="auto"/>
              <w:contextualSpacing w:val="0"/>
              <w:outlineLvl w:val="2"/>
            </w:pPr>
            <w:bookmarkStart w:id="34" w:name="h.8jbp54avr7zm" w:colFirst="0" w:colLast="0"/>
            <w:bookmarkEnd w:id="34"/>
            <w:r>
              <w:t>Training</w:t>
            </w:r>
          </w:p>
          <w:p w14:paraId="5FF3B759" w14:textId="77777777" w:rsidR="00954DB8" w:rsidRDefault="001C6B0C">
            <w:pPr>
              <w:pStyle w:val="normal0"/>
              <w:numPr>
                <w:ilvl w:val="0"/>
                <w:numId w:val="2"/>
              </w:numPr>
              <w:spacing w:line="240" w:lineRule="auto"/>
              <w:ind w:hanging="360"/>
              <w:rPr>
                <w:sz w:val="18"/>
                <w:szCs w:val="18"/>
              </w:rPr>
            </w:pPr>
            <w:r>
              <w:rPr>
                <w:b w:val="0"/>
                <w:sz w:val="18"/>
                <w:szCs w:val="18"/>
              </w:rPr>
              <w:t>Interactive training workshops</w:t>
            </w:r>
          </w:p>
          <w:p w14:paraId="23CDC89F" w14:textId="77777777" w:rsidR="00954DB8" w:rsidRDefault="001C6B0C">
            <w:pPr>
              <w:pStyle w:val="normal0"/>
              <w:numPr>
                <w:ilvl w:val="0"/>
                <w:numId w:val="2"/>
              </w:numPr>
              <w:spacing w:line="240" w:lineRule="auto"/>
              <w:ind w:hanging="360"/>
              <w:rPr>
                <w:sz w:val="18"/>
                <w:szCs w:val="18"/>
              </w:rPr>
            </w:pPr>
            <w:r>
              <w:rPr>
                <w:b w:val="0"/>
                <w:sz w:val="18"/>
                <w:szCs w:val="18"/>
              </w:rPr>
              <w:t>1 day training course: beginners</w:t>
            </w:r>
          </w:p>
          <w:p w14:paraId="289635D5" w14:textId="77777777" w:rsidR="00954DB8" w:rsidRDefault="001C6B0C">
            <w:pPr>
              <w:pStyle w:val="normal0"/>
              <w:numPr>
                <w:ilvl w:val="0"/>
                <w:numId w:val="2"/>
              </w:numPr>
              <w:spacing w:line="240" w:lineRule="auto"/>
              <w:ind w:hanging="360"/>
              <w:rPr>
                <w:sz w:val="18"/>
                <w:szCs w:val="18"/>
              </w:rPr>
            </w:pPr>
            <w:r>
              <w:rPr>
                <w:b w:val="0"/>
                <w:sz w:val="18"/>
                <w:szCs w:val="18"/>
              </w:rPr>
              <w:t>3 days training course: beginners/ intermediate</w:t>
            </w:r>
          </w:p>
          <w:p w14:paraId="259BFD74" w14:textId="77777777" w:rsidR="00954DB8" w:rsidRDefault="001C6B0C">
            <w:pPr>
              <w:pStyle w:val="normal0"/>
              <w:numPr>
                <w:ilvl w:val="0"/>
                <w:numId w:val="2"/>
              </w:numPr>
              <w:spacing w:line="240" w:lineRule="auto"/>
              <w:ind w:hanging="360"/>
              <w:rPr>
                <w:sz w:val="18"/>
                <w:szCs w:val="18"/>
              </w:rPr>
            </w:pPr>
            <w:r>
              <w:rPr>
                <w:b w:val="0"/>
                <w:sz w:val="18"/>
                <w:szCs w:val="18"/>
              </w:rPr>
              <w:t>5 days intensive training course: intermediate/ advanced</w:t>
            </w:r>
          </w:p>
        </w:tc>
        <w:tc>
          <w:tcPr>
            <w:tcW w:w="2380" w:type="dxa"/>
            <w:shd w:val="clear" w:color="auto" w:fill="EFEFEF"/>
          </w:tcPr>
          <w:p w14:paraId="6C571325" w14:textId="77777777" w:rsidR="00954DB8" w:rsidRDefault="00954DB8">
            <w:pPr>
              <w:pStyle w:val="normal0"/>
              <w:spacing w:line="240" w:lineRule="auto"/>
              <w:contextualSpacing w:val="0"/>
              <w:cnfStyle w:val="000000100000" w:firstRow="0" w:lastRow="0" w:firstColumn="0" w:lastColumn="0" w:oddVBand="0" w:evenVBand="0" w:oddHBand="1" w:evenHBand="0" w:firstRowFirstColumn="0" w:firstRowLastColumn="0" w:lastRowFirstColumn="0" w:lastRowLastColumn="0"/>
            </w:pPr>
          </w:p>
          <w:p w14:paraId="638661A2" w14:textId="77777777" w:rsidR="00954DB8" w:rsidRDefault="001C6B0C">
            <w:pPr>
              <w:pStyle w:val="normal0"/>
              <w:numPr>
                <w:ilvl w:val="0"/>
                <w:numId w:val="5"/>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Open Data Trainer</w:t>
            </w:r>
          </w:p>
          <w:p w14:paraId="355C72F9" w14:textId="77777777" w:rsidR="00954DB8" w:rsidRDefault="001C6B0C">
            <w:pPr>
              <w:pStyle w:val="normal0"/>
              <w:numPr>
                <w:ilvl w:val="0"/>
                <w:numId w:val="5"/>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Open Data Strategist</w:t>
            </w:r>
          </w:p>
          <w:p w14:paraId="36B37C3F" w14:textId="77777777" w:rsidR="00954DB8" w:rsidRDefault="00954DB8">
            <w:pPr>
              <w:pStyle w:val="normal0"/>
              <w:spacing w:line="240" w:lineRule="auto"/>
              <w:contextualSpacing w:val="0"/>
              <w:cnfStyle w:val="000000100000" w:firstRow="0" w:lastRow="0" w:firstColumn="0" w:lastColumn="0" w:oddVBand="0" w:evenVBand="0" w:oddHBand="1" w:evenHBand="0" w:firstRowFirstColumn="0" w:firstRowLastColumn="0" w:lastRowFirstColumn="0" w:lastRowLastColumn="0"/>
            </w:pPr>
          </w:p>
        </w:tc>
        <w:tc>
          <w:tcPr>
            <w:tcW w:w="2420" w:type="dxa"/>
            <w:shd w:val="clear" w:color="auto" w:fill="EFEFEF"/>
          </w:tcPr>
          <w:p w14:paraId="1EB242CC" w14:textId="77777777" w:rsidR="00954DB8" w:rsidRDefault="00954DB8">
            <w:pPr>
              <w:pStyle w:val="normal0"/>
              <w:spacing w:line="240" w:lineRule="auto"/>
              <w:contextualSpacing w:val="0"/>
              <w:cnfStyle w:val="000000100000" w:firstRow="0" w:lastRow="0" w:firstColumn="0" w:lastColumn="0" w:oddVBand="0" w:evenVBand="0" w:oddHBand="1" w:evenHBand="0" w:firstRowFirstColumn="0" w:firstRowLastColumn="0" w:lastRowFirstColumn="0" w:lastRowLastColumn="0"/>
            </w:pPr>
          </w:p>
          <w:p w14:paraId="37B951A5" w14:textId="77777777" w:rsidR="00954DB8" w:rsidRDefault="001C6B0C">
            <w:pPr>
              <w:pStyle w:val="normal0"/>
              <w:numPr>
                <w:ilvl w:val="0"/>
                <w:numId w:val="5"/>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Data Literacy (1 day)</w:t>
            </w:r>
          </w:p>
          <w:p w14:paraId="5B7DEFFF" w14:textId="77777777" w:rsidR="00954DB8" w:rsidRDefault="001C6B0C">
            <w:pPr>
              <w:pStyle w:val="normal0"/>
              <w:numPr>
                <w:ilvl w:val="0"/>
                <w:numId w:val="5"/>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Open Data in One Day</w:t>
            </w:r>
            <w:r>
              <w:rPr>
                <w:sz w:val="18"/>
                <w:szCs w:val="18"/>
              </w:rPr>
              <w:br/>
              <w:t xml:space="preserve"> (1 day)</w:t>
            </w:r>
          </w:p>
          <w:p w14:paraId="096CE74D" w14:textId="77777777" w:rsidR="00954DB8" w:rsidRDefault="001C6B0C">
            <w:pPr>
              <w:pStyle w:val="normal0"/>
              <w:numPr>
                <w:ilvl w:val="0"/>
                <w:numId w:val="5"/>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Open Data Strategies </w:t>
            </w:r>
            <w:r>
              <w:rPr>
                <w:sz w:val="18"/>
                <w:szCs w:val="18"/>
              </w:rPr>
              <w:br/>
              <w:t>(3 days)</w:t>
            </w:r>
            <w:r>
              <w:rPr>
                <w:sz w:val="18"/>
                <w:szCs w:val="18"/>
              </w:rPr>
              <w:br/>
            </w:r>
          </w:p>
        </w:tc>
        <w:tc>
          <w:tcPr>
            <w:tcW w:w="2380" w:type="dxa"/>
            <w:shd w:val="clear" w:color="auto" w:fill="EFEFEF"/>
          </w:tcPr>
          <w:p w14:paraId="31F22A66" w14:textId="77777777" w:rsidR="00954DB8" w:rsidRDefault="001C6B0C">
            <w:pPr>
              <w:pStyle w:val="normal0"/>
              <w:spacing w:line="240" w:lineRule="auto"/>
              <w:contextualSpacing w:val="0"/>
              <w:cnfStyle w:val="000000100000" w:firstRow="0" w:lastRow="0" w:firstColumn="0" w:lastColumn="0" w:oddVBand="0" w:evenVBand="0" w:oddHBand="1" w:evenHBand="0" w:firstRowFirstColumn="0" w:firstRowLastColumn="0" w:lastRowFirstColumn="0" w:lastRowLastColumn="0"/>
            </w:pPr>
            <w:r>
              <w:br/>
            </w:r>
            <w:r>
              <w:rPr>
                <w:sz w:val="18"/>
                <w:szCs w:val="18"/>
              </w:rPr>
              <w:t>Cost is estimated on the time to travel and number of attendees and length of training engagement</w:t>
            </w:r>
          </w:p>
        </w:tc>
      </w:tr>
      <w:tr w:rsidR="00954DB8" w14:paraId="2690B411" w14:textId="77777777" w:rsidTr="00954DB8">
        <w:trPr>
          <w:trHeight w:val="800"/>
        </w:trPr>
        <w:tc>
          <w:tcPr>
            <w:cnfStyle w:val="001000000000" w:firstRow="0" w:lastRow="0" w:firstColumn="1" w:lastColumn="0" w:oddVBand="0" w:evenVBand="0" w:oddHBand="0" w:evenHBand="0" w:firstRowFirstColumn="0" w:firstRowLastColumn="0" w:lastRowFirstColumn="0" w:lastRowLastColumn="0"/>
            <w:tcW w:w="2180" w:type="dxa"/>
            <w:shd w:val="clear" w:color="auto" w:fill="EFEFEF"/>
          </w:tcPr>
          <w:p w14:paraId="74C6F752" w14:textId="77777777" w:rsidR="00954DB8" w:rsidRDefault="001C6B0C">
            <w:pPr>
              <w:pStyle w:val="Heading3"/>
              <w:spacing w:line="240" w:lineRule="auto"/>
              <w:contextualSpacing w:val="0"/>
              <w:outlineLvl w:val="2"/>
            </w:pPr>
            <w:bookmarkStart w:id="35" w:name="h.db21cj69s1a4" w:colFirst="0" w:colLast="0"/>
            <w:bookmarkEnd w:id="35"/>
            <w:r>
              <w:t>UX and CX Audits</w:t>
            </w:r>
          </w:p>
          <w:p w14:paraId="100B031F" w14:textId="77777777" w:rsidR="00954DB8" w:rsidRDefault="001C6B0C">
            <w:pPr>
              <w:pStyle w:val="normal0"/>
              <w:numPr>
                <w:ilvl w:val="0"/>
                <w:numId w:val="5"/>
              </w:numPr>
              <w:spacing w:line="240" w:lineRule="auto"/>
              <w:ind w:hanging="360"/>
              <w:rPr>
                <w:sz w:val="18"/>
                <w:szCs w:val="18"/>
              </w:rPr>
            </w:pPr>
            <w:r>
              <w:rPr>
                <w:b w:val="0"/>
                <w:sz w:val="18"/>
                <w:szCs w:val="18"/>
              </w:rPr>
              <w:t>UX and CX analysis and recommendations</w:t>
            </w:r>
          </w:p>
          <w:p w14:paraId="11837955" w14:textId="77777777" w:rsidR="00954DB8" w:rsidRDefault="001C6B0C">
            <w:pPr>
              <w:pStyle w:val="normal0"/>
              <w:numPr>
                <w:ilvl w:val="0"/>
                <w:numId w:val="5"/>
              </w:numPr>
              <w:spacing w:line="240" w:lineRule="auto"/>
              <w:ind w:hanging="360"/>
              <w:rPr>
                <w:sz w:val="18"/>
                <w:szCs w:val="18"/>
              </w:rPr>
            </w:pPr>
            <w:r>
              <w:rPr>
                <w:b w:val="0"/>
                <w:sz w:val="18"/>
                <w:szCs w:val="18"/>
              </w:rPr>
              <w:t>Site UX and site integration</w:t>
            </w:r>
          </w:p>
          <w:p w14:paraId="7BD266C6" w14:textId="77777777" w:rsidR="00954DB8" w:rsidRDefault="00954DB8">
            <w:pPr>
              <w:pStyle w:val="normal0"/>
              <w:spacing w:line="240" w:lineRule="auto"/>
              <w:contextualSpacing w:val="0"/>
            </w:pPr>
          </w:p>
        </w:tc>
        <w:tc>
          <w:tcPr>
            <w:tcW w:w="2380" w:type="dxa"/>
            <w:shd w:val="clear" w:color="auto" w:fill="EFEFEF"/>
          </w:tcPr>
          <w:p w14:paraId="51BDC346" w14:textId="77777777" w:rsidR="00954DB8" w:rsidRDefault="00954DB8">
            <w:pPr>
              <w:pStyle w:val="normal0"/>
              <w:spacing w:line="240" w:lineRule="auto"/>
              <w:contextualSpacing w:val="0"/>
              <w:cnfStyle w:val="000000000000" w:firstRow="0" w:lastRow="0" w:firstColumn="0" w:lastColumn="0" w:oddVBand="0" w:evenVBand="0" w:oddHBand="0" w:evenHBand="0" w:firstRowFirstColumn="0" w:firstRowLastColumn="0" w:lastRowFirstColumn="0" w:lastRowLastColumn="0"/>
            </w:pPr>
          </w:p>
          <w:p w14:paraId="77F92C51" w14:textId="77777777" w:rsidR="00954DB8" w:rsidRDefault="001C6B0C">
            <w:pPr>
              <w:pStyle w:val="normal0"/>
              <w:numPr>
                <w:ilvl w:val="0"/>
                <w:numId w:val="5"/>
              </w:numPr>
              <w:spacing w:line="240" w:lineRule="auto"/>
              <w:ind w:hanging="3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Project Manager</w:t>
            </w:r>
          </w:p>
          <w:p w14:paraId="2D26221A" w14:textId="77777777" w:rsidR="00954DB8" w:rsidRDefault="001C6B0C">
            <w:pPr>
              <w:pStyle w:val="normal0"/>
              <w:numPr>
                <w:ilvl w:val="0"/>
                <w:numId w:val="5"/>
              </w:numPr>
              <w:spacing w:line="240" w:lineRule="auto"/>
              <w:ind w:hanging="3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Open Data Strategist</w:t>
            </w:r>
          </w:p>
        </w:tc>
        <w:tc>
          <w:tcPr>
            <w:tcW w:w="2420" w:type="dxa"/>
            <w:shd w:val="clear" w:color="auto" w:fill="EFEFEF"/>
          </w:tcPr>
          <w:p w14:paraId="2AF710E5" w14:textId="77777777" w:rsidR="00954DB8" w:rsidRDefault="00954DB8">
            <w:pPr>
              <w:pStyle w:val="normal0"/>
              <w:spacing w:line="240" w:lineRule="auto"/>
              <w:contextualSpacing w:val="0"/>
              <w:cnfStyle w:val="000000000000" w:firstRow="0" w:lastRow="0" w:firstColumn="0" w:lastColumn="0" w:oddVBand="0" w:evenVBand="0" w:oddHBand="0" w:evenHBand="0" w:firstRowFirstColumn="0" w:firstRowLastColumn="0" w:lastRowFirstColumn="0" w:lastRowLastColumn="0"/>
            </w:pPr>
          </w:p>
          <w:p w14:paraId="634FE5AD" w14:textId="77777777" w:rsidR="00954DB8" w:rsidRDefault="001C6B0C">
            <w:pPr>
              <w:pStyle w:val="normal0"/>
              <w:numPr>
                <w:ilvl w:val="0"/>
                <w:numId w:val="5"/>
              </w:numPr>
              <w:spacing w:line="240" w:lineRule="auto"/>
              <w:ind w:hanging="3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Assessment of data assets</w:t>
            </w:r>
          </w:p>
          <w:p w14:paraId="0B2AF871" w14:textId="77777777" w:rsidR="00954DB8" w:rsidRDefault="001C6B0C">
            <w:pPr>
              <w:pStyle w:val="normal0"/>
              <w:numPr>
                <w:ilvl w:val="0"/>
                <w:numId w:val="5"/>
              </w:numPr>
              <w:spacing w:line="240" w:lineRule="auto"/>
              <w:ind w:hanging="3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Creation of data asset inventory</w:t>
            </w:r>
          </w:p>
          <w:p w14:paraId="0A89AB52" w14:textId="77777777" w:rsidR="00954DB8" w:rsidRDefault="001C6B0C">
            <w:pPr>
              <w:pStyle w:val="normal0"/>
              <w:numPr>
                <w:ilvl w:val="0"/>
                <w:numId w:val="5"/>
              </w:numPr>
              <w:spacing w:line="240" w:lineRule="auto"/>
              <w:ind w:hanging="3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Train stakeholders to curate data asset inventories</w:t>
            </w:r>
          </w:p>
        </w:tc>
        <w:tc>
          <w:tcPr>
            <w:tcW w:w="2380" w:type="dxa"/>
            <w:shd w:val="clear" w:color="auto" w:fill="EFEFEF"/>
          </w:tcPr>
          <w:p w14:paraId="5E7E18F7" w14:textId="77777777" w:rsidR="00954DB8" w:rsidRDefault="001C6B0C">
            <w:pPr>
              <w:pStyle w:val="normal0"/>
              <w:spacing w:line="240" w:lineRule="auto"/>
              <w:contextualSpacing w:val="0"/>
              <w:cnfStyle w:val="000000000000" w:firstRow="0" w:lastRow="0" w:firstColumn="0" w:lastColumn="0" w:oddVBand="0" w:evenVBand="0" w:oddHBand="0" w:evenHBand="0" w:firstRowFirstColumn="0" w:firstRowLastColumn="0" w:lastRowFirstColumn="0" w:lastRowLastColumn="0"/>
            </w:pPr>
            <w:r>
              <w:rPr>
                <w:sz w:val="18"/>
                <w:szCs w:val="18"/>
              </w:rPr>
              <w:br/>
              <w:t>Cost is estimated on the size of the jurisdiction</w:t>
            </w:r>
          </w:p>
        </w:tc>
      </w:tr>
    </w:tbl>
    <w:p w14:paraId="1858BF14" w14:textId="77777777" w:rsidR="00954DB8" w:rsidRDefault="00954DB8">
      <w:pPr>
        <w:pStyle w:val="Heading2"/>
        <w:contextualSpacing w:val="0"/>
      </w:pPr>
      <w:bookmarkStart w:id="36" w:name="h.lzj6fbvc9m2a" w:colFirst="0" w:colLast="0"/>
      <w:bookmarkEnd w:id="36"/>
    </w:p>
    <w:p w14:paraId="1FA72002" w14:textId="77777777" w:rsidR="00954DB8" w:rsidRDefault="001C6B0C">
      <w:pPr>
        <w:pStyle w:val="Heading2"/>
        <w:contextualSpacing w:val="0"/>
      </w:pPr>
      <w:bookmarkStart w:id="37" w:name="h.fupgyjmx308i" w:colFirst="0" w:colLast="0"/>
      <w:bookmarkEnd w:id="37"/>
      <w:r>
        <w:lastRenderedPageBreak/>
        <w:t>Post-Implementation Deliverables</w:t>
      </w:r>
      <w:r>
        <w:br/>
      </w:r>
    </w:p>
    <w:tbl>
      <w:tblPr>
        <w:tblStyle w:val="a2"/>
        <w:tblW w:w="9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40"/>
        <w:gridCol w:w="2400"/>
        <w:gridCol w:w="2400"/>
        <w:gridCol w:w="2400"/>
      </w:tblGrid>
      <w:tr w:rsidR="00954DB8" w14:paraId="5C4D728F" w14:textId="77777777" w:rsidTr="00954DB8">
        <w:trPr>
          <w:cnfStyle w:val="100000000000" w:firstRow="1" w:lastRow="0" w:firstColumn="0" w:lastColumn="0" w:oddVBand="0" w:evenVBand="0" w:oddHBand="0" w:evenHBand="0" w:firstRowFirstColumn="0" w:firstRowLastColumn="0" w:lastRowFirstColumn="0" w:lastRowLastColumn="0"/>
          <w:trHeight w:val="800"/>
        </w:trPr>
        <w:tc>
          <w:tcPr>
            <w:cnfStyle w:val="001000000100" w:firstRow="0" w:lastRow="0" w:firstColumn="1" w:lastColumn="0" w:oddVBand="0" w:evenVBand="0" w:oddHBand="0" w:evenHBand="0" w:firstRowFirstColumn="1" w:firstRowLastColumn="0" w:lastRowFirstColumn="0" w:lastRowLastColumn="0"/>
            <w:tcW w:w="2140" w:type="dxa"/>
            <w:shd w:val="clear" w:color="auto" w:fill="EFEFEF"/>
          </w:tcPr>
          <w:p w14:paraId="6983B9FA" w14:textId="77777777" w:rsidR="00954DB8" w:rsidRDefault="00954DB8">
            <w:pPr>
              <w:pStyle w:val="normal0"/>
              <w:spacing w:line="240" w:lineRule="auto"/>
              <w:contextualSpacing w:val="0"/>
            </w:pPr>
          </w:p>
          <w:p w14:paraId="7D829012" w14:textId="77777777" w:rsidR="00954DB8" w:rsidRDefault="001C6B0C">
            <w:pPr>
              <w:pStyle w:val="normal0"/>
              <w:spacing w:line="240" w:lineRule="auto"/>
              <w:contextualSpacing w:val="0"/>
            </w:pPr>
            <w:r>
              <w:t>Business Service</w:t>
            </w:r>
          </w:p>
        </w:tc>
        <w:tc>
          <w:tcPr>
            <w:tcW w:w="2400" w:type="dxa"/>
            <w:shd w:val="clear" w:color="auto" w:fill="EFEFEF"/>
          </w:tcPr>
          <w:p w14:paraId="14DE0418" w14:textId="77777777" w:rsidR="00954DB8" w:rsidRDefault="00954DB8">
            <w:pPr>
              <w:pStyle w:val="normal0"/>
              <w:spacing w:line="240" w:lineRule="auto"/>
              <w:contextualSpacing w:val="0"/>
              <w:cnfStyle w:val="100000000000" w:firstRow="1" w:lastRow="0" w:firstColumn="0" w:lastColumn="0" w:oddVBand="0" w:evenVBand="0" w:oddHBand="0" w:evenHBand="0" w:firstRowFirstColumn="0" w:firstRowLastColumn="0" w:lastRowFirstColumn="0" w:lastRowLastColumn="0"/>
            </w:pPr>
          </w:p>
          <w:p w14:paraId="244FC272" w14:textId="77777777" w:rsidR="00954DB8" w:rsidRDefault="001C6B0C">
            <w:pPr>
              <w:pStyle w:val="normal0"/>
              <w:spacing w:line="240" w:lineRule="auto"/>
              <w:contextualSpacing w:val="0"/>
              <w:cnfStyle w:val="100000000000" w:firstRow="1" w:lastRow="0" w:firstColumn="0" w:lastColumn="0" w:oddVBand="0" w:evenVBand="0" w:oddHBand="0" w:evenHBand="0" w:firstRowFirstColumn="0" w:firstRowLastColumn="0" w:lastRowFirstColumn="0" w:lastRowLastColumn="0"/>
            </w:pPr>
            <w:r>
              <w:t>Service Team</w:t>
            </w:r>
          </w:p>
        </w:tc>
        <w:tc>
          <w:tcPr>
            <w:tcW w:w="2400" w:type="dxa"/>
            <w:shd w:val="clear" w:color="auto" w:fill="EFEFEF"/>
          </w:tcPr>
          <w:p w14:paraId="22E34BF5" w14:textId="77777777" w:rsidR="00954DB8" w:rsidRDefault="00954DB8">
            <w:pPr>
              <w:pStyle w:val="normal0"/>
              <w:spacing w:line="240" w:lineRule="auto"/>
              <w:contextualSpacing w:val="0"/>
              <w:cnfStyle w:val="100000000000" w:firstRow="1" w:lastRow="0" w:firstColumn="0" w:lastColumn="0" w:oddVBand="0" w:evenVBand="0" w:oddHBand="0" w:evenHBand="0" w:firstRowFirstColumn="0" w:firstRowLastColumn="0" w:lastRowFirstColumn="0" w:lastRowLastColumn="0"/>
            </w:pPr>
          </w:p>
          <w:p w14:paraId="04E5C6DB" w14:textId="77777777" w:rsidR="00954DB8" w:rsidRDefault="001C6B0C">
            <w:pPr>
              <w:pStyle w:val="normal0"/>
              <w:spacing w:line="240" w:lineRule="auto"/>
              <w:contextualSpacing w:val="0"/>
              <w:cnfStyle w:val="100000000000" w:firstRow="1" w:lastRow="0" w:firstColumn="0" w:lastColumn="0" w:oddVBand="0" w:evenVBand="0" w:oddHBand="0" w:evenHBand="0" w:firstRowFirstColumn="0" w:firstRowLastColumn="0" w:lastRowFirstColumn="0" w:lastRowLastColumn="0"/>
            </w:pPr>
            <w:r>
              <w:t>Deliverables</w:t>
            </w:r>
          </w:p>
        </w:tc>
        <w:tc>
          <w:tcPr>
            <w:tcW w:w="2400" w:type="dxa"/>
            <w:shd w:val="clear" w:color="auto" w:fill="EFEFEF"/>
          </w:tcPr>
          <w:p w14:paraId="7E0A72A8" w14:textId="77777777" w:rsidR="00954DB8" w:rsidRDefault="00954DB8">
            <w:pPr>
              <w:pStyle w:val="normal0"/>
              <w:spacing w:line="240" w:lineRule="auto"/>
              <w:contextualSpacing w:val="0"/>
              <w:cnfStyle w:val="100000000000" w:firstRow="1" w:lastRow="0" w:firstColumn="0" w:lastColumn="0" w:oddVBand="0" w:evenVBand="0" w:oddHBand="0" w:evenHBand="0" w:firstRowFirstColumn="0" w:firstRowLastColumn="0" w:lastRowFirstColumn="0" w:lastRowLastColumn="0"/>
            </w:pPr>
          </w:p>
          <w:p w14:paraId="71DD9296" w14:textId="77777777" w:rsidR="00954DB8" w:rsidRDefault="001C6B0C">
            <w:pPr>
              <w:pStyle w:val="normal0"/>
              <w:spacing w:line="240" w:lineRule="auto"/>
              <w:contextualSpacing w:val="0"/>
              <w:cnfStyle w:val="100000000000" w:firstRow="1" w:lastRow="0" w:firstColumn="0" w:lastColumn="0" w:oddVBand="0" w:evenVBand="0" w:oddHBand="0" w:evenHBand="0" w:firstRowFirstColumn="0" w:firstRowLastColumn="0" w:lastRowFirstColumn="0" w:lastRowLastColumn="0"/>
            </w:pPr>
            <w:r>
              <w:t>Pricing</w:t>
            </w:r>
          </w:p>
        </w:tc>
      </w:tr>
      <w:tr w:rsidR="00954DB8" w14:paraId="2C9EF5C1" w14:textId="77777777" w:rsidTr="00954DB8">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140" w:type="dxa"/>
            <w:shd w:val="clear" w:color="auto" w:fill="EFEFEF"/>
          </w:tcPr>
          <w:p w14:paraId="2230D1B6" w14:textId="77777777" w:rsidR="00954DB8" w:rsidRDefault="001C6B0C">
            <w:pPr>
              <w:pStyle w:val="Heading3"/>
              <w:spacing w:line="240" w:lineRule="auto"/>
              <w:contextualSpacing w:val="0"/>
              <w:outlineLvl w:val="2"/>
            </w:pPr>
            <w:bookmarkStart w:id="38" w:name="h.uiwpst7zw9mp" w:colFirst="0" w:colLast="0"/>
            <w:bookmarkEnd w:id="38"/>
            <w:r>
              <w:lastRenderedPageBreak/>
              <w:t>Subscription Services</w:t>
            </w:r>
          </w:p>
          <w:p w14:paraId="45E9ECF6" w14:textId="77777777" w:rsidR="00954DB8" w:rsidRDefault="001C6B0C">
            <w:pPr>
              <w:pStyle w:val="normal0"/>
              <w:numPr>
                <w:ilvl w:val="0"/>
                <w:numId w:val="5"/>
              </w:numPr>
              <w:spacing w:line="240" w:lineRule="auto"/>
              <w:ind w:hanging="360"/>
              <w:rPr>
                <w:sz w:val="18"/>
                <w:szCs w:val="18"/>
              </w:rPr>
            </w:pPr>
            <w:r>
              <w:rPr>
                <w:b w:val="0"/>
                <w:sz w:val="18"/>
                <w:szCs w:val="18"/>
              </w:rPr>
              <w:t>Ongoing training</w:t>
            </w:r>
          </w:p>
          <w:p w14:paraId="3A347BE6" w14:textId="77777777" w:rsidR="00954DB8" w:rsidRDefault="001C6B0C">
            <w:pPr>
              <w:pStyle w:val="normal0"/>
              <w:numPr>
                <w:ilvl w:val="0"/>
                <w:numId w:val="5"/>
              </w:numPr>
              <w:spacing w:line="240" w:lineRule="auto"/>
              <w:ind w:hanging="360"/>
              <w:rPr>
                <w:sz w:val="18"/>
                <w:szCs w:val="18"/>
              </w:rPr>
            </w:pPr>
            <w:r>
              <w:rPr>
                <w:b w:val="0"/>
                <w:sz w:val="18"/>
                <w:szCs w:val="18"/>
              </w:rPr>
              <w:t>Program Management</w:t>
            </w:r>
          </w:p>
          <w:p w14:paraId="0A81FAED" w14:textId="77777777" w:rsidR="00954DB8" w:rsidRDefault="001C6B0C">
            <w:pPr>
              <w:pStyle w:val="normal0"/>
              <w:numPr>
                <w:ilvl w:val="0"/>
                <w:numId w:val="5"/>
              </w:numPr>
              <w:spacing w:line="240" w:lineRule="auto"/>
              <w:ind w:hanging="360"/>
              <w:rPr>
                <w:sz w:val="18"/>
                <w:szCs w:val="18"/>
              </w:rPr>
            </w:pPr>
            <w:r>
              <w:rPr>
                <w:b w:val="0"/>
                <w:sz w:val="18"/>
                <w:szCs w:val="18"/>
              </w:rPr>
              <w:t>Ongoing Civic Engagement</w:t>
            </w:r>
          </w:p>
        </w:tc>
        <w:tc>
          <w:tcPr>
            <w:tcW w:w="2400" w:type="dxa"/>
            <w:shd w:val="clear" w:color="auto" w:fill="EFEFEF"/>
          </w:tcPr>
          <w:p w14:paraId="37841DCE" w14:textId="77777777" w:rsidR="00954DB8" w:rsidRDefault="00954DB8">
            <w:pPr>
              <w:pStyle w:val="normal0"/>
              <w:spacing w:line="240" w:lineRule="auto"/>
              <w:contextualSpacing w:val="0"/>
              <w:cnfStyle w:val="000000100000" w:firstRow="0" w:lastRow="0" w:firstColumn="0" w:lastColumn="0" w:oddVBand="0" w:evenVBand="0" w:oddHBand="1" w:evenHBand="0" w:firstRowFirstColumn="0" w:firstRowLastColumn="0" w:lastRowFirstColumn="0" w:lastRowLastColumn="0"/>
            </w:pPr>
          </w:p>
          <w:p w14:paraId="62783B28" w14:textId="77777777" w:rsidR="00954DB8" w:rsidRDefault="001C6B0C">
            <w:pPr>
              <w:pStyle w:val="normal0"/>
              <w:numPr>
                <w:ilvl w:val="0"/>
                <w:numId w:val="5"/>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Project Manager</w:t>
            </w:r>
          </w:p>
          <w:p w14:paraId="398246C6" w14:textId="77777777" w:rsidR="00954DB8" w:rsidRDefault="001C6B0C">
            <w:pPr>
              <w:pStyle w:val="normal0"/>
              <w:numPr>
                <w:ilvl w:val="0"/>
                <w:numId w:val="5"/>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Open Data Strategist</w:t>
            </w:r>
          </w:p>
          <w:p w14:paraId="55E1DA38" w14:textId="77777777" w:rsidR="00954DB8" w:rsidRDefault="001C6B0C">
            <w:pPr>
              <w:pStyle w:val="normal0"/>
              <w:numPr>
                <w:ilvl w:val="0"/>
                <w:numId w:val="5"/>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Business Analyst</w:t>
            </w:r>
          </w:p>
          <w:p w14:paraId="547D6A56" w14:textId="77777777" w:rsidR="00954DB8" w:rsidRDefault="001C6B0C">
            <w:pPr>
              <w:pStyle w:val="normal0"/>
              <w:numPr>
                <w:ilvl w:val="0"/>
                <w:numId w:val="5"/>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Open Data Trainer</w:t>
            </w:r>
          </w:p>
          <w:p w14:paraId="6A6556D5" w14:textId="77777777" w:rsidR="00954DB8" w:rsidRDefault="00954DB8">
            <w:pPr>
              <w:pStyle w:val="normal0"/>
              <w:spacing w:line="240" w:lineRule="auto"/>
              <w:contextualSpacing w:val="0"/>
              <w:cnfStyle w:val="000000100000" w:firstRow="0" w:lastRow="0" w:firstColumn="0" w:lastColumn="0" w:oddVBand="0" w:evenVBand="0" w:oddHBand="1" w:evenHBand="0" w:firstRowFirstColumn="0" w:firstRowLastColumn="0" w:lastRowFirstColumn="0" w:lastRowLastColumn="0"/>
            </w:pPr>
          </w:p>
        </w:tc>
        <w:tc>
          <w:tcPr>
            <w:tcW w:w="2400" w:type="dxa"/>
            <w:shd w:val="clear" w:color="auto" w:fill="EFEFEF"/>
          </w:tcPr>
          <w:p w14:paraId="4CC1114E" w14:textId="77777777" w:rsidR="00954DB8" w:rsidRDefault="00954DB8">
            <w:pPr>
              <w:pStyle w:val="normal0"/>
              <w:spacing w:line="240" w:lineRule="auto"/>
              <w:contextualSpacing w:val="0"/>
              <w:cnfStyle w:val="000000100000" w:firstRow="0" w:lastRow="0" w:firstColumn="0" w:lastColumn="0" w:oddVBand="0" w:evenVBand="0" w:oddHBand="1" w:evenHBand="0" w:firstRowFirstColumn="0" w:firstRowLastColumn="0" w:lastRowFirstColumn="0" w:lastRowLastColumn="0"/>
            </w:pPr>
          </w:p>
          <w:p w14:paraId="25C1B4B4" w14:textId="77777777" w:rsidR="00954DB8" w:rsidRDefault="001C6B0C">
            <w:pPr>
              <w:pStyle w:val="normal0"/>
              <w:numPr>
                <w:ilvl w:val="0"/>
                <w:numId w:val="5"/>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Training engagements</w:t>
            </w:r>
          </w:p>
          <w:p w14:paraId="133E2F4A" w14:textId="77777777" w:rsidR="00954DB8" w:rsidRDefault="001C6B0C">
            <w:pPr>
              <w:pStyle w:val="normal0"/>
              <w:numPr>
                <w:ilvl w:val="0"/>
                <w:numId w:val="5"/>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Develop and maintain programs </w:t>
            </w:r>
          </w:p>
          <w:p w14:paraId="53A8F1D0" w14:textId="77777777" w:rsidR="00954DB8" w:rsidRDefault="001C6B0C">
            <w:pPr>
              <w:pStyle w:val="normal0"/>
              <w:numPr>
                <w:ilvl w:val="0"/>
                <w:numId w:val="5"/>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Map program to business outcomes</w:t>
            </w:r>
          </w:p>
          <w:p w14:paraId="1351A0CA" w14:textId="77777777" w:rsidR="00954DB8" w:rsidRDefault="001C6B0C">
            <w:pPr>
              <w:pStyle w:val="normal0"/>
              <w:numPr>
                <w:ilvl w:val="0"/>
                <w:numId w:val="5"/>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Project management </w:t>
            </w:r>
          </w:p>
        </w:tc>
        <w:tc>
          <w:tcPr>
            <w:tcW w:w="2400" w:type="dxa"/>
            <w:shd w:val="clear" w:color="auto" w:fill="EFEFEF"/>
          </w:tcPr>
          <w:p w14:paraId="3D923242" w14:textId="77777777" w:rsidR="00954DB8" w:rsidRDefault="001C6B0C">
            <w:pPr>
              <w:pStyle w:val="normal0"/>
              <w:spacing w:line="240" w:lineRule="auto"/>
              <w:contextualSpacing w:val="0"/>
              <w:cnfStyle w:val="000000100000" w:firstRow="0" w:lastRow="0" w:firstColumn="0" w:lastColumn="0" w:oddVBand="0" w:evenVBand="0" w:oddHBand="1" w:evenHBand="0" w:firstRowFirstColumn="0" w:firstRowLastColumn="0" w:lastRowFirstColumn="0" w:lastRowLastColumn="0"/>
            </w:pPr>
            <w:r>
              <w:rPr>
                <w:sz w:val="18"/>
                <w:szCs w:val="18"/>
              </w:rPr>
              <w:br/>
              <w:t>Cost is estimated on the size of the jurisdiction</w:t>
            </w:r>
          </w:p>
        </w:tc>
      </w:tr>
      <w:tr w:rsidR="00954DB8" w14:paraId="65CA3947" w14:textId="77777777" w:rsidTr="00954DB8">
        <w:trPr>
          <w:trHeight w:val="800"/>
        </w:trPr>
        <w:tc>
          <w:tcPr>
            <w:cnfStyle w:val="001000000000" w:firstRow="0" w:lastRow="0" w:firstColumn="1" w:lastColumn="0" w:oddVBand="0" w:evenVBand="0" w:oddHBand="0" w:evenHBand="0" w:firstRowFirstColumn="0" w:firstRowLastColumn="0" w:lastRowFirstColumn="0" w:lastRowLastColumn="0"/>
            <w:tcW w:w="2140" w:type="dxa"/>
            <w:shd w:val="clear" w:color="auto" w:fill="EFEFEF"/>
          </w:tcPr>
          <w:p w14:paraId="6946B68A" w14:textId="77777777" w:rsidR="00954DB8" w:rsidRDefault="001C6B0C">
            <w:pPr>
              <w:pStyle w:val="Heading3"/>
              <w:spacing w:line="240" w:lineRule="auto"/>
              <w:contextualSpacing w:val="0"/>
              <w:outlineLvl w:val="2"/>
            </w:pPr>
            <w:bookmarkStart w:id="39" w:name="h.7t6h5xpsj1e7" w:colFirst="0" w:colLast="0"/>
            <w:bookmarkEnd w:id="39"/>
            <w:r>
              <w:t>Program Development and Advisement</w:t>
            </w:r>
          </w:p>
          <w:p w14:paraId="58D5CCA2" w14:textId="77777777" w:rsidR="00954DB8" w:rsidRDefault="001C6B0C">
            <w:pPr>
              <w:pStyle w:val="normal0"/>
              <w:numPr>
                <w:ilvl w:val="0"/>
                <w:numId w:val="5"/>
              </w:numPr>
              <w:spacing w:line="240" w:lineRule="auto"/>
              <w:ind w:hanging="360"/>
              <w:rPr>
                <w:sz w:val="18"/>
                <w:szCs w:val="18"/>
              </w:rPr>
            </w:pPr>
            <w:r>
              <w:rPr>
                <w:b w:val="0"/>
                <w:sz w:val="18"/>
                <w:szCs w:val="18"/>
              </w:rPr>
              <w:t>Designing strategic outcomes for your open data program</w:t>
            </w:r>
          </w:p>
          <w:p w14:paraId="1D185066" w14:textId="77777777" w:rsidR="00954DB8" w:rsidRDefault="001C6B0C">
            <w:pPr>
              <w:pStyle w:val="normal0"/>
              <w:numPr>
                <w:ilvl w:val="0"/>
                <w:numId w:val="5"/>
              </w:numPr>
              <w:spacing w:line="240" w:lineRule="auto"/>
              <w:ind w:hanging="360"/>
              <w:rPr>
                <w:sz w:val="18"/>
                <w:szCs w:val="18"/>
              </w:rPr>
            </w:pPr>
            <w:r>
              <w:rPr>
                <w:b w:val="0"/>
                <w:sz w:val="18"/>
                <w:szCs w:val="18"/>
              </w:rPr>
              <w:t>Working with civic leaders</w:t>
            </w:r>
          </w:p>
          <w:p w14:paraId="48D121F6" w14:textId="77777777" w:rsidR="00954DB8" w:rsidRDefault="001C6B0C">
            <w:pPr>
              <w:pStyle w:val="normal0"/>
              <w:numPr>
                <w:ilvl w:val="0"/>
                <w:numId w:val="5"/>
              </w:numPr>
              <w:spacing w:line="240" w:lineRule="auto"/>
              <w:ind w:hanging="360"/>
              <w:rPr>
                <w:sz w:val="18"/>
                <w:szCs w:val="18"/>
              </w:rPr>
            </w:pPr>
            <w:r>
              <w:rPr>
                <w:b w:val="0"/>
                <w:sz w:val="18"/>
                <w:szCs w:val="18"/>
              </w:rPr>
              <w:t>Developing sustainable data ecosystems</w:t>
            </w:r>
          </w:p>
        </w:tc>
        <w:tc>
          <w:tcPr>
            <w:tcW w:w="2400" w:type="dxa"/>
            <w:shd w:val="clear" w:color="auto" w:fill="EFEFEF"/>
          </w:tcPr>
          <w:p w14:paraId="1A10AA18" w14:textId="77777777" w:rsidR="00954DB8" w:rsidRDefault="00954DB8">
            <w:pPr>
              <w:pStyle w:val="normal0"/>
              <w:spacing w:line="240" w:lineRule="auto"/>
              <w:contextualSpacing w:val="0"/>
              <w:cnfStyle w:val="000000000000" w:firstRow="0" w:lastRow="0" w:firstColumn="0" w:lastColumn="0" w:oddVBand="0" w:evenVBand="0" w:oddHBand="0" w:evenHBand="0" w:firstRowFirstColumn="0" w:firstRowLastColumn="0" w:lastRowFirstColumn="0" w:lastRowLastColumn="0"/>
            </w:pPr>
          </w:p>
          <w:p w14:paraId="0C5A1863" w14:textId="77777777" w:rsidR="00954DB8" w:rsidRDefault="001C6B0C">
            <w:pPr>
              <w:pStyle w:val="normal0"/>
              <w:numPr>
                <w:ilvl w:val="0"/>
                <w:numId w:val="5"/>
              </w:numPr>
              <w:spacing w:line="240" w:lineRule="auto"/>
              <w:ind w:hanging="3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Project Manager</w:t>
            </w:r>
          </w:p>
          <w:p w14:paraId="7766543F" w14:textId="77777777" w:rsidR="00954DB8" w:rsidRDefault="001C6B0C">
            <w:pPr>
              <w:pStyle w:val="normal0"/>
              <w:numPr>
                <w:ilvl w:val="0"/>
                <w:numId w:val="5"/>
              </w:numPr>
              <w:spacing w:line="240" w:lineRule="auto"/>
              <w:ind w:hanging="3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Open Data Strategist</w:t>
            </w:r>
          </w:p>
          <w:p w14:paraId="2BBADD43" w14:textId="77777777" w:rsidR="00954DB8" w:rsidRDefault="001C6B0C">
            <w:pPr>
              <w:pStyle w:val="normal0"/>
              <w:numPr>
                <w:ilvl w:val="0"/>
                <w:numId w:val="5"/>
              </w:numPr>
              <w:spacing w:line="240" w:lineRule="auto"/>
              <w:ind w:hanging="3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Business Analyst</w:t>
            </w:r>
          </w:p>
        </w:tc>
        <w:tc>
          <w:tcPr>
            <w:tcW w:w="2400" w:type="dxa"/>
            <w:shd w:val="clear" w:color="auto" w:fill="EFEFEF"/>
          </w:tcPr>
          <w:p w14:paraId="3AC72E3A" w14:textId="77777777" w:rsidR="00954DB8" w:rsidRDefault="00954DB8">
            <w:pPr>
              <w:pStyle w:val="normal0"/>
              <w:spacing w:line="240" w:lineRule="auto"/>
              <w:contextualSpacing w:val="0"/>
              <w:cnfStyle w:val="000000000000" w:firstRow="0" w:lastRow="0" w:firstColumn="0" w:lastColumn="0" w:oddVBand="0" w:evenVBand="0" w:oddHBand="0" w:evenHBand="0" w:firstRowFirstColumn="0" w:firstRowLastColumn="0" w:lastRowFirstColumn="0" w:lastRowLastColumn="0"/>
            </w:pPr>
          </w:p>
          <w:p w14:paraId="06454D93" w14:textId="77777777" w:rsidR="00954DB8" w:rsidRDefault="001C6B0C">
            <w:pPr>
              <w:pStyle w:val="normal0"/>
              <w:numPr>
                <w:ilvl w:val="0"/>
                <w:numId w:val="5"/>
              </w:numPr>
              <w:spacing w:line="240" w:lineRule="auto"/>
              <w:ind w:hanging="3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Best practices documentation</w:t>
            </w:r>
          </w:p>
          <w:p w14:paraId="2BBDC676" w14:textId="77777777" w:rsidR="00954DB8" w:rsidRDefault="001C6B0C">
            <w:pPr>
              <w:pStyle w:val="normal0"/>
              <w:numPr>
                <w:ilvl w:val="0"/>
                <w:numId w:val="5"/>
              </w:numPr>
              <w:spacing w:line="240" w:lineRule="auto"/>
              <w:ind w:hanging="3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Learning sessions and seminars</w:t>
            </w:r>
          </w:p>
          <w:p w14:paraId="2A737057" w14:textId="77777777" w:rsidR="00954DB8" w:rsidRDefault="001C6B0C">
            <w:pPr>
              <w:pStyle w:val="normal0"/>
              <w:numPr>
                <w:ilvl w:val="0"/>
                <w:numId w:val="5"/>
              </w:numPr>
              <w:spacing w:line="240" w:lineRule="auto"/>
              <w:ind w:hanging="3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Presentations to civic and private sector leaders</w:t>
            </w:r>
          </w:p>
        </w:tc>
        <w:tc>
          <w:tcPr>
            <w:tcW w:w="2400" w:type="dxa"/>
            <w:shd w:val="clear" w:color="auto" w:fill="EFEFEF"/>
          </w:tcPr>
          <w:p w14:paraId="29A97A6C" w14:textId="77777777" w:rsidR="00954DB8" w:rsidRDefault="001C6B0C">
            <w:pPr>
              <w:pStyle w:val="normal0"/>
              <w:spacing w:line="240" w:lineRule="auto"/>
              <w:contextualSpacing w:val="0"/>
              <w:cnfStyle w:val="000000000000" w:firstRow="0" w:lastRow="0" w:firstColumn="0" w:lastColumn="0" w:oddVBand="0" w:evenVBand="0" w:oddHBand="0" w:evenHBand="0" w:firstRowFirstColumn="0" w:firstRowLastColumn="0" w:lastRowFirstColumn="0" w:lastRowLastColumn="0"/>
            </w:pPr>
            <w:r>
              <w:rPr>
                <w:sz w:val="18"/>
                <w:szCs w:val="18"/>
              </w:rPr>
              <w:br/>
            </w:r>
            <w:r>
              <w:rPr>
                <w:sz w:val="18"/>
                <w:szCs w:val="18"/>
              </w:rPr>
              <w:t>Cost is estimated on the size of the jurisdiction</w:t>
            </w:r>
          </w:p>
        </w:tc>
      </w:tr>
      <w:tr w:rsidR="00954DB8" w14:paraId="5D05A11E" w14:textId="77777777" w:rsidTr="00954DB8">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140" w:type="dxa"/>
            <w:shd w:val="clear" w:color="auto" w:fill="EFEFEF"/>
          </w:tcPr>
          <w:p w14:paraId="1A0453E7" w14:textId="77777777" w:rsidR="00954DB8" w:rsidRDefault="001C6B0C">
            <w:pPr>
              <w:pStyle w:val="Heading3"/>
              <w:spacing w:line="240" w:lineRule="auto"/>
              <w:contextualSpacing w:val="0"/>
              <w:outlineLvl w:val="2"/>
            </w:pPr>
            <w:bookmarkStart w:id="40" w:name="h.sejgp66fa4wn" w:colFirst="0" w:colLast="0"/>
            <w:bookmarkEnd w:id="40"/>
            <w:r>
              <w:t>Training (Ongoing)</w:t>
            </w:r>
          </w:p>
          <w:p w14:paraId="3313891B" w14:textId="77777777" w:rsidR="00954DB8" w:rsidRDefault="001C6B0C">
            <w:pPr>
              <w:pStyle w:val="normal0"/>
              <w:numPr>
                <w:ilvl w:val="0"/>
                <w:numId w:val="5"/>
              </w:numPr>
              <w:spacing w:line="240" w:lineRule="auto"/>
              <w:ind w:hanging="360"/>
              <w:rPr>
                <w:sz w:val="18"/>
                <w:szCs w:val="18"/>
              </w:rPr>
            </w:pPr>
            <w:r>
              <w:rPr>
                <w:b w:val="0"/>
                <w:sz w:val="18"/>
                <w:szCs w:val="18"/>
              </w:rPr>
              <w:t>Interactive training workshops</w:t>
            </w:r>
          </w:p>
          <w:p w14:paraId="0F7F8F87" w14:textId="77777777" w:rsidR="00954DB8" w:rsidRDefault="001C6B0C">
            <w:pPr>
              <w:pStyle w:val="normal0"/>
              <w:numPr>
                <w:ilvl w:val="0"/>
                <w:numId w:val="5"/>
              </w:numPr>
              <w:spacing w:line="240" w:lineRule="auto"/>
              <w:ind w:hanging="360"/>
              <w:rPr>
                <w:sz w:val="18"/>
                <w:szCs w:val="18"/>
              </w:rPr>
            </w:pPr>
            <w:r>
              <w:rPr>
                <w:b w:val="0"/>
                <w:sz w:val="18"/>
                <w:szCs w:val="18"/>
              </w:rPr>
              <w:t>1 day training course: beginners</w:t>
            </w:r>
          </w:p>
          <w:p w14:paraId="2BB1E2CB" w14:textId="77777777" w:rsidR="00954DB8" w:rsidRDefault="001C6B0C">
            <w:pPr>
              <w:pStyle w:val="normal0"/>
              <w:numPr>
                <w:ilvl w:val="0"/>
                <w:numId w:val="5"/>
              </w:numPr>
              <w:spacing w:line="240" w:lineRule="auto"/>
              <w:ind w:hanging="360"/>
              <w:rPr>
                <w:sz w:val="18"/>
                <w:szCs w:val="18"/>
              </w:rPr>
            </w:pPr>
            <w:r>
              <w:rPr>
                <w:b w:val="0"/>
                <w:sz w:val="18"/>
                <w:szCs w:val="18"/>
              </w:rPr>
              <w:t>3 days training course: beginners/ intermediate</w:t>
            </w:r>
          </w:p>
          <w:p w14:paraId="62565ACA" w14:textId="77777777" w:rsidR="00954DB8" w:rsidRDefault="001C6B0C">
            <w:pPr>
              <w:pStyle w:val="normal0"/>
              <w:numPr>
                <w:ilvl w:val="0"/>
                <w:numId w:val="5"/>
              </w:numPr>
              <w:spacing w:line="240" w:lineRule="auto"/>
              <w:ind w:hanging="360"/>
              <w:rPr>
                <w:sz w:val="18"/>
                <w:szCs w:val="18"/>
              </w:rPr>
            </w:pPr>
            <w:r>
              <w:rPr>
                <w:b w:val="0"/>
                <w:sz w:val="18"/>
                <w:szCs w:val="18"/>
              </w:rPr>
              <w:t>5 days intensive training course: intermediate/ advanced</w:t>
            </w:r>
          </w:p>
        </w:tc>
        <w:tc>
          <w:tcPr>
            <w:tcW w:w="2400" w:type="dxa"/>
            <w:shd w:val="clear" w:color="auto" w:fill="EFEFEF"/>
          </w:tcPr>
          <w:p w14:paraId="25E5D771" w14:textId="77777777" w:rsidR="00954DB8" w:rsidRDefault="00954DB8">
            <w:pPr>
              <w:pStyle w:val="normal0"/>
              <w:spacing w:line="240" w:lineRule="auto"/>
              <w:contextualSpacing w:val="0"/>
              <w:cnfStyle w:val="000000100000" w:firstRow="0" w:lastRow="0" w:firstColumn="0" w:lastColumn="0" w:oddVBand="0" w:evenVBand="0" w:oddHBand="1" w:evenHBand="0" w:firstRowFirstColumn="0" w:firstRowLastColumn="0" w:lastRowFirstColumn="0" w:lastRowLastColumn="0"/>
            </w:pPr>
          </w:p>
          <w:p w14:paraId="7D86DEA4" w14:textId="77777777" w:rsidR="00954DB8" w:rsidRDefault="001C6B0C">
            <w:pPr>
              <w:pStyle w:val="normal0"/>
              <w:numPr>
                <w:ilvl w:val="0"/>
                <w:numId w:val="5"/>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Open Data Traine</w:t>
            </w:r>
            <w:r>
              <w:rPr>
                <w:sz w:val="18"/>
                <w:szCs w:val="18"/>
              </w:rPr>
              <w:t>r</w:t>
            </w:r>
          </w:p>
          <w:p w14:paraId="3A183C8E" w14:textId="77777777" w:rsidR="00954DB8" w:rsidRDefault="001C6B0C">
            <w:pPr>
              <w:pStyle w:val="normal0"/>
              <w:numPr>
                <w:ilvl w:val="0"/>
                <w:numId w:val="5"/>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Open Data Strategist</w:t>
            </w:r>
          </w:p>
          <w:p w14:paraId="4ED7DA8B" w14:textId="77777777" w:rsidR="00954DB8" w:rsidRDefault="00954DB8">
            <w:pPr>
              <w:pStyle w:val="normal0"/>
              <w:spacing w:line="240" w:lineRule="auto"/>
              <w:contextualSpacing w:val="0"/>
              <w:cnfStyle w:val="000000100000" w:firstRow="0" w:lastRow="0" w:firstColumn="0" w:lastColumn="0" w:oddVBand="0" w:evenVBand="0" w:oddHBand="1" w:evenHBand="0" w:firstRowFirstColumn="0" w:firstRowLastColumn="0" w:lastRowFirstColumn="0" w:lastRowLastColumn="0"/>
            </w:pPr>
          </w:p>
        </w:tc>
        <w:tc>
          <w:tcPr>
            <w:tcW w:w="2400" w:type="dxa"/>
            <w:shd w:val="clear" w:color="auto" w:fill="EFEFEF"/>
          </w:tcPr>
          <w:p w14:paraId="49E7E0DC" w14:textId="77777777" w:rsidR="00954DB8" w:rsidRDefault="00954DB8">
            <w:pPr>
              <w:pStyle w:val="normal0"/>
              <w:spacing w:line="240" w:lineRule="auto"/>
              <w:contextualSpacing w:val="0"/>
              <w:cnfStyle w:val="000000100000" w:firstRow="0" w:lastRow="0" w:firstColumn="0" w:lastColumn="0" w:oddVBand="0" w:evenVBand="0" w:oddHBand="1" w:evenHBand="0" w:firstRowFirstColumn="0" w:firstRowLastColumn="0" w:lastRowFirstColumn="0" w:lastRowLastColumn="0"/>
            </w:pPr>
          </w:p>
          <w:p w14:paraId="5FAA3402" w14:textId="77777777" w:rsidR="00954DB8" w:rsidRDefault="001C6B0C">
            <w:pPr>
              <w:pStyle w:val="normal0"/>
              <w:numPr>
                <w:ilvl w:val="0"/>
                <w:numId w:val="5"/>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Data Literacy (1 day)</w:t>
            </w:r>
          </w:p>
          <w:p w14:paraId="1F9A13A2" w14:textId="77777777" w:rsidR="00954DB8" w:rsidRDefault="001C6B0C">
            <w:pPr>
              <w:pStyle w:val="normal0"/>
              <w:numPr>
                <w:ilvl w:val="0"/>
                <w:numId w:val="5"/>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Open Data in One Day </w:t>
            </w:r>
            <w:r>
              <w:rPr>
                <w:sz w:val="18"/>
                <w:szCs w:val="18"/>
              </w:rPr>
              <w:br/>
              <w:t>(1 day)</w:t>
            </w:r>
          </w:p>
          <w:p w14:paraId="74EFFEB2" w14:textId="77777777" w:rsidR="00954DB8" w:rsidRDefault="001C6B0C">
            <w:pPr>
              <w:pStyle w:val="normal0"/>
              <w:numPr>
                <w:ilvl w:val="0"/>
                <w:numId w:val="5"/>
              </w:numPr>
              <w:spacing w:line="240" w:lineRule="auto"/>
              <w:ind w:hanging="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Open Data Strategies</w:t>
            </w:r>
            <w:r>
              <w:rPr>
                <w:sz w:val="18"/>
                <w:szCs w:val="18"/>
              </w:rPr>
              <w:br/>
              <w:t>(3 days)</w:t>
            </w:r>
            <w:r>
              <w:rPr>
                <w:sz w:val="18"/>
                <w:szCs w:val="18"/>
              </w:rPr>
              <w:br/>
            </w:r>
          </w:p>
        </w:tc>
        <w:tc>
          <w:tcPr>
            <w:tcW w:w="2400" w:type="dxa"/>
            <w:shd w:val="clear" w:color="auto" w:fill="EFEFEF"/>
          </w:tcPr>
          <w:p w14:paraId="360AF27E" w14:textId="77777777" w:rsidR="00954DB8" w:rsidRDefault="001C6B0C">
            <w:pPr>
              <w:pStyle w:val="normal0"/>
              <w:spacing w:line="240" w:lineRule="auto"/>
              <w:contextualSpacing w:val="0"/>
              <w:cnfStyle w:val="000000100000" w:firstRow="0" w:lastRow="0" w:firstColumn="0" w:lastColumn="0" w:oddVBand="0" w:evenVBand="0" w:oddHBand="1" w:evenHBand="0" w:firstRowFirstColumn="0" w:firstRowLastColumn="0" w:lastRowFirstColumn="0" w:lastRowLastColumn="0"/>
            </w:pPr>
            <w:r>
              <w:rPr>
                <w:sz w:val="18"/>
                <w:szCs w:val="18"/>
              </w:rPr>
              <w:br/>
              <w:t>Cost is estimated on the time to travel and number of attendees and length of training engagement</w:t>
            </w:r>
          </w:p>
        </w:tc>
      </w:tr>
      <w:tr w:rsidR="00954DB8" w14:paraId="00C232EA" w14:textId="77777777" w:rsidTr="00954DB8">
        <w:trPr>
          <w:trHeight w:val="800"/>
        </w:trPr>
        <w:tc>
          <w:tcPr>
            <w:cnfStyle w:val="001000000000" w:firstRow="0" w:lastRow="0" w:firstColumn="1" w:lastColumn="0" w:oddVBand="0" w:evenVBand="0" w:oddHBand="0" w:evenHBand="0" w:firstRowFirstColumn="0" w:firstRowLastColumn="0" w:lastRowFirstColumn="0" w:lastRowLastColumn="0"/>
            <w:tcW w:w="2140" w:type="dxa"/>
            <w:shd w:val="clear" w:color="auto" w:fill="EFEFEF"/>
          </w:tcPr>
          <w:p w14:paraId="3C02D178" w14:textId="77777777" w:rsidR="00954DB8" w:rsidRDefault="001C6B0C">
            <w:pPr>
              <w:pStyle w:val="Heading3"/>
              <w:spacing w:line="240" w:lineRule="auto"/>
              <w:contextualSpacing w:val="0"/>
              <w:outlineLvl w:val="2"/>
            </w:pPr>
            <w:bookmarkStart w:id="41" w:name="h.70fh6yg95p73" w:colFirst="0" w:colLast="0"/>
            <w:bookmarkEnd w:id="41"/>
            <w:r>
              <w:t>Program Audits, Certification and Accreditation</w:t>
            </w:r>
          </w:p>
          <w:p w14:paraId="532AACB4" w14:textId="77777777" w:rsidR="00954DB8" w:rsidRDefault="001C6B0C">
            <w:pPr>
              <w:pStyle w:val="normal0"/>
              <w:numPr>
                <w:ilvl w:val="0"/>
                <w:numId w:val="5"/>
              </w:numPr>
              <w:spacing w:line="240" w:lineRule="auto"/>
              <w:ind w:hanging="360"/>
              <w:rPr>
                <w:sz w:val="18"/>
                <w:szCs w:val="18"/>
              </w:rPr>
            </w:pPr>
            <w:r>
              <w:rPr>
                <w:b w:val="0"/>
                <w:sz w:val="18"/>
                <w:szCs w:val="18"/>
              </w:rPr>
              <w:t>ODI data set audit and certification</w:t>
            </w:r>
          </w:p>
          <w:p w14:paraId="27305381" w14:textId="77777777" w:rsidR="00954DB8" w:rsidRDefault="001C6B0C">
            <w:pPr>
              <w:pStyle w:val="normal0"/>
              <w:numPr>
                <w:ilvl w:val="0"/>
                <w:numId w:val="5"/>
              </w:numPr>
              <w:spacing w:line="240" w:lineRule="auto"/>
              <w:ind w:hanging="360"/>
              <w:rPr>
                <w:sz w:val="18"/>
                <w:szCs w:val="18"/>
              </w:rPr>
            </w:pPr>
            <w:r>
              <w:rPr>
                <w:b w:val="0"/>
                <w:sz w:val="18"/>
                <w:szCs w:val="18"/>
              </w:rPr>
              <w:t xml:space="preserve">Program accreditation </w:t>
            </w:r>
          </w:p>
          <w:p w14:paraId="040034BD" w14:textId="77777777" w:rsidR="00954DB8" w:rsidRDefault="001C6B0C">
            <w:pPr>
              <w:pStyle w:val="normal0"/>
              <w:numPr>
                <w:ilvl w:val="0"/>
                <w:numId w:val="5"/>
              </w:numPr>
              <w:spacing w:line="240" w:lineRule="auto"/>
              <w:ind w:hanging="360"/>
              <w:rPr>
                <w:sz w:val="18"/>
                <w:szCs w:val="18"/>
              </w:rPr>
            </w:pPr>
            <w:r>
              <w:rPr>
                <w:b w:val="0"/>
                <w:sz w:val="18"/>
                <w:szCs w:val="18"/>
              </w:rPr>
              <w:t>Program Audits</w:t>
            </w:r>
          </w:p>
        </w:tc>
        <w:tc>
          <w:tcPr>
            <w:tcW w:w="2400" w:type="dxa"/>
            <w:shd w:val="clear" w:color="auto" w:fill="EFEFEF"/>
          </w:tcPr>
          <w:p w14:paraId="16F3E4F8" w14:textId="77777777" w:rsidR="00954DB8" w:rsidRDefault="00954DB8">
            <w:pPr>
              <w:pStyle w:val="normal0"/>
              <w:spacing w:line="240" w:lineRule="auto"/>
              <w:contextualSpacing w:val="0"/>
              <w:cnfStyle w:val="000000000000" w:firstRow="0" w:lastRow="0" w:firstColumn="0" w:lastColumn="0" w:oddVBand="0" w:evenVBand="0" w:oddHBand="0" w:evenHBand="0" w:firstRowFirstColumn="0" w:firstRowLastColumn="0" w:lastRowFirstColumn="0" w:lastRowLastColumn="0"/>
            </w:pPr>
          </w:p>
          <w:p w14:paraId="25A3BB50" w14:textId="77777777" w:rsidR="00954DB8" w:rsidRDefault="001C6B0C">
            <w:pPr>
              <w:pStyle w:val="normal0"/>
              <w:numPr>
                <w:ilvl w:val="0"/>
                <w:numId w:val="5"/>
              </w:numPr>
              <w:spacing w:line="240" w:lineRule="auto"/>
              <w:ind w:hanging="3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Project Manager</w:t>
            </w:r>
          </w:p>
          <w:p w14:paraId="1555AEE7" w14:textId="77777777" w:rsidR="00954DB8" w:rsidRDefault="001C6B0C">
            <w:pPr>
              <w:pStyle w:val="normal0"/>
              <w:numPr>
                <w:ilvl w:val="0"/>
                <w:numId w:val="5"/>
              </w:numPr>
              <w:spacing w:line="240" w:lineRule="auto"/>
              <w:ind w:hanging="3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Open Data Strategist</w:t>
            </w:r>
          </w:p>
        </w:tc>
        <w:tc>
          <w:tcPr>
            <w:tcW w:w="2400" w:type="dxa"/>
            <w:shd w:val="clear" w:color="auto" w:fill="EFEFEF"/>
          </w:tcPr>
          <w:p w14:paraId="1323884C" w14:textId="77777777" w:rsidR="00954DB8" w:rsidRDefault="00954DB8">
            <w:pPr>
              <w:pStyle w:val="normal0"/>
              <w:spacing w:line="240" w:lineRule="auto"/>
              <w:contextualSpacing w:val="0"/>
              <w:cnfStyle w:val="000000000000" w:firstRow="0" w:lastRow="0" w:firstColumn="0" w:lastColumn="0" w:oddVBand="0" w:evenVBand="0" w:oddHBand="0" w:evenHBand="0" w:firstRowFirstColumn="0" w:firstRowLastColumn="0" w:lastRowFirstColumn="0" w:lastRowLastColumn="0"/>
            </w:pPr>
          </w:p>
          <w:p w14:paraId="55307DCF" w14:textId="77777777" w:rsidR="00954DB8" w:rsidRDefault="001C6B0C">
            <w:pPr>
              <w:pStyle w:val="normal0"/>
              <w:numPr>
                <w:ilvl w:val="0"/>
                <w:numId w:val="5"/>
              </w:numPr>
              <w:spacing w:line="240" w:lineRule="auto"/>
              <w:ind w:hanging="3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Assessment of programs</w:t>
            </w:r>
          </w:p>
          <w:p w14:paraId="405762DD" w14:textId="77777777" w:rsidR="00954DB8" w:rsidRDefault="001C6B0C">
            <w:pPr>
              <w:pStyle w:val="normal0"/>
              <w:numPr>
                <w:ilvl w:val="0"/>
                <w:numId w:val="5"/>
              </w:numPr>
              <w:spacing w:line="240" w:lineRule="auto"/>
              <w:ind w:hanging="3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Data certificates</w:t>
            </w:r>
          </w:p>
          <w:p w14:paraId="73788B01" w14:textId="77777777" w:rsidR="00954DB8" w:rsidRDefault="001C6B0C">
            <w:pPr>
              <w:pStyle w:val="normal0"/>
              <w:numPr>
                <w:ilvl w:val="0"/>
                <w:numId w:val="5"/>
              </w:numPr>
              <w:spacing w:line="240" w:lineRule="auto"/>
              <w:ind w:hanging="3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Program certificates</w:t>
            </w:r>
          </w:p>
          <w:p w14:paraId="72799394" w14:textId="77777777" w:rsidR="00954DB8" w:rsidRDefault="001C6B0C">
            <w:pPr>
              <w:pStyle w:val="normal0"/>
              <w:numPr>
                <w:ilvl w:val="0"/>
                <w:numId w:val="5"/>
              </w:numPr>
              <w:spacing w:line="240" w:lineRule="auto"/>
              <w:ind w:hanging="3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Audit reports and recommendations</w:t>
            </w:r>
          </w:p>
        </w:tc>
        <w:tc>
          <w:tcPr>
            <w:tcW w:w="2400" w:type="dxa"/>
            <w:shd w:val="clear" w:color="auto" w:fill="EFEFEF"/>
          </w:tcPr>
          <w:p w14:paraId="3D1F9C76" w14:textId="77777777" w:rsidR="00954DB8" w:rsidRDefault="001C6B0C">
            <w:pPr>
              <w:pStyle w:val="normal0"/>
              <w:spacing w:line="240" w:lineRule="auto"/>
              <w:contextualSpacing w:val="0"/>
              <w:cnfStyle w:val="000000000000" w:firstRow="0" w:lastRow="0" w:firstColumn="0" w:lastColumn="0" w:oddVBand="0" w:evenVBand="0" w:oddHBand="0" w:evenHBand="0" w:firstRowFirstColumn="0" w:firstRowLastColumn="0" w:lastRowFirstColumn="0" w:lastRowLastColumn="0"/>
            </w:pPr>
            <w:r>
              <w:rPr>
                <w:sz w:val="18"/>
                <w:szCs w:val="18"/>
              </w:rPr>
              <w:br/>
            </w:r>
            <w:r>
              <w:rPr>
                <w:sz w:val="18"/>
                <w:szCs w:val="18"/>
              </w:rPr>
              <w:t>Cost is estimated on the number of data sets. Accreditation is priced separately but can be bundled.</w:t>
            </w:r>
          </w:p>
        </w:tc>
      </w:tr>
    </w:tbl>
    <w:p w14:paraId="3527D888" w14:textId="77777777" w:rsidR="00954DB8" w:rsidRDefault="00954DB8">
      <w:pPr>
        <w:pStyle w:val="normal0"/>
      </w:pPr>
    </w:p>
    <w:p w14:paraId="54AAA29D" w14:textId="77777777" w:rsidR="00954DB8" w:rsidRDefault="00954DB8">
      <w:pPr>
        <w:pStyle w:val="normal0"/>
      </w:pPr>
    </w:p>
    <w:sectPr w:rsidR="00954DB8">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F52023" w14:textId="77777777" w:rsidR="00000000" w:rsidRDefault="001C6B0C">
      <w:pPr>
        <w:spacing w:line="240" w:lineRule="auto"/>
      </w:pPr>
      <w:r>
        <w:separator/>
      </w:r>
    </w:p>
  </w:endnote>
  <w:endnote w:type="continuationSeparator" w:id="0">
    <w:p w14:paraId="40E773E7" w14:textId="77777777" w:rsidR="00000000" w:rsidRDefault="001C6B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6AE467" w14:textId="77777777" w:rsidR="00954DB8" w:rsidRDefault="001C6B0C">
    <w:pPr>
      <w:pStyle w:val="normal0"/>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2D31C6" w14:textId="77777777" w:rsidR="00000000" w:rsidRDefault="001C6B0C">
      <w:pPr>
        <w:spacing w:line="240" w:lineRule="auto"/>
      </w:pPr>
      <w:r>
        <w:separator/>
      </w:r>
    </w:p>
  </w:footnote>
  <w:footnote w:type="continuationSeparator" w:id="0">
    <w:p w14:paraId="4D827519" w14:textId="77777777" w:rsidR="00000000" w:rsidRDefault="001C6B0C">
      <w:pPr>
        <w:spacing w:line="240" w:lineRule="auto"/>
      </w:pPr>
      <w:r>
        <w:continuationSeparator/>
      </w:r>
    </w:p>
  </w:footnote>
  <w:footnote w:id="1">
    <w:p w14:paraId="6BB2D12C" w14:textId="77777777" w:rsidR="00954DB8" w:rsidRDefault="001C6B0C">
      <w:pPr>
        <w:pStyle w:val="normal0"/>
      </w:pPr>
      <w:r>
        <w:rPr>
          <w:vertAlign w:val="superscript"/>
        </w:rPr>
        <w:footnoteRef/>
      </w:r>
      <w:r>
        <w:t xml:space="preserve"> “Digital By Default Service Standard” </w:t>
      </w:r>
      <w:hyperlink r:id="rId1">
        <w:r>
          <w:rPr>
            <w:color w:val="1155CC"/>
            <w:u w:val="single"/>
          </w:rPr>
          <w:t>https://www.gov.uk/service-manual/digital-by-default</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1349B"/>
    <w:multiLevelType w:val="multilevel"/>
    <w:tmpl w:val="A0B824A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2976E4B"/>
    <w:multiLevelType w:val="multilevel"/>
    <w:tmpl w:val="E4D8C2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E223CC1"/>
    <w:multiLevelType w:val="multilevel"/>
    <w:tmpl w:val="E78C69A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3F5973D1"/>
    <w:multiLevelType w:val="multilevel"/>
    <w:tmpl w:val="F9CA80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31835F3"/>
    <w:multiLevelType w:val="multilevel"/>
    <w:tmpl w:val="E0663B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A8C2E25"/>
    <w:multiLevelType w:val="multilevel"/>
    <w:tmpl w:val="1F2C21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63AE571D"/>
    <w:multiLevelType w:val="multilevel"/>
    <w:tmpl w:val="8124DE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BF55392"/>
    <w:multiLevelType w:val="multilevel"/>
    <w:tmpl w:val="8F40EC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79726BB3"/>
    <w:multiLevelType w:val="multilevel"/>
    <w:tmpl w:val="EFF0896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7FC61518"/>
    <w:multiLevelType w:val="multilevel"/>
    <w:tmpl w:val="EB0CE4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8"/>
  </w:num>
  <w:num w:numId="3">
    <w:abstractNumId w:val="3"/>
  </w:num>
  <w:num w:numId="4">
    <w:abstractNumId w:val="9"/>
  </w:num>
  <w:num w:numId="5">
    <w:abstractNumId w:val="7"/>
  </w:num>
  <w:num w:numId="6">
    <w:abstractNumId w:val="1"/>
  </w:num>
  <w:num w:numId="7">
    <w:abstractNumId w:val="0"/>
  </w:num>
  <w:num w:numId="8">
    <w:abstractNumId w:val="4"/>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54DB8"/>
    <w:rsid w:val="001C6B0C"/>
    <w:rsid w:val="00954D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F5F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Georgia" w:hAnsi="Georgia" w:cs="Georgia"/>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line="240" w:lineRule="auto"/>
      <w:contextualSpacing/>
      <w:outlineLvl w:val="0"/>
    </w:pPr>
    <w:rPr>
      <w:rFonts w:ascii="Verdana" w:eastAsia="Verdana" w:hAnsi="Verdana" w:cs="Verdana"/>
      <w:b/>
      <w:color w:val="990000"/>
      <w:sz w:val="32"/>
      <w:szCs w:val="32"/>
    </w:rPr>
  </w:style>
  <w:style w:type="paragraph" w:styleId="Heading2">
    <w:name w:val="heading 2"/>
    <w:basedOn w:val="normal0"/>
    <w:next w:val="normal0"/>
    <w:pPr>
      <w:keepNext/>
      <w:keepLines/>
      <w:spacing w:before="200"/>
      <w:contextualSpacing/>
      <w:outlineLvl w:val="1"/>
    </w:pPr>
    <w:rPr>
      <w:rFonts w:ascii="Verdana" w:eastAsia="Verdana" w:hAnsi="Verdana" w:cs="Verdana"/>
      <w:b/>
      <w:color w:val="999999"/>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jc w:val="center"/>
    </w:pPr>
    <w:rPr>
      <w:rFonts w:ascii="Verdana" w:eastAsia="Verdana" w:hAnsi="Verdana" w:cs="Verdana"/>
      <w:b/>
      <w:color w:val="38761D"/>
      <w:sz w:val="36"/>
      <w:szCs w:val="36"/>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pPr>
      <w:contextualSpacing/>
    </w:pPr>
    <w:rPr>
      <w:rFonts w:ascii="Arial" w:eastAsia="Arial" w:hAnsi="Arial" w:cs="Arial"/>
      <w:color w:val="292934"/>
    </w:rPr>
    <w:tblPr>
      <w:tblStyleRowBandSize w:val="1"/>
      <w:tblStyleColBandSize w:val="1"/>
      <w:tblInd w:w="0" w:type="dxa"/>
      <w:tblCellMar>
        <w:top w:w="0" w:type="dxa"/>
        <w:left w:w="115" w:type="dxa"/>
        <w:bottom w:w="0" w:type="dxa"/>
        <w:right w:w="115" w:type="dxa"/>
      </w:tblCellMar>
    </w:tblPr>
    <w:tcPr>
      <w:shd w:val="clear" w:color="auto" w:fill="EBE3D9"/>
    </w:tcPr>
    <w:tblStylePr w:type="firstRow">
      <w:pPr>
        <w:contextualSpacing/>
      </w:pPr>
      <w:rPr>
        <w:b/>
        <w:color w:val="292934"/>
      </w:rPr>
      <w:tblPr/>
      <w:tcPr>
        <w:shd w:val="clear" w:color="auto" w:fill="F7F4F0"/>
        <w:tcMar>
          <w:top w:w="0" w:type="nil"/>
          <w:left w:w="115" w:type="dxa"/>
          <w:bottom w:w="0" w:type="nil"/>
          <w:right w:w="115" w:type="dxa"/>
        </w:tcMar>
      </w:tcPr>
    </w:tblStylePr>
    <w:tblStylePr w:type="lastRow">
      <w:pPr>
        <w:contextualSpacing/>
      </w:pPr>
      <w:rPr>
        <w:b/>
        <w:color w:val="292934"/>
      </w:rPr>
      <w:tblPr/>
      <w:tcPr>
        <w:shd w:val="clear" w:color="auto" w:fill="FFFFFF"/>
        <w:tcMar>
          <w:top w:w="0" w:type="nil"/>
          <w:left w:w="115" w:type="dxa"/>
          <w:bottom w:w="0" w:type="nil"/>
          <w:right w:w="115" w:type="dxa"/>
        </w:tcMar>
      </w:tcPr>
    </w:tblStylePr>
    <w:tblStylePr w:type="firstCol">
      <w:pPr>
        <w:contextualSpacing/>
      </w:pPr>
      <w:rPr>
        <w:b/>
        <w:color w:val="292934"/>
      </w:rPr>
      <w:tblPr/>
      <w:tcPr>
        <w:shd w:val="clear" w:color="auto" w:fill="FFFFFF"/>
        <w:tcMar>
          <w:top w:w="0" w:type="nil"/>
          <w:left w:w="115" w:type="dxa"/>
          <w:bottom w:w="0" w:type="nil"/>
          <w:right w:w="115" w:type="dxa"/>
        </w:tcMar>
      </w:tcPr>
    </w:tblStylePr>
    <w:tblStylePr w:type="lastCol">
      <w:pPr>
        <w:contextualSpacing/>
      </w:pPr>
      <w:rPr>
        <w:b w:val="0"/>
        <w:color w:val="292934"/>
      </w:rPr>
      <w:tblPr/>
      <w:tcPr>
        <w:shd w:val="clear" w:color="auto" w:fill="EFE9E1"/>
        <w:tcMar>
          <w:top w:w="0" w:type="nil"/>
          <w:left w:w="115" w:type="dxa"/>
          <w:bottom w:w="0" w:type="nil"/>
          <w:right w:w="115" w:type="dxa"/>
        </w:tcMar>
      </w:tcPr>
    </w:tblStylePr>
    <w:tblStylePr w:type="band1Vert">
      <w:pPr>
        <w:contextualSpacing/>
      </w:pPr>
      <w:tblPr/>
      <w:tcPr>
        <w:shd w:val="clear" w:color="auto" w:fill="D6C7B3"/>
        <w:tcMar>
          <w:top w:w="0" w:type="nil"/>
          <w:left w:w="115" w:type="dxa"/>
          <w:bottom w:w="0" w:type="nil"/>
          <w:right w:w="115" w:type="dxa"/>
        </w:tcMar>
      </w:tcPr>
    </w:tblStylePr>
    <w:tblStylePr w:type="band1Horz">
      <w:pPr>
        <w:contextualSpacing/>
      </w:pPr>
      <w:tblPr/>
      <w:tcPr>
        <w:shd w:val="clear" w:color="auto" w:fill="D6C7B3"/>
        <w:tcMar>
          <w:top w:w="0" w:type="nil"/>
          <w:left w:w="115" w:type="dxa"/>
          <w:bottom w:w="0" w:type="nil"/>
          <w:right w:w="115" w:type="dxa"/>
        </w:tcMar>
      </w:tcPr>
    </w:tblStylePr>
    <w:tblStylePr w:type="nwCell">
      <w:pPr>
        <w:contextualSpacing/>
      </w:pPr>
      <w:tblPr/>
      <w:tcPr>
        <w:shd w:val="clear" w:color="auto" w:fill="FFFFFF"/>
        <w:tcMar>
          <w:top w:w="0" w:type="nil"/>
          <w:left w:w="115" w:type="dxa"/>
          <w:bottom w:w="0" w:type="nil"/>
          <w:right w:w="115" w:type="dxa"/>
        </w:tcMar>
      </w:tcPr>
    </w:tblStylePr>
  </w:style>
  <w:style w:type="table" w:customStyle="1" w:styleId="a0">
    <w:basedOn w:val="TableNormal"/>
    <w:pPr>
      <w:contextualSpacing/>
    </w:pPr>
    <w:rPr>
      <w:rFonts w:ascii="Arial" w:eastAsia="Arial" w:hAnsi="Arial" w:cs="Arial"/>
      <w:color w:val="292934"/>
    </w:rPr>
    <w:tblPr>
      <w:tblStyleRowBandSize w:val="1"/>
      <w:tblStyleColBandSize w:val="1"/>
      <w:tblInd w:w="0" w:type="dxa"/>
      <w:tblCellMar>
        <w:top w:w="0" w:type="dxa"/>
        <w:left w:w="115" w:type="dxa"/>
        <w:bottom w:w="0" w:type="dxa"/>
        <w:right w:w="115" w:type="dxa"/>
      </w:tblCellMar>
    </w:tblPr>
    <w:tcPr>
      <w:shd w:val="clear" w:color="auto" w:fill="EBE3D9"/>
    </w:tcPr>
    <w:tblStylePr w:type="firstRow">
      <w:pPr>
        <w:contextualSpacing/>
      </w:pPr>
      <w:rPr>
        <w:b/>
        <w:color w:val="292934"/>
      </w:rPr>
      <w:tblPr/>
      <w:tcPr>
        <w:shd w:val="clear" w:color="auto" w:fill="F7F4F0"/>
        <w:tcMar>
          <w:top w:w="0" w:type="nil"/>
          <w:left w:w="115" w:type="dxa"/>
          <w:bottom w:w="0" w:type="nil"/>
          <w:right w:w="115" w:type="dxa"/>
        </w:tcMar>
      </w:tcPr>
    </w:tblStylePr>
    <w:tblStylePr w:type="lastRow">
      <w:pPr>
        <w:contextualSpacing/>
      </w:pPr>
      <w:rPr>
        <w:b/>
        <w:color w:val="292934"/>
      </w:rPr>
      <w:tblPr/>
      <w:tcPr>
        <w:shd w:val="clear" w:color="auto" w:fill="FFFFFF"/>
        <w:tcMar>
          <w:top w:w="0" w:type="nil"/>
          <w:left w:w="115" w:type="dxa"/>
          <w:bottom w:w="0" w:type="nil"/>
          <w:right w:w="115" w:type="dxa"/>
        </w:tcMar>
      </w:tcPr>
    </w:tblStylePr>
    <w:tblStylePr w:type="firstCol">
      <w:pPr>
        <w:contextualSpacing/>
      </w:pPr>
      <w:rPr>
        <w:b/>
        <w:color w:val="292934"/>
      </w:rPr>
      <w:tblPr/>
      <w:tcPr>
        <w:shd w:val="clear" w:color="auto" w:fill="FFFFFF"/>
        <w:tcMar>
          <w:top w:w="0" w:type="nil"/>
          <w:left w:w="115" w:type="dxa"/>
          <w:bottom w:w="0" w:type="nil"/>
          <w:right w:w="115" w:type="dxa"/>
        </w:tcMar>
      </w:tcPr>
    </w:tblStylePr>
    <w:tblStylePr w:type="lastCol">
      <w:pPr>
        <w:contextualSpacing/>
      </w:pPr>
      <w:rPr>
        <w:b w:val="0"/>
        <w:color w:val="292934"/>
      </w:rPr>
      <w:tblPr/>
      <w:tcPr>
        <w:shd w:val="clear" w:color="auto" w:fill="EFE9E1"/>
        <w:tcMar>
          <w:top w:w="0" w:type="nil"/>
          <w:left w:w="115" w:type="dxa"/>
          <w:bottom w:w="0" w:type="nil"/>
          <w:right w:w="115" w:type="dxa"/>
        </w:tcMar>
      </w:tcPr>
    </w:tblStylePr>
    <w:tblStylePr w:type="band1Vert">
      <w:pPr>
        <w:contextualSpacing/>
      </w:pPr>
      <w:tblPr/>
      <w:tcPr>
        <w:shd w:val="clear" w:color="auto" w:fill="D6C7B3"/>
        <w:tcMar>
          <w:top w:w="0" w:type="nil"/>
          <w:left w:w="115" w:type="dxa"/>
          <w:bottom w:w="0" w:type="nil"/>
          <w:right w:w="115" w:type="dxa"/>
        </w:tcMar>
      </w:tcPr>
    </w:tblStylePr>
    <w:tblStylePr w:type="band1Horz">
      <w:pPr>
        <w:contextualSpacing/>
      </w:pPr>
      <w:tblPr/>
      <w:tcPr>
        <w:shd w:val="clear" w:color="auto" w:fill="D6C7B3"/>
        <w:tcMar>
          <w:top w:w="0" w:type="nil"/>
          <w:left w:w="115" w:type="dxa"/>
          <w:bottom w:w="0" w:type="nil"/>
          <w:right w:w="115" w:type="dxa"/>
        </w:tcMar>
      </w:tcPr>
    </w:tblStylePr>
    <w:tblStylePr w:type="nwCell">
      <w:pPr>
        <w:contextualSpacing/>
      </w:pPr>
      <w:tblPr/>
      <w:tcPr>
        <w:shd w:val="clear" w:color="auto" w:fill="FFFFFF"/>
        <w:tcMar>
          <w:top w:w="0" w:type="nil"/>
          <w:left w:w="115" w:type="dxa"/>
          <w:bottom w:w="0" w:type="nil"/>
          <w:right w:w="115" w:type="dxa"/>
        </w:tcMar>
      </w:tcPr>
    </w:tblStylePr>
  </w:style>
  <w:style w:type="table" w:customStyle="1" w:styleId="a1">
    <w:basedOn w:val="TableNormal"/>
    <w:pPr>
      <w:contextualSpacing/>
    </w:pPr>
    <w:rPr>
      <w:rFonts w:ascii="Arial" w:eastAsia="Arial" w:hAnsi="Arial" w:cs="Arial"/>
      <w:color w:val="292934"/>
    </w:rPr>
    <w:tblPr>
      <w:tblStyleRowBandSize w:val="1"/>
      <w:tblStyleColBandSize w:val="1"/>
      <w:tblInd w:w="0" w:type="dxa"/>
      <w:tblCellMar>
        <w:top w:w="0" w:type="dxa"/>
        <w:left w:w="115" w:type="dxa"/>
        <w:bottom w:w="0" w:type="dxa"/>
        <w:right w:w="115" w:type="dxa"/>
      </w:tblCellMar>
    </w:tblPr>
    <w:tcPr>
      <w:shd w:val="clear" w:color="auto" w:fill="EBE3D9"/>
    </w:tcPr>
    <w:tblStylePr w:type="firstRow">
      <w:pPr>
        <w:contextualSpacing/>
      </w:pPr>
      <w:rPr>
        <w:b/>
        <w:color w:val="292934"/>
      </w:rPr>
      <w:tblPr/>
      <w:tcPr>
        <w:shd w:val="clear" w:color="auto" w:fill="F7F4F0"/>
        <w:tcMar>
          <w:top w:w="0" w:type="nil"/>
          <w:left w:w="115" w:type="dxa"/>
          <w:bottom w:w="0" w:type="nil"/>
          <w:right w:w="115" w:type="dxa"/>
        </w:tcMar>
      </w:tcPr>
    </w:tblStylePr>
    <w:tblStylePr w:type="lastRow">
      <w:pPr>
        <w:contextualSpacing/>
      </w:pPr>
      <w:rPr>
        <w:b/>
        <w:color w:val="292934"/>
      </w:rPr>
      <w:tblPr/>
      <w:tcPr>
        <w:shd w:val="clear" w:color="auto" w:fill="FFFFFF"/>
        <w:tcMar>
          <w:top w:w="0" w:type="nil"/>
          <w:left w:w="115" w:type="dxa"/>
          <w:bottom w:w="0" w:type="nil"/>
          <w:right w:w="115" w:type="dxa"/>
        </w:tcMar>
      </w:tcPr>
    </w:tblStylePr>
    <w:tblStylePr w:type="firstCol">
      <w:pPr>
        <w:contextualSpacing/>
      </w:pPr>
      <w:rPr>
        <w:b/>
        <w:color w:val="292934"/>
      </w:rPr>
      <w:tblPr/>
      <w:tcPr>
        <w:shd w:val="clear" w:color="auto" w:fill="FFFFFF"/>
        <w:tcMar>
          <w:top w:w="0" w:type="nil"/>
          <w:left w:w="115" w:type="dxa"/>
          <w:bottom w:w="0" w:type="nil"/>
          <w:right w:w="115" w:type="dxa"/>
        </w:tcMar>
      </w:tcPr>
    </w:tblStylePr>
    <w:tblStylePr w:type="lastCol">
      <w:pPr>
        <w:contextualSpacing/>
      </w:pPr>
      <w:rPr>
        <w:b w:val="0"/>
        <w:color w:val="292934"/>
      </w:rPr>
      <w:tblPr/>
      <w:tcPr>
        <w:shd w:val="clear" w:color="auto" w:fill="EFE9E1"/>
        <w:tcMar>
          <w:top w:w="0" w:type="nil"/>
          <w:left w:w="115" w:type="dxa"/>
          <w:bottom w:w="0" w:type="nil"/>
          <w:right w:w="115" w:type="dxa"/>
        </w:tcMar>
      </w:tcPr>
    </w:tblStylePr>
    <w:tblStylePr w:type="band1Vert">
      <w:pPr>
        <w:contextualSpacing/>
      </w:pPr>
      <w:tblPr/>
      <w:tcPr>
        <w:shd w:val="clear" w:color="auto" w:fill="D6C7B3"/>
        <w:tcMar>
          <w:top w:w="0" w:type="nil"/>
          <w:left w:w="115" w:type="dxa"/>
          <w:bottom w:w="0" w:type="nil"/>
          <w:right w:w="115" w:type="dxa"/>
        </w:tcMar>
      </w:tcPr>
    </w:tblStylePr>
    <w:tblStylePr w:type="band1Horz">
      <w:pPr>
        <w:contextualSpacing/>
      </w:pPr>
      <w:tblPr/>
      <w:tcPr>
        <w:shd w:val="clear" w:color="auto" w:fill="D6C7B3"/>
        <w:tcMar>
          <w:top w:w="0" w:type="nil"/>
          <w:left w:w="115" w:type="dxa"/>
          <w:bottom w:w="0" w:type="nil"/>
          <w:right w:w="115" w:type="dxa"/>
        </w:tcMar>
      </w:tcPr>
    </w:tblStylePr>
    <w:tblStylePr w:type="nwCell">
      <w:pPr>
        <w:contextualSpacing/>
      </w:pPr>
      <w:tblPr/>
      <w:tcPr>
        <w:shd w:val="clear" w:color="auto" w:fill="FFFFFF"/>
        <w:tcMar>
          <w:top w:w="0" w:type="nil"/>
          <w:left w:w="115" w:type="dxa"/>
          <w:bottom w:w="0" w:type="nil"/>
          <w:right w:w="115" w:type="dxa"/>
        </w:tcMar>
      </w:tcPr>
    </w:tblStylePr>
  </w:style>
  <w:style w:type="table" w:customStyle="1" w:styleId="a2">
    <w:basedOn w:val="TableNormal"/>
    <w:pPr>
      <w:contextualSpacing/>
    </w:pPr>
    <w:rPr>
      <w:rFonts w:ascii="Arial" w:eastAsia="Arial" w:hAnsi="Arial" w:cs="Arial"/>
      <w:color w:val="292934"/>
    </w:rPr>
    <w:tblPr>
      <w:tblStyleRowBandSize w:val="1"/>
      <w:tblStyleColBandSize w:val="1"/>
      <w:tblInd w:w="0" w:type="dxa"/>
      <w:tblCellMar>
        <w:top w:w="0" w:type="dxa"/>
        <w:left w:w="115" w:type="dxa"/>
        <w:bottom w:w="0" w:type="dxa"/>
        <w:right w:w="115" w:type="dxa"/>
      </w:tblCellMar>
    </w:tblPr>
    <w:tcPr>
      <w:shd w:val="clear" w:color="auto" w:fill="EBE3D9"/>
    </w:tcPr>
    <w:tblStylePr w:type="firstRow">
      <w:pPr>
        <w:contextualSpacing/>
      </w:pPr>
      <w:rPr>
        <w:b/>
        <w:color w:val="292934"/>
      </w:rPr>
      <w:tblPr/>
      <w:tcPr>
        <w:shd w:val="clear" w:color="auto" w:fill="F7F4F0"/>
        <w:tcMar>
          <w:top w:w="0" w:type="nil"/>
          <w:left w:w="115" w:type="dxa"/>
          <w:bottom w:w="0" w:type="nil"/>
          <w:right w:w="115" w:type="dxa"/>
        </w:tcMar>
      </w:tcPr>
    </w:tblStylePr>
    <w:tblStylePr w:type="lastRow">
      <w:pPr>
        <w:contextualSpacing/>
      </w:pPr>
      <w:rPr>
        <w:b/>
        <w:color w:val="292934"/>
      </w:rPr>
      <w:tblPr/>
      <w:tcPr>
        <w:shd w:val="clear" w:color="auto" w:fill="FFFFFF"/>
        <w:tcMar>
          <w:top w:w="0" w:type="nil"/>
          <w:left w:w="115" w:type="dxa"/>
          <w:bottom w:w="0" w:type="nil"/>
          <w:right w:w="115" w:type="dxa"/>
        </w:tcMar>
      </w:tcPr>
    </w:tblStylePr>
    <w:tblStylePr w:type="firstCol">
      <w:pPr>
        <w:contextualSpacing/>
      </w:pPr>
      <w:rPr>
        <w:b/>
        <w:color w:val="292934"/>
      </w:rPr>
      <w:tblPr/>
      <w:tcPr>
        <w:shd w:val="clear" w:color="auto" w:fill="FFFFFF"/>
        <w:tcMar>
          <w:top w:w="0" w:type="nil"/>
          <w:left w:w="115" w:type="dxa"/>
          <w:bottom w:w="0" w:type="nil"/>
          <w:right w:w="115" w:type="dxa"/>
        </w:tcMar>
      </w:tcPr>
    </w:tblStylePr>
    <w:tblStylePr w:type="lastCol">
      <w:pPr>
        <w:contextualSpacing/>
      </w:pPr>
      <w:rPr>
        <w:b w:val="0"/>
        <w:color w:val="292934"/>
      </w:rPr>
      <w:tblPr/>
      <w:tcPr>
        <w:shd w:val="clear" w:color="auto" w:fill="EFE9E1"/>
        <w:tcMar>
          <w:top w:w="0" w:type="nil"/>
          <w:left w:w="115" w:type="dxa"/>
          <w:bottom w:w="0" w:type="nil"/>
          <w:right w:w="115" w:type="dxa"/>
        </w:tcMar>
      </w:tcPr>
    </w:tblStylePr>
    <w:tblStylePr w:type="band1Vert">
      <w:pPr>
        <w:contextualSpacing/>
      </w:pPr>
      <w:tblPr/>
      <w:tcPr>
        <w:shd w:val="clear" w:color="auto" w:fill="D6C7B3"/>
        <w:tcMar>
          <w:top w:w="0" w:type="nil"/>
          <w:left w:w="115" w:type="dxa"/>
          <w:bottom w:w="0" w:type="nil"/>
          <w:right w:w="115" w:type="dxa"/>
        </w:tcMar>
      </w:tcPr>
    </w:tblStylePr>
    <w:tblStylePr w:type="band1Horz">
      <w:pPr>
        <w:contextualSpacing/>
      </w:pPr>
      <w:tblPr/>
      <w:tcPr>
        <w:shd w:val="clear" w:color="auto" w:fill="D6C7B3"/>
        <w:tcMar>
          <w:top w:w="0" w:type="nil"/>
          <w:left w:w="115" w:type="dxa"/>
          <w:bottom w:w="0" w:type="nil"/>
          <w:right w:w="115" w:type="dxa"/>
        </w:tcMar>
      </w:tcPr>
    </w:tblStylePr>
    <w:tblStylePr w:type="nwCell">
      <w:pPr>
        <w:contextualSpacing/>
      </w:pPr>
      <w:tblPr/>
      <w:tcPr>
        <w:shd w:val="clear" w:color="auto" w:fill="FFFFFF"/>
        <w:tcMar>
          <w:top w:w="0" w:type="nil"/>
          <w:left w:w="115" w:type="dxa"/>
          <w:bottom w:w="0" w:type="nil"/>
          <w:right w:w="115" w:type="dxa"/>
        </w:tcMar>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Georgia" w:hAnsi="Georgia" w:cs="Georgia"/>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line="240" w:lineRule="auto"/>
      <w:contextualSpacing/>
      <w:outlineLvl w:val="0"/>
    </w:pPr>
    <w:rPr>
      <w:rFonts w:ascii="Verdana" w:eastAsia="Verdana" w:hAnsi="Verdana" w:cs="Verdana"/>
      <w:b/>
      <w:color w:val="990000"/>
      <w:sz w:val="32"/>
      <w:szCs w:val="32"/>
    </w:rPr>
  </w:style>
  <w:style w:type="paragraph" w:styleId="Heading2">
    <w:name w:val="heading 2"/>
    <w:basedOn w:val="normal0"/>
    <w:next w:val="normal0"/>
    <w:pPr>
      <w:keepNext/>
      <w:keepLines/>
      <w:spacing w:before="200"/>
      <w:contextualSpacing/>
      <w:outlineLvl w:val="1"/>
    </w:pPr>
    <w:rPr>
      <w:rFonts w:ascii="Verdana" w:eastAsia="Verdana" w:hAnsi="Verdana" w:cs="Verdana"/>
      <w:b/>
      <w:color w:val="999999"/>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jc w:val="center"/>
    </w:pPr>
    <w:rPr>
      <w:rFonts w:ascii="Verdana" w:eastAsia="Verdana" w:hAnsi="Verdana" w:cs="Verdana"/>
      <w:b/>
      <w:color w:val="38761D"/>
      <w:sz w:val="36"/>
      <w:szCs w:val="36"/>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pPr>
      <w:contextualSpacing/>
    </w:pPr>
    <w:rPr>
      <w:rFonts w:ascii="Arial" w:eastAsia="Arial" w:hAnsi="Arial" w:cs="Arial"/>
      <w:color w:val="292934"/>
    </w:rPr>
    <w:tblPr>
      <w:tblStyleRowBandSize w:val="1"/>
      <w:tblStyleColBandSize w:val="1"/>
      <w:tblInd w:w="0" w:type="dxa"/>
      <w:tblCellMar>
        <w:top w:w="0" w:type="dxa"/>
        <w:left w:w="115" w:type="dxa"/>
        <w:bottom w:w="0" w:type="dxa"/>
        <w:right w:w="115" w:type="dxa"/>
      </w:tblCellMar>
    </w:tblPr>
    <w:tcPr>
      <w:shd w:val="clear" w:color="auto" w:fill="EBE3D9"/>
    </w:tcPr>
    <w:tblStylePr w:type="firstRow">
      <w:pPr>
        <w:contextualSpacing/>
      </w:pPr>
      <w:rPr>
        <w:b/>
        <w:color w:val="292934"/>
      </w:rPr>
      <w:tblPr/>
      <w:tcPr>
        <w:shd w:val="clear" w:color="auto" w:fill="F7F4F0"/>
        <w:tcMar>
          <w:top w:w="0" w:type="nil"/>
          <w:left w:w="115" w:type="dxa"/>
          <w:bottom w:w="0" w:type="nil"/>
          <w:right w:w="115" w:type="dxa"/>
        </w:tcMar>
      </w:tcPr>
    </w:tblStylePr>
    <w:tblStylePr w:type="lastRow">
      <w:pPr>
        <w:contextualSpacing/>
      </w:pPr>
      <w:rPr>
        <w:b/>
        <w:color w:val="292934"/>
      </w:rPr>
      <w:tblPr/>
      <w:tcPr>
        <w:shd w:val="clear" w:color="auto" w:fill="FFFFFF"/>
        <w:tcMar>
          <w:top w:w="0" w:type="nil"/>
          <w:left w:w="115" w:type="dxa"/>
          <w:bottom w:w="0" w:type="nil"/>
          <w:right w:w="115" w:type="dxa"/>
        </w:tcMar>
      </w:tcPr>
    </w:tblStylePr>
    <w:tblStylePr w:type="firstCol">
      <w:pPr>
        <w:contextualSpacing/>
      </w:pPr>
      <w:rPr>
        <w:b/>
        <w:color w:val="292934"/>
      </w:rPr>
      <w:tblPr/>
      <w:tcPr>
        <w:shd w:val="clear" w:color="auto" w:fill="FFFFFF"/>
        <w:tcMar>
          <w:top w:w="0" w:type="nil"/>
          <w:left w:w="115" w:type="dxa"/>
          <w:bottom w:w="0" w:type="nil"/>
          <w:right w:w="115" w:type="dxa"/>
        </w:tcMar>
      </w:tcPr>
    </w:tblStylePr>
    <w:tblStylePr w:type="lastCol">
      <w:pPr>
        <w:contextualSpacing/>
      </w:pPr>
      <w:rPr>
        <w:b w:val="0"/>
        <w:color w:val="292934"/>
      </w:rPr>
      <w:tblPr/>
      <w:tcPr>
        <w:shd w:val="clear" w:color="auto" w:fill="EFE9E1"/>
        <w:tcMar>
          <w:top w:w="0" w:type="nil"/>
          <w:left w:w="115" w:type="dxa"/>
          <w:bottom w:w="0" w:type="nil"/>
          <w:right w:w="115" w:type="dxa"/>
        </w:tcMar>
      </w:tcPr>
    </w:tblStylePr>
    <w:tblStylePr w:type="band1Vert">
      <w:pPr>
        <w:contextualSpacing/>
      </w:pPr>
      <w:tblPr/>
      <w:tcPr>
        <w:shd w:val="clear" w:color="auto" w:fill="D6C7B3"/>
        <w:tcMar>
          <w:top w:w="0" w:type="nil"/>
          <w:left w:w="115" w:type="dxa"/>
          <w:bottom w:w="0" w:type="nil"/>
          <w:right w:w="115" w:type="dxa"/>
        </w:tcMar>
      </w:tcPr>
    </w:tblStylePr>
    <w:tblStylePr w:type="band1Horz">
      <w:pPr>
        <w:contextualSpacing/>
      </w:pPr>
      <w:tblPr/>
      <w:tcPr>
        <w:shd w:val="clear" w:color="auto" w:fill="D6C7B3"/>
        <w:tcMar>
          <w:top w:w="0" w:type="nil"/>
          <w:left w:w="115" w:type="dxa"/>
          <w:bottom w:w="0" w:type="nil"/>
          <w:right w:w="115" w:type="dxa"/>
        </w:tcMar>
      </w:tcPr>
    </w:tblStylePr>
    <w:tblStylePr w:type="nwCell">
      <w:pPr>
        <w:contextualSpacing/>
      </w:pPr>
      <w:tblPr/>
      <w:tcPr>
        <w:shd w:val="clear" w:color="auto" w:fill="FFFFFF"/>
        <w:tcMar>
          <w:top w:w="0" w:type="nil"/>
          <w:left w:w="115" w:type="dxa"/>
          <w:bottom w:w="0" w:type="nil"/>
          <w:right w:w="115" w:type="dxa"/>
        </w:tcMar>
      </w:tcPr>
    </w:tblStylePr>
  </w:style>
  <w:style w:type="table" w:customStyle="1" w:styleId="a0">
    <w:basedOn w:val="TableNormal"/>
    <w:pPr>
      <w:contextualSpacing/>
    </w:pPr>
    <w:rPr>
      <w:rFonts w:ascii="Arial" w:eastAsia="Arial" w:hAnsi="Arial" w:cs="Arial"/>
      <w:color w:val="292934"/>
    </w:rPr>
    <w:tblPr>
      <w:tblStyleRowBandSize w:val="1"/>
      <w:tblStyleColBandSize w:val="1"/>
      <w:tblInd w:w="0" w:type="dxa"/>
      <w:tblCellMar>
        <w:top w:w="0" w:type="dxa"/>
        <w:left w:w="115" w:type="dxa"/>
        <w:bottom w:w="0" w:type="dxa"/>
        <w:right w:w="115" w:type="dxa"/>
      </w:tblCellMar>
    </w:tblPr>
    <w:tcPr>
      <w:shd w:val="clear" w:color="auto" w:fill="EBE3D9"/>
    </w:tcPr>
    <w:tblStylePr w:type="firstRow">
      <w:pPr>
        <w:contextualSpacing/>
      </w:pPr>
      <w:rPr>
        <w:b/>
        <w:color w:val="292934"/>
      </w:rPr>
      <w:tblPr/>
      <w:tcPr>
        <w:shd w:val="clear" w:color="auto" w:fill="F7F4F0"/>
        <w:tcMar>
          <w:top w:w="0" w:type="nil"/>
          <w:left w:w="115" w:type="dxa"/>
          <w:bottom w:w="0" w:type="nil"/>
          <w:right w:w="115" w:type="dxa"/>
        </w:tcMar>
      </w:tcPr>
    </w:tblStylePr>
    <w:tblStylePr w:type="lastRow">
      <w:pPr>
        <w:contextualSpacing/>
      </w:pPr>
      <w:rPr>
        <w:b/>
        <w:color w:val="292934"/>
      </w:rPr>
      <w:tblPr/>
      <w:tcPr>
        <w:shd w:val="clear" w:color="auto" w:fill="FFFFFF"/>
        <w:tcMar>
          <w:top w:w="0" w:type="nil"/>
          <w:left w:w="115" w:type="dxa"/>
          <w:bottom w:w="0" w:type="nil"/>
          <w:right w:w="115" w:type="dxa"/>
        </w:tcMar>
      </w:tcPr>
    </w:tblStylePr>
    <w:tblStylePr w:type="firstCol">
      <w:pPr>
        <w:contextualSpacing/>
      </w:pPr>
      <w:rPr>
        <w:b/>
        <w:color w:val="292934"/>
      </w:rPr>
      <w:tblPr/>
      <w:tcPr>
        <w:shd w:val="clear" w:color="auto" w:fill="FFFFFF"/>
        <w:tcMar>
          <w:top w:w="0" w:type="nil"/>
          <w:left w:w="115" w:type="dxa"/>
          <w:bottom w:w="0" w:type="nil"/>
          <w:right w:w="115" w:type="dxa"/>
        </w:tcMar>
      </w:tcPr>
    </w:tblStylePr>
    <w:tblStylePr w:type="lastCol">
      <w:pPr>
        <w:contextualSpacing/>
      </w:pPr>
      <w:rPr>
        <w:b w:val="0"/>
        <w:color w:val="292934"/>
      </w:rPr>
      <w:tblPr/>
      <w:tcPr>
        <w:shd w:val="clear" w:color="auto" w:fill="EFE9E1"/>
        <w:tcMar>
          <w:top w:w="0" w:type="nil"/>
          <w:left w:w="115" w:type="dxa"/>
          <w:bottom w:w="0" w:type="nil"/>
          <w:right w:w="115" w:type="dxa"/>
        </w:tcMar>
      </w:tcPr>
    </w:tblStylePr>
    <w:tblStylePr w:type="band1Vert">
      <w:pPr>
        <w:contextualSpacing/>
      </w:pPr>
      <w:tblPr/>
      <w:tcPr>
        <w:shd w:val="clear" w:color="auto" w:fill="D6C7B3"/>
        <w:tcMar>
          <w:top w:w="0" w:type="nil"/>
          <w:left w:w="115" w:type="dxa"/>
          <w:bottom w:w="0" w:type="nil"/>
          <w:right w:w="115" w:type="dxa"/>
        </w:tcMar>
      </w:tcPr>
    </w:tblStylePr>
    <w:tblStylePr w:type="band1Horz">
      <w:pPr>
        <w:contextualSpacing/>
      </w:pPr>
      <w:tblPr/>
      <w:tcPr>
        <w:shd w:val="clear" w:color="auto" w:fill="D6C7B3"/>
        <w:tcMar>
          <w:top w:w="0" w:type="nil"/>
          <w:left w:w="115" w:type="dxa"/>
          <w:bottom w:w="0" w:type="nil"/>
          <w:right w:w="115" w:type="dxa"/>
        </w:tcMar>
      </w:tcPr>
    </w:tblStylePr>
    <w:tblStylePr w:type="nwCell">
      <w:pPr>
        <w:contextualSpacing/>
      </w:pPr>
      <w:tblPr/>
      <w:tcPr>
        <w:shd w:val="clear" w:color="auto" w:fill="FFFFFF"/>
        <w:tcMar>
          <w:top w:w="0" w:type="nil"/>
          <w:left w:w="115" w:type="dxa"/>
          <w:bottom w:w="0" w:type="nil"/>
          <w:right w:w="115" w:type="dxa"/>
        </w:tcMar>
      </w:tcPr>
    </w:tblStylePr>
  </w:style>
  <w:style w:type="table" w:customStyle="1" w:styleId="a1">
    <w:basedOn w:val="TableNormal"/>
    <w:pPr>
      <w:contextualSpacing/>
    </w:pPr>
    <w:rPr>
      <w:rFonts w:ascii="Arial" w:eastAsia="Arial" w:hAnsi="Arial" w:cs="Arial"/>
      <w:color w:val="292934"/>
    </w:rPr>
    <w:tblPr>
      <w:tblStyleRowBandSize w:val="1"/>
      <w:tblStyleColBandSize w:val="1"/>
      <w:tblInd w:w="0" w:type="dxa"/>
      <w:tblCellMar>
        <w:top w:w="0" w:type="dxa"/>
        <w:left w:w="115" w:type="dxa"/>
        <w:bottom w:w="0" w:type="dxa"/>
        <w:right w:w="115" w:type="dxa"/>
      </w:tblCellMar>
    </w:tblPr>
    <w:tcPr>
      <w:shd w:val="clear" w:color="auto" w:fill="EBE3D9"/>
    </w:tcPr>
    <w:tblStylePr w:type="firstRow">
      <w:pPr>
        <w:contextualSpacing/>
      </w:pPr>
      <w:rPr>
        <w:b/>
        <w:color w:val="292934"/>
      </w:rPr>
      <w:tblPr/>
      <w:tcPr>
        <w:shd w:val="clear" w:color="auto" w:fill="F7F4F0"/>
        <w:tcMar>
          <w:top w:w="0" w:type="nil"/>
          <w:left w:w="115" w:type="dxa"/>
          <w:bottom w:w="0" w:type="nil"/>
          <w:right w:w="115" w:type="dxa"/>
        </w:tcMar>
      </w:tcPr>
    </w:tblStylePr>
    <w:tblStylePr w:type="lastRow">
      <w:pPr>
        <w:contextualSpacing/>
      </w:pPr>
      <w:rPr>
        <w:b/>
        <w:color w:val="292934"/>
      </w:rPr>
      <w:tblPr/>
      <w:tcPr>
        <w:shd w:val="clear" w:color="auto" w:fill="FFFFFF"/>
        <w:tcMar>
          <w:top w:w="0" w:type="nil"/>
          <w:left w:w="115" w:type="dxa"/>
          <w:bottom w:w="0" w:type="nil"/>
          <w:right w:w="115" w:type="dxa"/>
        </w:tcMar>
      </w:tcPr>
    </w:tblStylePr>
    <w:tblStylePr w:type="firstCol">
      <w:pPr>
        <w:contextualSpacing/>
      </w:pPr>
      <w:rPr>
        <w:b/>
        <w:color w:val="292934"/>
      </w:rPr>
      <w:tblPr/>
      <w:tcPr>
        <w:shd w:val="clear" w:color="auto" w:fill="FFFFFF"/>
        <w:tcMar>
          <w:top w:w="0" w:type="nil"/>
          <w:left w:w="115" w:type="dxa"/>
          <w:bottom w:w="0" w:type="nil"/>
          <w:right w:w="115" w:type="dxa"/>
        </w:tcMar>
      </w:tcPr>
    </w:tblStylePr>
    <w:tblStylePr w:type="lastCol">
      <w:pPr>
        <w:contextualSpacing/>
      </w:pPr>
      <w:rPr>
        <w:b w:val="0"/>
        <w:color w:val="292934"/>
      </w:rPr>
      <w:tblPr/>
      <w:tcPr>
        <w:shd w:val="clear" w:color="auto" w:fill="EFE9E1"/>
        <w:tcMar>
          <w:top w:w="0" w:type="nil"/>
          <w:left w:w="115" w:type="dxa"/>
          <w:bottom w:w="0" w:type="nil"/>
          <w:right w:w="115" w:type="dxa"/>
        </w:tcMar>
      </w:tcPr>
    </w:tblStylePr>
    <w:tblStylePr w:type="band1Vert">
      <w:pPr>
        <w:contextualSpacing/>
      </w:pPr>
      <w:tblPr/>
      <w:tcPr>
        <w:shd w:val="clear" w:color="auto" w:fill="D6C7B3"/>
        <w:tcMar>
          <w:top w:w="0" w:type="nil"/>
          <w:left w:w="115" w:type="dxa"/>
          <w:bottom w:w="0" w:type="nil"/>
          <w:right w:w="115" w:type="dxa"/>
        </w:tcMar>
      </w:tcPr>
    </w:tblStylePr>
    <w:tblStylePr w:type="band1Horz">
      <w:pPr>
        <w:contextualSpacing/>
      </w:pPr>
      <w:tblPr/>
      <w:tcPr>
        <w:shd w:val="clear" w:color="auto" w:fill="D6C7B3"/>
        <w:tcMar>
          <w:top w:w="0" w:type="nil"/>
          <w:left w:w="115" w:type="dxa"/>
          <w:bottom w:w="0" w:type="nil"/>
          <w:right w:w="115" w:type="dxa"/>
        </w:tcMar>
      </w:tcPr>
    </w:tblStylePr>
    <w:tblStylePr w:type="nwCell">
      <w:pPr>
        <w:contextualSpacing/>
      </w:pPr>
      <w:tblPr/>
      <w:tcPr>
        <w:shd w:val="clear" w:color="auto" w:fill="FFFFFF"/>
        <w:tcMar>
          <w:top w:w="0" w:type="nil"/>
          <w:left w:w="115" w:type="dxa"/>
          <w:bottom w:w="0" w:type="nil"/>
          <w:right w:w="115" w:type="dxa"/>
        </w:tcMar>
      </w:tcPr>
    </w:tblStylePr>
  </w:style>
  <w:style w:type="table" w:customStyle="1" w:styleId="a2">
    <w:basedOn w:val="TableNormal"/>
    <w:pPr>
      <w:contextualSpacing/>
    </w:pPr>
    <w:rPr>
      <w:rFonts w:ascii="Arial" w:eastAsia="Arial" w:hAnsi="Arial" w:cs="Arial"/>
      <w:color w:val="292934"/>
    </w:rPr>
    <w:tblPr>
      <w:tblStyleRowBandSize w:val="1"/>
      <w:tblStyleColBandSize w:val="1"/>
      <w:tblInd w:w="0" w:type="dxa"/>
      <w:tblCellMar>
        <w:top w:w="0" w:type="dxa"/>
        <w:left w:w="115" w:type="dxa"/>
        <w:bottom w:w="0" w:type="dxa"/>
        <w:right w:w="115" w:type="dxa"/>
      </w:tblCellMar>
    </w:tblPr>
    <w:tcPr>
      <w:shd w:val="clear" w:color="auto" w:fill="EBE3D9"/>
    </w:tcPr>
    <w:tblStylePr w:type="firstRow">
      <w:pPr>
        <w:contextualSpacing/>
      </w:pPr>
      <w:rPr>
        <w:b/>
        <w:color w:val="292934"/>
      </w:rPr>
      <w:tblPr/>
      <w:tcPr>
        <w:shd w:val="clear" w:color="auto" w:fill="F7F4F0"/>
        <w:tcMar>
          <w:top w:w="0" w:type="nil"/>
          <w:left w:w="115" w:type="dxa"/>
          <w:bottom w:w="0" w:type="nil"/>
          <w:right w:w="115" w:type="dxa"/>
        </w:tcMar>
      </w:tcPr>
    </w:tblStylePr>
    <w:tblStylePr w:type="lastRow">
      <w:pPr>
        <w:contextualSpacing/>
      </w:pPr>
      <w:rPr>
        <w:b/>
        <w:color w:val="292934"/>
      </w:rPr>
      <w:tblPr/>
      <w:tcPr>
        <w:shd w:val="clear" w:color="auto" w:fill="FFFFFF"/>
        <w:tcMar>
          <w:top w:w="0" w:type="nil"/>
          <w:left w:w="115" w:type="dxa"/>
          <w:bottom w:w="0" w:type="nil"/>
          <w:right w:w="115" w:type="dxa"/>
        </w:tcMar>
      </w:tcPr>
    </w:tblStylePr>
    <w:tblStylePr w:type="firstCol">
      <w:pPr>
        <w:contextualSpacing/>
      </w:pPr>
      <w:rPr>
        <w:b/>
        <w:color w:val="292934"/>
      </w:rPr>
      <w:tblPr/>
      <w:tcPr>
        <w:shd w:val="clear" w:color="auto" w:fill="FFFFFF"/>
        <w:tcMar>
          <w:top w:w="0" w:type="nil"/>
          <w:left w:w="115" w:type="dxa"/>
          <w:bottom w:w="0" w:type="nil"/>
          <w:right w:w="115" w:type="dxa"/>
        </w:tcMar>
      </w:tcPr>
    </w:tblStylePr>
    <w:tblStylePr w:type="lastCol">
      <w:pPr>
        <w:contextualSpacing/>
      </w:pPr>
      <w:rPr>
        <w:b w:val="0"/>
        <w:color w:val="292934"/>
      </w:rPr>
      <w:tblPr/>
      <w:tcPr>
        <w:shd w:val="clear" w:color="auto" w:fill="EFE9E1"/>
        <w:tcMar>
          <w:top w:w="0" w:type="nil"/>
          <w:left w:w="115" w:type="dxa"/>
          <w:bottom w:w="0" w:type="nil"/>
          <w:right w:w="115" w:type="dxa"/>
        </w:tcMar>
      </w:tcPr>
    </w:tblStylePr>
    <w:tblStylePr w:type="band1Vert">
      <w:pPr>
        <w:contextualSpacing/>
      </w:pPr>
      <w:tblPr/>
      <w:tcPr>
        <w:shd w:val="clear" w:color="auto" w:fill="D6C7B3"/>
        <w:tcMar>
          <w:top w:w="0" w:type="nil"/>
          <w:left w:w="115" w:type="dxa"/>
          <w:bottom w:w="0" w:type="nil"/>
          <w:right w:w="115" w:type="dxa"/>
        </w:tcMar>
      </w:tcPr>
    </w:tblStylePr>
    <w:tblStylePr w:type="band1Horz">
      <w:pPr>
        <w:contextualSpacing/>
      </w:pPr>
      <w:tblPr/>
      <w:tcPr>
        <w:shd w:val="clear" w:color="auto" w:fill="D6C7B3"/>
        <w:tcMar>
          <w:top w:w="0" w:type="nil"/>
          <w:left w:w="115" w:type="dxa"/>
          <w:bottom w:w="0" w:type="nil"/>
          <w:right w:w="115" w:type="dxa"/>
        </w:tcMar>
      </w:tcPr>
    </w:tblStylePr>
    <w:tblStylePr w:type="nwCell">
      <w:pPr>
        <w:contextualSpacing/>
      </w:pPr>
      <w:tblPr/>
      <w:tcPr>
        <w:shd w:val="clear" w:color="auto" w:fill="FFFFFF"/>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gov.uk/service-manual/digital-by-def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3302</Words>
  <Characters>18824</Characters>
  <Application>Microsoft Macintosh Word</Application>
  <DocSecurity>0</DocSecurity>
  <Lines>156</Lines>
  <Paragraphs>44</Paragraphs>
  <ScaleCrop>false</ScaleCrop>
  <Company>The Open Data Institute</Company>
  <LinksUpToDate>false</LinksUpToDate>
  <CharactersWithSpaces>22082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Hare</cp:lastModifiedBy>
  <cp:revision>2</cp:revision>
  <dcterms:created xsi:type="dcterms:W3CDTF">2015-10-06T19:32:00Z</dcterms:created>
  <dcterms:modified xsi:type="dcterms:W3CDTF">2015-10-06T19:34:00Z</dcterms:modified>
</cp:coreProperties>
</file>