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hyperlink r:id="rId6">
        <w:r w:rsidDel="00000000" w:rsidR="00000000" w:rsidRPr="00000000">
          <w:rPr>
            <w:rFonts w:ascii="Times New Roman" w:cs="Times New Roman" w:eastAsia="Times New Roman" w:hAnsi="Times New Roman"/>
            <w:color w:val="1155cc"/>
            <w:u w:val="single"/>
            <w:rtl w:val="0"/>
          </w:rPr>
          <w:t xml:space="preserve">https://www.fda.gov/medical-devices/device-advice-comprehensive-regulatory-assistance/overview-device-regulation</w:t>
        </w:r>
      </w:hyperlink>
      <w:r w:rsidDel="00000000" w:rsidR="00000000" w:rsidRPr="00000000">
        <w:rPr>
          <w:rFonts w:ascii="Times New Roman" w:cs="Times New Roman" w:eastAsia="Times New Roman" w:hAnsi="Times New Roman"/>
          <w:rtl w:val="0"/>
        </w:rPr>
        <w:t xml:space="preserve"> &amp; </w:t>
      </w:r>
      <w:hyperlink r:id="rId7">
        <w:r w:rsidDel="00000000" w:rsidR="00000000" w:rsidRPr="00000000">
          <w:rPr>
            <w:rFonts w:ascii="Times New Roman" w:cs="Times New Roman" w:eastAsia="Times New Roman" w:hAnsi="Times New Roman"/>
            <w:color w:val="1155cc"/>
            <w:u w:val="single"/>
            <w:rtl w:val="0"/>
          </w:rPr>
          <w:t xml:space="preserve">https://www.accessdata.fda.gov/scripts/cdrh/cfdocs/cfpcd/classification.cfm?id=BRZ</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blood giving set was labeled as class 2 - good to assume same for us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510(k) is a premarket submission made to FDA to demonstrate that the device to be marketed is as safe and effective, that is, substantially equivalent, to a legally marketed device (section 513(i)(1)(A) FD&amp;C Act). Submitters must compare their device to one or more similar legally marketed devices and make and support their substantial equivalence claims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rFonts w:ascii="Times New Roman" w:cs="Times New Roman" w:eastAsia="Times New Roman" w:hAnsi="Times New Roman"/>
            <w:color w:val="1155cc"/>
            <w:u w:val="single"/>
            <w:rtl w:val="0"/>
          </w:rPr>
          <w:t xml:space="preserve">https://pmc.ncbi.nlm.nih.gov/articles/PMC8087432/#:~:text=3.,regulated%20according%20to%20stringent%20controls.&amp;text=A%20stethoscope%2C%20for%20example%2C%20poses,of%20in%20vitro%20diagnostic%20devices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05263" cy="290766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05263" cy="290766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Pretty sure no regulations - as of 2021</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highlight w:val="white"/>
          <w:rtl w:val="0"/>
        </w:rPr>
        <w:t xml:space="preserve">All COSECSA member countries and South Africa with the exception of Burundi,</w:t>
      </w:r>
      <w:hyperlink r:id="rId10">
        <w:r w:rsidDel="00000000" w:rsidR="00000000" w:rsidRPr="00000000">
          <w:rPr>
            <w:rFonts w:ascii="Times New Roman" w:cs="Times New Roman" w:eastAsia="Times New Roman" w:hAnsi="Times New Roman"/>
            <w:color w:val="005ea2"/>
            <w:highlight w:val="white"/>
            <w:u w:val="single"/>
            <w:vertAlign w:val="superscript"/>
            <w:rtl w:val="0"/>
          </w:rPr>
          <w:t xml:space="preserve">21</w:t>
        </w:r>
      </w:hyperlink>
      <w:r w:rsidDel="00000000" w:rsidR="00000000" w:rsidRPr="00000000">
        <w:rPr>
          <w:rFonts w:ascii="Times New Roman" w:cs="Times New Roman" w:eastAsia="Times New Roman" w:hAnsi="Times New Roman"/>
          <w:color w:val="1b1b1b"/>
          <w:highlight w:val="white"/>
          <w:rtl w:val="0"/>
        </w:rPr>
        <w:t xml:space="preserve"> Malawi,</w:t>
      </w:r>
      <w:hyperlink r:id="rId11">
        <w:r w:rsidDel="00000000" w:rsidR="00000000" w:rsidRPr="00000000">
          <w:rPr>
            <w:rFonts w:ascii="Times New Roman" w:cs="Times New Roman" w:eastAsia="Times New Roman" w:hAnsi="Times New Roman"/>
            <w:color w:val="005ea2"/>
            <w:highlight w:val="white"/>
            <w:u w:val="single"/>
            <w:vertAlign w:val="superscript"/>
            <w:rtl w:val="0"/>
          </w:rPr>
          <w:t xml:space="preserve">22</w:t>
        </w:r>
      </w:hyperlink>
      <w:r w:rsidDel="00000000" w:rsidR="00000000" w:rsidRPr="00000000">
        <w:rPr>
          <w:rFonts w:ascii="Times New Roman" w:cs="Times New Roman" w:eastAsia="Times New Roman" w:hAnsi="Times New Roman"/>
          <w:color w:val="1b1b1b"/>
          <w:highlight w:val="white"/>
          <w:rtl w:val="0"/>
        </w:rPr>
        <w:t xml:space="preserve"> and Mozambique</w:t>
      </w:r>
      <w:hyperlink r:id="rId12">
        <w:r w:rsidDel="00000000" w:rsidR="00000000" w:rsidRPr="00000000">
          <w:rPr>
            <w:rFonts w:ascii="Times New Roman" w:cs="Times New Roman" w:eastAsia="Times New Roman" w:hAnsi="Times New Roman"/>
            <w:color w:val="005ea2"/>
            <w:highlight w:val="white"/>
            <w:u w:val="single"/>
            <w:vertAlign w:val="superscript"/>
            <w:rtl w:val="0"/>
          </w:rPr>
          <w:t xml:space="preserve">23</w:t>
        </w:r>
      </w:hyperlink>
      <w:r w:rsidDel="00000000" w:rsidR="00000000" w:rsidRPr="00000000">
        <w:rPr>
          <w:rFonts w:ascii="Times New Roman" w:cs="Times New Roman" w:eastAsia="Times New Roman" w:hAnsi="Times New Roman"/>
          <w:color w:val="1b1b1b"/>
          <w:highlight w:val="white"/>
          <w:rtl w:val="0"/>
        </w:rPr>
        <w:t xml:space="preserve"> have legislation mandating the regulation of medical devices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color w:val="1b1b1b"/>
          <w:highlight w:val="white"/>
          <w:u w:val="none"/>
        </w:rPr>
      </w:pPr>
      <w:r w:rsidDel="00000000" w:rsidR="00000000" w:rsidRPr="00000000">
        <w:rPr>
          <w:rFonts w:ascii="Times New Roman" w:cs="Times New Roman" w:eastAsia="Times New Roman" w:hAnsi="Times New Roman"/>
          <w:color w:val="1b1b1b"/>
          <w:highlight w:val="white"/>
          <w:rtl w:val="0"/>
        </w:rPr>
        <w:t xml:space="preserve">Just follow FDA standardas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3">
        <w:r w:rsidDel="00000000" w:rsidR="00000000" w:rsidRPr="00000000">
          <w:rPr>
            <w:rFonts w:ascii="Times New Roman" w:cs="Times New Roman" w:eastAsia="Times New Roman" w:hAnsi="Times New Roman"/>
            <w:color w:val="1155cc"/>
            <w:u w:val="single"/>
            <w:rtl w:val="0"/>
          </w:rPr>
          <w:t xml:space="preserve">https://clinregs.niaid.nih.gov/country/malawi/tanzania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Facts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clinical trial registration required</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In-country sponsor presence/representation required</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Anne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Regulatory authority</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Clinical research overseen by Pharmacy and Medicines Regulatory Authority (PMRA) and National Commission for Science and Technology (NCST)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Commission for Science and Tech</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NCST appraises, reviews, monitors, and evaluates priority research and development programs, plans, and projects of research and development institutions. </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NCST also encourages the use of local expertise in science and technology matters via a set of professional standards, ethics, and guidelines.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NCST-issued license is required for research activities involving humans; research involving clinical trials; research activities of multicentered research; the collection, storage and use of human samples for research; the accreditation of research institutions; and the establishment of an institutional research ethics committee (EC)</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w:t>
      </w:r>
    </w:p>
    <w:p w:rsidR="00000000" w:rsidDel="00000000" w:rsidP="00000000" w:rsidRDefault="00000000" w:rsidRPr="00000000" w14:paraId="00000018">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Mailing Address:</w:t>
        <w:br w:type="textWrapping"/>
        <w:t xml:space="preserve">National Commission for Science and Technology</w:t>
        <w:br w:type="textWrapping"/>
        <w:t xml:space="preserve">1st Floor Lingadzi House, Robert Mugabe Crescent</w:t>
        <w:br w:type="textWrapping"/>
        <w:t xml:space="preserve">Private Bag B303</w:t>
        <w:br w:type="textWrapping"/>
        <w:t xml:space="preserve">Lilongwe 3, Malawi</w:t>
      </w:r>
    </w:p>
    <w:p w:rsidR="00000000" w:rsidDel="00000000" w:rsidP="00000000" w:rsidRDefault="00000000" w:rsidRPr="00000000" w14:paraId="00000019">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+265 1 771 550</w:t>
        <w:br w:type="textWrapping"/>
        <w:t xml:space="preserve">Email: </w:t>
      </w:r>
      <w:hyperlink r:id="rId14">
        <w:r w:rsidDel="00000000" w:rsidR="00000000" w:rsidRPr="00000000">
          <w:rPr>
            <w:rFonts w:ascii="Times New Roman" w:cs="Times New Roman" w:eastAsia="Times New Roman" w:hAnsi="Times New Roman"/>
            <w:u w:val="single"/>
            <w:rtl w:val="0"/>
          </w:rPr>
          <w:t xml:space="preserve">infor@ncst.mw</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246cd3"/>
        </w:rPr>
      </w:pPr>
      <w:r w:rsidDel="00000000" w:rsidR="00000000" w:rsidRPr="00000000">
        <w:rPr>
          <w:rFonts w:ascii="Times New Roman" w:cs="Times New Roman" w:eastAsia="Times New Roman" w:hAnsi="Times New Roman"/>
          <w:rtl w:val="0"/>
        </w:rPr>
        <w:t xml:space="preserve">Source: </w:t>
      </w:r>
      <w:hyperlink r:id="rId15">
        <w:r w:rsidDel="00000000" w:rsidR="00000000" w:rsidRPr="00000000">
          <w:rPr>
            <w:rFonts w:ascii="Times New Roman" w:cs="Times New Roman" w:eastAsia="Times New Roman" w:hAnsi="Times New Roman"/>
            <w:color w:val="246cd3"/>
            <w:u w:val="single"/>
            <w:rtl w:val="0"/>
          </w:rPr>
          <w:t xml:space="preserve">https://www.pmra.mw/product-registration/</w:t>
        </w:r>
      </w:hyperlink>
      <w:r w:rsidDel="00000000" w:rsidR="00000000" w:rsidRPr="00000000">
        <w:rPr>
          <w:rFonts w:ascii="Times New Roman" w:cs="Times New Roman" w:eastAsia="Times New Roman" w:hAnsi="Times New Roman"/>
          <w:color w:val="246cd3"/>
          <w:rtl w:val="0"/>
        </w:rPr>
        <w:t xml:space="preserve"> </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Registration</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dossiers to office of Director General</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rtl w:val="0"/>
        </w:rPr>
        <w:t xml:space="preserve">accepts dossiers which are in common technical document (CTD) format as per ICH M4Q or WHO TRS 970 annex 4. This application requires completion of PMRA new product registration form (8A)</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There are three ways of submission of product registration namely, </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routine procedure where full assessment is done by PMRA assessors; </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WHO Collaborative Registration Procedure for products which are WHO prequalified;</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ZAZIBONA collaborative registration procedure where SADC countries jointly share and discuss dossier assessment report</w:t>
      </w:r>
    </w:p>
    <w:p w:rsidR="00000000" w:rsidDel="00000000" w:rsidP="00000000" w:rsidRDefault="00000000" w:rsidRPr="00000000" w14:paraId="00000022">
      <w:pPr>
        <w:ind w:left="0" w:firstLine="0"/>
        <w:rPr>
          <w:rFonts w:ascii="Times New Roman" w:cs="Times New Roman" w:eastAsia="Times New Roman" w:hAnsi="Times New Roman"/>
          <w:color w:val="212529"/>
          <w:highlight w:val="magenta"/>
        </w:rPr>
      </w:pPr>
      <w:r w:rsidDel="00000000" w:rsidR="00000000" w:rsidRPr="00000000">
        <w:rPr>
          <w:rFonts w:ascii="Times New Roman" w:cs="Times New Roman" w:eastAsia="Times New Roman" w:hAnsi="Times New Roman"/>
          <w:color w:val="212529"/>
          <w:rtl w:val="0"/>
        </w:rPr>
        <w:t xml:space="preserve">Source: </w:t>
      </w:r>
      <w:hyperlink r:id="rId16">
        <w:r w:rsidDel="00000000" w:rsidR="00000000" w:rsidRPr="00000000">
          <w:rPr>
            <w:rFonts w:ascii="Times New Roman" w:cs="Times New Roman" w:eastAsia="Times New Roman" w:hAnsi="Times New Roman"/>
            <w:color w:val="1155cc"/>
            <w:u w:val="single"/>
            <w:rtl w:val="0"/>
          </w:rPr>
          <w:t xml:space="preserve">https://clinregs.niaid.nih.gov/country/malawi#scope_of_assessment</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mc.ncbi.nlm.nih.gov/articles/PMC8087432/#B22" TargetMode="External"/><Relationship Id="rId10" Type="http://schemas.openxmlformats.org/officeDocument/2006/relationships/hyperlink" Target="https://pmc.ncbi.nlm.nih.gov/articles/PMC8087432/#B21" TargetMode="External"/><Relationship Id="rId13" Type="http://schemas.openxmlformats.org/officeDocument/2006/relationships/hyperlink" Target="https://clinregs.niaid.nih.gov/country/malawi/tanzania" TargetMode="External"/><Relationship Id="rId12" Type="http://schemas.openxmlformats.org/officeDocument/2006/relationships/hyperlink" Target="https://pmc.ncbi.nlm.nih.gov/articles/PMC8087432/#B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pmra.mw/product-registration/" TargetMode="External"/><Relationship Id="rId14" Type="http://schemas.openxmlformats.org/officeDocument/2006/relationships/hyperlink" Target="mailto:infor@ncst.mw" TargetMode="External"/><Relationship Id="rId16" Type="http://schemas.openxmlformats.org/officeDocument/2006/relationships/hyperlink" Target="https://clinregs.niaid.nih.gov/country/malawi#scope_of_assessment" TargetMode="External"/><Relationship Id="rId5" Type="http://schemas.openxmlformats.org/officeDocument/2006/relationships/styles" Target="styles.xml"/><Relationship Id="rId6" Type="http://schemas.openxmlformats.org/officeDocument/2006/relationships/hyperlink" Target="https://www.fda.gov/medical-devices/device-advice-comprehensive-regulatory-assistance/overview-device-regulation" TargetMode="External"/><Relationship Id="rId7" Type="http://schemas.openxmlformats.org/officeDocument/2006/relationships/hyperlink" Target="https://www.accessdata.fda.gov/scripts/cdrh/cfdocs/cfpcd/classification.cfm?id=BRZ" TargetMode="External"/><Relationship Id="rId8" Type="http://schemas.openxmlformats.org/officeDocument/2006/relationships/hyperlink" Target="https://pmc.ncbi.nlm.nih.gov/articles/PMC8087432/#:~:text=3.,regulated%20according%20to%20stringent%20controls.&amp;text=A%20stethoscope%2C%20for%20example%2C%20poses,of%20in%20vitro%20diagnostic%20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