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4BDD" w14:textId="4DF26896" w:rsidR="00217162" w:rsidRDefault="00217162" w:rsidP="00217162">
      <w:r w:rsidRPr="00217162">
        <w:rPr>
          <w:rFonts w:hint="eastAsia"/>
        </w:rPr>
        <w:t>前置動作：</w:t>
      </w:r>
    </w:p>
    <w:p w14:paraId="7E554561" w14:textId="43665D16" w:rsidR="00217162" w:rsidRPr="00217162" w:rsidRDefault="00217162" w:rsidP="00217162">
      <w:pPr>
        <w:pStyle w:val="a4"/>
        <w:numPr>
          <w:ilvl w:val="0"/>
          <w:numId w:val="13"/>
        </w:numPr>
        <w:ind w:leftChars="0"/>
        <w:rPr>
          <w:rFonts w:hint="eastAsia"/>
        </w:rPr>
      </w:pPr>
      <w:r w:rsidRPr="00217162">
        <w:rPr>
          <w:rFonts w:hint="eastAsia"/>
        </w:rPr>
        <w:t>取得</w:t>
      </w:r>
      <w:r w:rsidRPr="00217162">
        <w:t>Datasets</w:t>
      </w:r>
    </w:p>
    <w:p w14:paraId="28538D54" w14:textId="77777777" w:rsidR="00217162" w:rsidRPr="00217162" w:rsidRDefault="00217162" w:rsidP="00217162">
      <w:pPr>
        <w:pStyle w:val="a4"/>
        <w:numPr>
          <w:ilvl w:val="0"/>
          <w:numId w:val="13"/>
        </w:numPr>
        <w:ind w:leftChars="0"/>
      </w:pPr>
      <w:r w:rsidRPr="00217162">
        <w:rPr>
          <w:rFonts w:hint="eastAsia"/>
        </w:rPr>
        <w:t>取得</w:t>
      </w:r>
      <w:r w:rsidRPr="00217162">
        <w:t>Myocardial Infarction</w:t>
      </w:r>
      <w:r w:rsidRPr="00217162">
        <w:rPr>
          <w:rFonts w:hint="eastAsia"/>
        </w:rPr>
        <w:t>相關</w:t>
      </w:r>
      <w:proofErr w:type="spellStart"/>
      <w:r w:rsidRPr="00217162">
        <w:t>icd_code</w:t>
      </w:r>
      <w:proofErr w:type="spellEnd"/>
    </w:p>
    <w:p w14:paraId="60FD17A1" w14:textId="77777777" w:rsidR="00217162" w:rsidRDefault="00217162" w:rsidP="00217162">
      <w:pPr>
        <w:pStyle w:val="a4"/>
        <w:numPr>
          <w:ilvl w:val="1"/>
          <w:numId w:val="13"/>
        </w:numPr>
        <w:ind w:leftChars="0"/>
      </w:pPr>
      <w:r w:rsidRPr="00217162">
        <w:rPr>
          <w:rFonts w:hint="eastAsia"/>
        </w:rPr>
        <w:t>s</w:t>
      </w:r>
      <w:r w:rsidRPr="00217162">
        <w:t xml:space="preserve">elect * from </w:t>
      </w:r>
      <w:proofErr w:type="spellStart"/>
      <w:r w:rsidRPr="00217162">
        <w:t>mimiciii.d_icd_diagnoses</w:t>
      </w:r>
      <w:proofErr w:type="spellEnd"/>
      <w:r w:rsidRPr="00217162">
        <w:t xml:space="preserve"> where icd9_code like </w:t>
      </w:r>
      <w:r w:rsidRPr="00217162">
        <w:rPr>
          <w:rFonts w:hint="eastAsia"/>
        </w:rPr>
        <w:t>’</w:t>
      </w:r>
      <w:r w:rsidRPr="00217162">
        <w:t>41%</w:t>
      </w:r>
      <w:r w:rsidRPr="00217162">
        <w:rPr>
          <w:rFonts w:hint="eastAsia"/>
        </w:rPr>
        <w:t>’</w:t>
      </w:r>
    </w:p>
    <w:p w14:paraId="19943AF2" w14:textId="32B19064" w:rsidR="00217162" w:rsidRPr="00217162" w:rsidRDefault="00217162" w:rsidP="00217162">
      <w:pPr>
        <w:pStyle w:val="a4"/>
        <w:numPr>
          <w:ilvl w:val="0"/>
          <w:numId w:val="13"/>
        </w:numPr>
        <w:ind w:leftChars="0"/>
        <w:rPr>
          <w:rFonts w:hint="eastAsia"/>
        </w:rPr>
      </w:pPr>
      <w:r w:rsidRPr="00217162">
        <w:rPr>
          <w:rFonts w:hint="eastAsia"/>
        </w:rPr>
        <w:t>取得其對應之</w:t>
      </w:r>
      <w:proofErr w:type="spellStart"/>
      <w:r w:rsidRPr="00217162">
        <w:t>itemid</w:t>
      </w:r>
      <w:proofErr w:type="spellEnd"/>
    </w:p>
    <w:p w14:paraId="4665A261" w14:textId="77777777" w:rsidR="00217162" w:rsidRPr="00217162" w:rsidRDefault="00217162" w:rsidP="00217162">
      <w:pPr>
        <w:ind w:leftChars="200" w:left="480"/>
      </w:pPr>
      <w:r w:rsidRPr="00217162">
        <w:rPr>
          <w:rFonts w:hint="eastAsia"/>
        </w:rPr>
        <w:t>急性心肌梗死（</w:t>
      </w:r>
      <w:r w:rsidRPr="00217162">
        <w:t>ICD-9/ICD-9-CM</w:t>
      </w:r>
      <w:r w:rsidRPr="00217162">
        <w:rPr>
          <w:rFonts w:hint="eastAsia"/>
        </w:rPr>
        <w:t>：</w:t>
      </w:r>
      <w:r w:rsidRPr="00217162">
        <w:t>410</w:t>
      </w:r>
      <w:r w:rsidRPr="00217162">
        <w:rPr>
          <w:rFonts w:hint="eastAsia"/>
        </w:rPr>
        <w:t>；或</w:t>
      </w:r>
      <w:r w:rsidRPr="00217162">
        <w:t xml:space="preserve"> ICD-10-CA</w:t>
      </w:r>
      <w:r w:rsidRPr="00217162">
        <w:rPr>
          <w:rFonts w:hint="eastAsia"/>
        </w:rPr>
        <w:t>：</w:t>
      </w:r>
      <w:r w:rsidRPr="00217162">
        <w:t>I21</w:t>
      </w:r>
      <w:r w:rsidRPr="00217162">
        <w:rPr>
          <w:rFonts w:hint="eastAsia"/>
        </w:rPr>
        <w:t>、</w:t>
      </w:r>
      <w:r w:rsidRPr="00217162">
        <w:t>I22</w:t>
      </w:r>
      <w:r w:rsidRPr="00217162">
        <w:rPr>
          <w:rFonts w:hint="eastAsia"/>
        </w:rPr>
        <w:t>）</w:t>
      </w:r>
    </w:p>
    <w:p w14:paraId="44132EFE" w14:textId="77777777" w:rsidR="00217162" w:rsidRPr="00217162" w:rsidRDefault="00217162" w:rsidP="00217162">
      <w:pPr>
        <w:ind w:leftChars="200" w:left="480"/>
      </w:pPr>
      <w:r w:rsidRPr="00217162">
        <w:rPr>
          <w:rFonts w:hint="eastAsia"/>
        </w:rPr>
        <w:t>其他急性和亞急性缺血性心髒病（</w:t>
      </w:r>
      <w:r w:rsidRPr="00217162">
        <w:t>ICD-9/ICD-9-CM</w:t>
      </w:r>
      <w:r w:rsidRPr="00217162">
        <w:rPr>
          <w:rFonts w:hint="eastAsia"/>
        </w:rPr>
        <w:t>：</w:t>
      </w:r>
      <w:r w:rsidRPr="00217162">
        <w:t>411</w:t>
      </w:r>
      <w:r w:rsidRPr="00217162">
        <w:rPr>
          <w:rFonts w:hint="eastAsia"/>
        </w:rPr>
        <w:t>；或</w:t>
      </w:r>
      <w:r w:rsidRPr="00217162">
        <w:t xml:space="preserve"> ICD-10-CA</w:t>
      </w:r>
      <w:r w:rsidRPr="00217162">
        <w:rPr>
          <w:rFonts w:hint="eastAsia"/>
        </w:rPr>
        <w:t>：</w:t>
      </w:r>
      <w:r w:rsidRPr="00217162">
        <w:t>I20.0</w:t>
      </w:r>
      <w:r w:rsidRPr="00217162">
        <w:rPr>
          <w:rFonts w:hint="eastAsia"/>
        </w:rPr>
        <w:t>、</w:t>
      </w:r>
      <w:r w:rsidRPr="00217162">
        <w:t>I23.82</w:t>
      </w:r>
      <w:r w:rsidRPr="00217162">
        <w:rPr>
          <w:rFonts w:hint="eastAsia"/>
        </w:rPr>
        <w:t>、</w:t>
      </w:r>
      <w:r w:rsidRPr="00217162">
        <w:t>I24</w:t>
      </w:r>
      <w:r w:rsidRPr="00217162">
        <w:rPr>
          <w:rFonts w:hint="eastAsia"/>
        </w:rPr>
        <w:t>）</w:t>
      </w:r>
    </w:p>
    <w:p w14:paraId="2EFE9241" w14:textId="77777777" w:rsidR="00217162" w:rsidRPr="00217162" w:rsidRDefault="00217162" w:rsidP="00217162">
      <w:pPr>
        <w:ind w:leftChars="200" w:left="480"/>
      </w:pPr>
      <w:r w:rsidRPr="00217162">
        <w:rPr>
          <w:rFonts w:hint="eastAsia"/>
        </w:rPr>
        <w:t>陳舊性心肌梗死（</w:t>
      </w:r>
      <w:r w:rsidRPr="00217162">
        <w:t>ICD-9/ICD-9-CM</w:t>
      </w:r>
      <w:r w:rsidRPr="00217162">
        <w:rPr>
          <w:rFonts w:hint="eastAsia"/>
        </w:rPr>
        <w:t>：</w:t>
      </w:r>
      <w:r w:rsidRPr="00217162">
        <w:t>412</w:t>
      </w:r>
      <w:r w:rsidRPr="00217162">
        <w:rPr>
          <w:rFonts w:hint="eastAsia"/>
        </w:rPr>
        <w:t>；或</w:t>
      </w:r>
      <w:r w:rsidRPr="00217162">
        <w:t xml:space="preserve"> ICD-10-CA</w:t>
      </w:r>
      <w:r w:rsidRPr="00217162">
        <w:rPr>
          <w:rFonts w:hint="eastAsia"/>
        </w:rPr>
        <w:t>：</w:t>
      </w:r>
      <w:r w:rsidRPr="00217162">
        <w:t>I25.2</w:t>
      </w:r>
      <w:r w:rsidRPr="00217162">
        <w:rPr>
          <w:rFonts w:hint="eastAsia"/>
        </w:rPr>
        <w:t>）</w:t>
      </w:r>
    </w:p>
    <w:p w14:paraId="773D8221" w14:textId="77777777" w:rsidR="00217162" w:rsidRPr="00217162" w:rsidRDefault="00217162" w:rsidP="00217162">
      <w:pPr>
        <w:ind w:leftChars="200" w:left="480"/>
      </w:pPr>
      <w:r w:rsidRPr="00217162">
        <w:rPr>
          <w:rFonts w:hint="eastAsia"/>
        </w:rPr>
        <w:t>心絞痛（</w:t>
      </w:r>
      <w:r w:rsidRPr="00217162">
        <w:t>ICD-9/ICD-9-CM</w:t>
      </w:r>
      <w:r w:rsidRPr="00217162">
        <w:rPr>
          <w:rFonts w:hint="eastAsia"/>
        </w:rPr>
        <w:t>：</w:t>
      </w:r>
      <w:r w:rsidRPr="00217162">
        <w:t>413</w:t>
      </w:r>
      <w:r w:rsidRPr="00217162">
        <w:rPr>
          <w:rFonts w:hint="eastAsia"/>
        </w:rPr>
        <w:t>；或</w:t>
      </w:r>
      <w:r w:rsidRPr="00217162">
        <w:t xml:space="preserve"> ICD-10-CA</w:t>
      </w:r>
      <w:r w:rsidRPr="00217162">
        <w:rPr>
          <w:rFonts w:hint="eastAsia"/>
        </w:rPr>
        <w:t>：</w:t>
      </w:r>
      <w:r w:rsidRPr="00217162">
        <w:t>I20.1</w:t>
      </w:r>
      <w:r w:rsidRPr="00217162">
        <w:rPr>
          <w:rFonts w:hint="eastAsia"/>
        </w:rPr>
        <w:t>）</w:t>
      </w:r>
    </w:p>
    <w:p w14:paraId="0DB626E0" w14:textId="77777777" w:rsidR="00217162" w:rsidRPr="00217162" w:rsidRDefault="00217162" w:rsidP="00217162">
      <w:pPr>
        <w:ind w:leftChars="200" w:left="480"/>
      </w:pPr>
      <w:r w:rsidRPr="00217162">
        <w:rPr>
          <w:rFonts w:hint="eastAsia"/>
        </w:rPr>
        <w:t>其他形式的慢性缺血性心髒病（</w:t>
      </w:r>
      <w:r w:rsidRPr="00217162">
        <w:t>ICD-9/ICD-9-CM</w:t>
      </w:r>
      <w:r w:rsidRPr="00217162">
        <w:rPr>
          <w:rFonts w:hint="eastAsia"/>
        </w:rPr>
        <w:t>：</w:t>
      </w:r>
      <w:r w:rsidRPr="00217162">
        <w:t>414</w:t>
      </w:r>
      <w:r w:rsidRPr="00217162">
        <w:rPr>
          <w:rFonts w:hint="eastAsia"/>
        </w:rPr>
        <w:t>；或</w:t>
      </w:r>
      <w:r w:rsidRPr="00217162">
        <w:t xml:space="preserve"> ICD-10-CA</w:t>
      </w:r>
      <w:r w:rsidRPr="00217162">
        <w:rPr>
          <w:rFonts w:hint="eastAsia"/>
        </w:rPr>
        <w:t>：</w:t>
      </w:r>
      <w:r w:rsidRPr="00217162">
        <w:t>I25.0</w:t>
      </w:r>
      <w:r w:rsidRPr="00217162">
        <w:rPr>
          <w:rFonts w:hint="eastAsia"/>
        </w:rPr>
        <w:t>、</w:t>
      </w:r>
      <w:r w:rsidRPr="00217162">
        <w:t>I25.1</w:t>
      </w:r>
      <w:r w:rsidRPr="00217162">
        <w:rPr>
          <w:rFonts w:hint="eastAsia"/>
        </w:rPr>
        <w:t>、</w:t>
      </w:r>
      <w:r w:rsidRPr="00217162">
        <w:t>I25.3</w:t>
      </w:r>
      <w:r w:rsidRPr="00217162">
        <w:rPr>
          <w:rFonts w:hint="eastAsia"/>
        </w:rPr>
        <w:t>、</w:t>
      </w:r>
      <w:r w:rsidRPr="00217162">
        <w:t>I25.8</w:t>
      </w:r>
      <w:r w:rsidRPr="00217162">
        <w:rPr>
          <w:rFonts w:hint="eastAsia"/>
        </w:rPr>
        <w:t>、</w:t>
      </w:r>
      <w:r w:rsidRPr="00217162">
        <w:t>I25.9</w:t>
      </w:r>
      <w:r w:rsidRPr="00217162">
        <w:rPr>
          <w:rFonts w:hint="eastAsia"/>
        </w:rPr>
        <w:t>）</w:t>
      </w:r>
    </w:p>
    <w:p w14:paraId="1FFE0EA8" w14:textId="77777777" w:rsidR="00217162" w:rsidRPr="00217162" w:rsidRDefault="00217162" w:rsidP="00217162">
      <w:pPr>
        <w:ind w:leftChars="200" w:left="480"/>
      </w:pPr>
      <w:r w:rsidRPr="00217162">
        <w:t>410-414</w:t>
      </w:r>
      <w:r w:rsidRPr="00217162">
        <w:rPr>
          <w:rFonts w:hint="eastAsia"/>
        </w:rPr>
        <w:t>缺血性心臟病</w:t>
      </w:r>
    </w:p>
    <w:p w14:paraId="70850E1B" w14:textId="77777777" w:rsidR="00217162" w:rsidRPr="00217162" w:rsidRDefault="00217162" w:rsidP="00217162">
      <w:pPr>
        <w:ind w:leftChars="200" w:left="480"/>
      </w:pPr>
    </w:p>
    <w:p w14:paraId="3B7B2229" w14:textId="77777777" w:rsidR="00217162" w:rsidRPr="00217162" w:rsidRDefault="00217162" w:rsidP="00217162">
      <w:pPr>
        <w:ind w:leftChars="200" w:left="480"/>
      </w:pPr>
    </w:p>
    <w:p w14:paraId="7DDA5E93" w14:textId="77777777" w:rsidR="00217162" w:rsidRPr="00217162" w:rsidRDefault="00217162" w:rsidP="00217162">
      <w:pPr>
        <w:ind w:leftChars="200" w:left="480"/>
      </w:pPr>
      <w:r w:rsidRPr="00217162">
        <w:rPr>
          <w:rFonts w:hint="eastAsia"/>
        </w:rPr>
        <w:t>排除條件：</w:t>
      </w:r>
    </w:p>
    <w:p w14:paraId="3D6B2BE2" w14:textId="77777777" w:rsidR="00217162" w:rsidRPr="00217162" w:rsidRDefault="00217162" w:rsidP="00217162">
      <w:pPr>
        <w:ind w:leftChars="200" w:left="480"/>
      </w:pPr>
      <w:r w:rsidRPr="00217162">
        <w:t>Records with an invalid health card number</w:t>
      </w:r>
    </w:p>
    <w:p w14:paraId="537F47F4" w14:textId="77777777" w:rsidR="00217162" w:rsidRPr="00217162" w:rsidRDefault="00217162" w:rsidP="00217162">
      <w:pPr>
        <w:ind w:leftChars="200" w:left="480"/>
      </w:pPr>
      <w:r w:rsidRPr="00217162">
        <w:t>Records with an invalid date of birth</w:t>
      </w:r>
    </w:p>
    <w:p w14:paraId="54F84716" w14:textId="77777777" w:rsidR="00217162" w:rsidRPr="00217162" w:rsidRDefault="00217162" w:rsidP="00217162">
      <w:pPr>
        <w:ind w:leftChars="200" w:left="480"/>
      </w:pPr>
      <w:r w:rsidRPr="00217162">
        <w:t>Records with an invalid admission date or time</w:t>
      </w:r>
    </w:p>
    <w:p w14:paraId="53CC02F7" w14:textId="77777777" w:rsidR="00217162" w:rsidRPr="00217162" w:rsidRDefault="00217162" w:rsidP="00217162">
      <w:pPr>
        <w:ind w:leftChars="200" w:left="480"/>
      </w:pPr>
      <w:r w:rsidRPr="00217162">
        <w:t>Records with an invalid discharge date or time</w:t>
      </w:r>
    </w:p>
    <w:p w14:paraId="549A8DC1" w14:textId="77777777" w:rsidR="00217162" w:rsidRPr="00217162" w:rsidRDefault="00217162" w:rsidP="00217162">
      <w:pPr>
        <w:ind w:leftChars="200" w:left="480"/>
      </w:pPr>
      <w:r w:rsidRPr="00217162">
        <w:t xml:space="preserve">Discharged as a death or </w:t>
      </w:r>
      <w:proofErr w:type="spellStart"/>
      <w:r w:rsidRPr="00217162">
        <w:t>self sign-out</w:t>
      </w:r>
      <w:proofErr w:type="spellEnd"/>
      <w:r w:rsidRPr="00217162">
        <w:t xml:space="preserve"> or did not return from a pass</w:t>
      </w:r>
    </w:p>
    <w:p w14:paraId="483CFEA7" w14:textId="77777777" w:rsidR="00217162" w:rsidRPr="00217162" w:rsidRDefault="00217162" w:rsidP="00217162">
      <w:pPr>
        <w:ind w:leftChars="200" w:left="480"/>
      </w:pPr>
      <w:r w:rsidRPr="00217162">
        <w:t>Any one of the following diagnoses recorded in any position:</w:t>
      </w:r>
    </w:p>
    <w:p w14:paraId="670228D4" w14:textId="77777777" w:rsidR="00217162" w:rsidRPr="00217162" w:rsidRDefault="00217162" w:rsidP="00217162">
      <w:pPr>
        <w:ind w:leftChars="200" w:left="480"/>
      </w:pPr>
      <w:r w:rsidRPr="00217162">
        <w:t>Cancer (ICD-9/ICD-9-CM: 140</w:t>
      </w:r>
      <w:r w:rsidRPr="00217162">
        <w:rPr>
          <w:rFonts w:hint="eastAsia"/>
        </w:rPr>
        <w:t>–</w:t>
      </w:r>
      <w:r w:rsidRPr="00217162">
        <w:t>208, V58.1, V58.0; or ICD-10-CA: C00</w:t>
      </w:r>
      <w:r w:rsidRPr="00217162">
        <w:rPr>
          <w:rFonts w:hint="eastAsia"/>
        </w:rPr>
        <w:t>–</w:t>
      </w:r>
      <w:r w:rsidRPr="00217162">
        <w:t>C26, C30</w:t>
      </w:r>
      <w:r w:rsidRPr="00217162">
        <w:rPr>
          <w:rFonts w:hint="eastAsia"/>
        </w:rPr>
        <w:t>–</w:t>
      </w:r>
      <w:r w:rsidRPr="00217162">
        <w:t>C44, C45</w:t>
      </w:r>
      <w:r w:rsidRPr="00217162">
        <w:rPr>
          <w:rFonts w:hint="eastAsia"/>
        </w:rPr>
        <w:t>–</w:t>
      </w:r>
      <w:r w:rsidRPr="00217162">
        <w:t>C97, Z51.0, Z51.1)</w:t>
      </w:r>
    </w:p>
    <w:p w14:paraId="58E536E3" w14:textId="77777777" w:rsidR="00217162" w:rsidRPr="00217162" w:rsidRDefault="00217162" w:rsidP="00217162">
      <w:pPr>
        <w:ind w:leftChars="200" w:left="480"/>
      </w:pPr>
      <w:r w:rsidRPr="00217162">
        <w:t>HIV (ICD-9: 042, 043, 044, 795.8; or ICD-9-CM: 042, 043, 044, 795.71, V08; or ICD-10-CA: B24, Z21, R75)</w:t>
      </w:r>
    </w:p>
    <w:p w14:paraId="6C77958D" w14:textId="77777777" w:rsidR="00217162" w:rsidRPr="00217162" w:rsidRDefault="00217162" w:rsidP="00217162">
      <w:pPr>
        <w:ind w:leftChars="200" w:left="480"/>
      </w:pPr>
      <w:r w:rsidRPr="00217162">
        <w:t>Trauma (ICD-9/ICD-9-CM: E800</w:t>
      </w:r>
      <w:r w:rsidRPr="00217162">
        <w:rPr>
          <w:rFonts w:hint="eastAsia"/>
        </w:rPr>
        <w:t>–</w:t>
      </w:r>
      <w:r w:rsidRPr="00217162">
        <w:t>848, E880</w:t>
      </w:r>
      <w:r w:rsidRPr="00217162">
        <w:rPr>
          <w:rFonts w:hint="eastAsia"/>
        </w:rPr>
        <w:t>–</w:t>
      </w:r>
      <w:r w:rsidRPr="00217162">
        <w:t>886, E888, E890</w:t>
      </w:r>
      <w:r w:rsidRPr="00217162">
        <w:rPr>
          <w:rFonts w:hint="eastAsia"/>
        </w:rPr>
        <w:t>–</w:t>
      </w:r>
      <w:r w:rsidRPr="00217162">
        <w:t>899, E900</w:t>
      </w:r>
      <w:r w:rsidRPr="00217162">
        <w:rPr>
          <w:rFonts w:hint="eastAsia"/>
        </w:rPr>
        <w:t>–</w:t>
      </w:r>
      <w:r w:rsidRPr="00217162">
        <w:t>910, E913</w:t>
      </w:r>
      <w:r w:rsidRPr="00217162">
        <w:rPr>
          <w:rFonts w:hint="eastAsia"/>
        </w:rPr>
        <w:t>–</w:t>
      </w:r>
      <w:r w:rsidRPr="00217162">
        <w:t>926, E928, E950</w:t>
      </w:r>
      <w:r w:rsidRPr="00217162">
        <w:rPr>
          <w:rFonts w:hint="eastAsia"/>
        </w:rPr>
        <w:t>–</w:t>
      </w:r>
      <w:r w:rsidRPr="00217162">
        <w:t>958, E960</w:t>
      </w:r>
      <w:r w:rsidRPr="00217162">
        <w:rPr>
          <w:rFonts w:hint="eastAsia"/>
        </w:rPr>
        <w:t>–</w:t>
      </w:r>
      <w:r w:rsidRPr="00217162">
        <w:t>968, E970</w:t>
      </w:r>
      <w:r w:rsidRPr="00217162">
        <w:rPr>
          <w:rFonts w:hint="eastAsia"/>
        </w:rPr>
        <w:t>–</w:t>
      </w:r>
      <w:r w:rsidRPr="00217162">
        <w:t>976, E990</w:t>
      </w:r>
      <w:r w:rsidRPr="00217162">
        <w:rPr>
          <w:rFonts w:hint="eastAsia"/>
        </w:rPr>
        <w:t>–</w:t>
      </w:r>
      <w:r w:rsidRPr="00217162">
        <w:t>998; or ICD-10-CA: V01</w:t>
      </w:r>
      <w:r w:rsidRPr="00217162">
        <w:rPr>
          <w:rFonts w:hint="eastAsia"/>
        </w:rPr>
        <w:t>–</w:t>
      </w:r>
      <w:r w:rsidRPr="00217162">
        <w:t>V99, W00</w:t>
      </w:r>
      <w:r w:rsidRPr="00217162">
        <w:rPr>
          <w:rFonts w:hint="eastAsia"/>
        </w:rPr>
        <w:t>–</w:t>
      </w:r>
      <w:r w:rsidRPr="00217162">
        <w:t>W23, X00</w:t>
      </w:r>
      <w:r w:rsidRPr="00217162">
        <w:rPr>
          <w:rFonts w:hint="eastAsia"/>
        </w:rPr>
        <w:t>–</w:t>
      </w:r>
      <w:r w:rsidRPr="00217162">
        <w:t>X09, W92</w:t>
      </w:r>
      <w:r w:rsidRPr="00217162">
        <w:rPr>
          <w:rFonts w:hint="eastAsia"/>
        </w:rPr>
        <w:t>–</w:t>
      </w:r>
      <w:r w:rsidRPr="00217162">
        <w:t>W94, X17, X30, X31, X51, X53, X54, X57, X20</w:t>
      </w:r>
      <w:r w:rsidRPr="00217162">
        <w:rPr>
          <w:rFonts w:hint="eastAsia"/>
        </w:rPr>
        <w:t>–</w:t>
      </w:r>
      <w:r w:rsidRPr="00217162">
        <w:t>X29, W50</w:t>
      </w:r>
      <w:r w:rsidRPr="00217162">
        <w:rPr>
          <w:rFonts w:hint="eastAsia"/>
        </w:rPr>
        <w:t>–</w:t>
      </w:r>
      <w:r w:rsidRPr="00217162">
        <w:t>W60, X33</w:t>
      </w:r>
      <w:r w:rsidRPr="00217162">
        <w:rPr>
          <w:rFonts w:hint="eastAsia"/>
        </w:rPr>
        <w:t>–</w:t>
      </w:r>
      <w:r w:rsidRPr="00217162">
        <w:t>X38, W30, W31, W44, W45, W64</w:t>
      </w:r>
      <w:r w:rsidRPr="00217162">
        <w:rPr>
          <w:rFonts w:hint="eastAsia"/>
        </w:rPr>
        <w:t>–</w:t>
      </w:r>
      <w:r w:rsidRPr="00217162">
        <w:t>W77, W81</w:t>
      </w:r>
      <w:r w:rsidRPr="00217162">
        <w:rPr>
          <w:rFonts w:hint="eastAsia"/>
        </w:rPr>
        <w:t>–</w:t>
      </w:r>
      <w:r w:rsidRPr="00217162">
        <w:t>W84, W25</w:t>
      </w:r>
      <w:r w:rsidRPr="00217162">
        <w:rPr>
          <w:rFonts w:hint="eastAsia"/>
        </w:rPr>
        <w:t>–</w:t>
      </w:r>
      <w:r w:rsidRPr="00217162">
        <w:t>W27, W33</w:t>
      </w:r>
      <w:r w:rsidRPr="00217162">
        <w:rPr>
          <w:rFonts w:hint="eastAsia"/>
        </w:rPr>
        <w:t>–</w:t>
      </w:r>
      <w:r w:rsidRPr="00217162">
        <w:t>W40, W85</w:t>
      </w:r>
      <w:r w:rsidRPr="00217162">
        <w:rPr>
          <w:rFonts w:hint="eastAsia"/>
        </w:rPr>
        <w:t>–</w:t>
      </w:r>
      <w:r w:rsidRPr="00217162">
        <w:t>W99, X10</w:t>
      </w:r>
      <w:r w:rsidRPr="00217162">
        <w:rPr>
          <w:rFonts w:hint="eastAsia"/>
        </w:rPr>
        <w:t>–</w:t>
      </w:r>
      <w:r w:rsidRPr="00217162">
        <w:t>X19, X60</w:t>
      </w:r>
      <w:r w:rsidRPr="00217162">
        <w:rPr>
          <w:rFonts w:hint="eastAsia"/>
        </w:rPr>
        <w:t>–</w:t>
      </w:r>
      <w:r w:rsidRPr="00217162">
        <w:t>X84, X85</w:t>
      </w:r>
      <w:r w:rsidRPr="00217162">
        <w:rPr>
          <w:rFonts w:hint="eastAsia"/>
        </w:rPr>
        <w:t>–</w:t>
      </w:r>
      <w:r w:rsidRPr="00217162">
        <w:t>Y09, Y35.0</w:t>
      </w:r>
      <w:r w:rsidRPr="00217162">
        <w:rPr>
          <w:rFonts w:hint="eastAsia"/>
        </w:rPr>
        <w:t>–</w:t>
      </w:r>
      <w:r w:rsidRPr="00217162">
        <w:t>Y35.4, Y35.6, Y35.7, Y36)</w:t>
      </w:r>
    </w:p>
    <w:p w14:paraId="262EF45A" w14:textId="77777777" w:rsidR="00217162" w:rsidRDefault="00217162" w:rsidP="00217162"/>
    <w:p w14:paraId="254E2159" w14:textId="0E7B2B0B" w:rsidR="00217162" w:rsidRPr="00217162" w:rsidRDefault="00217162" w:rsidP="00217162">
      <w:r w:rsidRPr="00217162">
        <w:rPr>
          <w:rFonts w:hint="eastAsia"/>
        </w:rPr>
        <w:t>資料處理</w:t>
      </w:r>
    </w:p>
    <w:p w14:paraId="41620D54" w14:textId="77777777" w:rsidR="00217162" w:rsidRPr="00217162" w:rsidRDefault="00217162" w:rsidP="00217162">
      <w:r w:rsidRPr="00217162">
        <w:tab/>
      </w:r>
      <w:r w:rsidRPr="00217162">
        <w:tab/>
      </w:r>
    </w:p>
    <w:p w14:paraId="69A6199E" w14:textId="77777777" w:rsidR="00217162" w:rsidRPr="00217162" w:rsidRDefault="00217162" w:rsidP="00217162"/>
    <w:p w14:paraId="2431B4E4" w14:textId="77777777" w:rsidR="00217162" w:rsidRPr="00217162" w:rsidRDefault="00217162" w:rsidP="00217162"/>
    <w:p w14:paraId="21F55749" w14:textId="77777777" w:rsidR="00217162" w:rsidRPr="00217162" w:rsidRDefault="00217162" w:rsidP="00217162"/>
    <w:p w14:paraId="5C2257CC" w14:textId="77777777" w:rsidR="00217162" w:rsidRPr="00217162" w:rsidRDefault="00217162" w:rsidP="00217162"/>
    <w:p w14:paraId="2C8F0381" w14:textId="77777777" w:rsidR="00217162" w:rsidRPr="00217162" w:rsidRDefault="00217162" w:rsidP="00217162"/>
    <w:p w14:paraId="05862FE7" w14:textId="77777777" w:rsidR="00217162" w:rsidRPr="00217162" w:rsidRDefault="00217162" w:rsidP="00217162">
      <w:r w:rsidRPr="00217162">
        <w:t>Reference:</w:t>
      </w:r>
    </w:p>
    <w:p w14:paraId="07E861B3" w14:textId="77777777" w:rsidR="00217162" w:rsidRPr="00217162" w:rsidRDefault="00217162" w:rsidP="00217162">
      <w:r w:rsidRPr="00217162">
        <w:t>Technical Note: Acute Myocardial Infarction Readmission Rate</w:t>
      </w:r>
    </w:p>
    <w:p w14:paraId="78F8CD04" w14:textId="77777777" w:rsidR="00217162" w:rsidRPr="00217162" w:rsidRDefault="00217162" w:rsidP="00217162">
      <w:r w:rsidRPr="00217162">
        <w:t>(</w:t>
      </w:r>
      <w:hyperlink r:id="rId5" w:history="1">
        <w:r w:rsidRPr="00217162">
          <w:rPr>
            <w:rStyle w:val="a3"/>
          </w:rPr>
          <w:t>https://www.cihi.ca/en/technical-note-acute-myocardial-infarction-readmission-rate</w:t>
        </w:r>
      </w:hyperlink>
      <w:r w:rsidRPr="00217162">
        <w:t>)</w:t>
      </w:r>
    </w:p>
    <w:p w14:paraId="2DF74928" w14:textId="7BDE0D1B" w:rsidR="003E3AED" w:rsidRPr="00217162" w:rsidRDefault="00217162" w:rsidP="00217162">
      <w:r w:rsidRPr="00217162">
        <w:t>Acute myocardial infarction(http://www.icd9data.com/2014/Volume1/390-459/410-414/410/default.htm)</w:t>
      </w:r>
    </w:p>
    <w:sectPr w:rsidR="003E3AED" w:rsidRPr="00217162" w:rsidSect="00C14A7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%1."/>
      <w:lvlJc w:val="left"/>
      <w:pPr>
        <w:ind w:left="720" w:hanging="360"/>
      </w:pPr>
    </w:lvl>
    <w:lvl w:ilvl="1" w:tplc="00000066">
      <w:start w:val="1"/>
      <w:numFmt w:val="bullet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00000131">
      <w:start w:val="1"/>
      <w:numFmt w:val="bullet"/>
      <w:lvlText w:val="•"/>
      <w:lvlJc w:val="left"/>
      <w:pPr>
        <w:ind w:left="3600" w:hanging="360"/>
      </w:pPr>
    </w:lvl>
    <w:lvl w:ilvl="5" w:tplc="00000132">
      <w:start w:val="1"/>
      <w:numFmt w:val="bullet"/>
      <w:lvlText w:val="•"/>
      <w:lvlJc w:val="left"/>
      <w:pPr>
        <w:ind w:left="4320" w:hanging="360"/>
      </w:pPr>
    </w:lvl>
    <w:lvl w:ilvl="6" w:tplc="00000133">
      <w:start w:val="1"/>
      <w:numFmt w:val="bullet"/>
      <w:lvlText w:val="•"/>
      <w:lvlJc w:val="left"/>
      <w:pPr>
        <w:ind w:left="50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2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000001FA">
      <w:start w:val="1"/>
      <w:numFmt w:val="bullet"/>
      <w:lvlText w:val="•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upperLetter"/>
      <w:lvlText w:val="%1."/>
      <w:lvlJc w:val="left"/>
      <w:pPr>
        <w:ind w:left="720" w:hanging="360"/>
      </w:pPr>
    </w:lvl>
    <w:lvl w:ilvl="1" w:tplc="0000025A">
      <w:start w:val="1"/>
      <w:numFmt w:val="upperLetter"/>
      <w:lvlText w:val="%2."/>
      <w:lvlJc w:val="left"/>
      <w:pPr>
        <w:ind w:left="1440" w:hanging="360"/>
      </w:pPr>
    </w:lvl>
    <w:lvl w:ilvl="2" w:tplc="0000025B">
      <w:start w:val="1"/>
      <w:numFmt w:val="upperLetter"/>
      <w:lvlText w:val="%3."/>
      <w:lvlJc w:val="left"/>
      <w:pPr>
        <w:ind w:left="2160" w:hanging="360"/>
      </w:pPr>
    </w:lvl>
    <w:lvl w:ilvl="3" w:tplc="0000025C">
      <w:start w:val="1"/>
      <w:numFmt w:val="upp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decimal"/>
      <w:lvlText w:val="%2."/>
      <w:lvlJc w:val="left"/>
      <w:pPr>
        <w:ind w:left="1440" w:hanging="360"/>
      </w:pPr>
    </w:lvl>
    <w:lvl w:ilvl="2" w:tplc="000002BF">
      <w:start w:val="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upperLetter"/>
      <w:lvlText w:val="%1."/>
      <w:lvlJc w:val="left"/>
      <w:pPr>
        <w:ind w:left="720" w:hanging="360"/>
      </w:pPr>
    </w:lvl>
    <w:lvl w:ilvl="1" w:tplc="00000322">
      <w:start w:val="1"/>
      <w:numFmt w:val="upperLetter"/>
      <w:lvlText w:val="%2."/>
      <w:lvlJc w:val="left"/>
      <w:pPr>
        <w:ind w:left="1440" w:hanging="360"/>
      </w:pPr>
    </w:lvl>
    <w:lvl w:ilvl="2" w:tplc="00000323">
      <w:start w:val="1"/>
      <w:numFmt w:val="upperLetter"/>
      <w:lvlText w:val="%3."/>
      <w:lvlJc w:val="left"/>
      <w:pPr>
        <w:ind w:left="2160" w:hanging="360"/>
      </w:pPr>
    </w:lvl>
    <w:lvl w:ilvl="3" w:tplc="00000324">
      <w:start w:val="1"/>
      <w:numFmt w:val="upp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0000038A">
      <w:start w:val="1"/>
      <w:numFmt w:val="bullet"/>
      <w:lvlText w:val="•"/>
      <w:lvlJc w:val="left"/>
      <w:pPr>
        <w:ind w:left="4320" w:hanging="360"/>
      </w:pPr>
    </w:lvl>
    <w:lvl w:ilvl="6" w:tplc="0000038B">
      <w:start w:val="1"/>
      <w:numFmt w:val="bullet"/>
      <w:lvlText w:val="•"/>
      <w:lvlJc w:val="left"/>
      <w:pPr>
        <w:ind w:left="5040" w:hanging="360"/>
      </w:pPr>
    </w:lvl>
    <w:lvl w:ilvl="7" w:tplc="0000038C">
      <w:start w:val="1"/>
      <w:numFmt w:val="bullet"/>
      <w:lvlText w:val="•"/>
      <w:lvlJc w:val="left"/>
      <w:pPr>
        <w:ind w:left="5760" w:hanging="360"/>
      </w:pPr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%1."/>
      <w:lvlJc w:val="left"/>
      <w:pPr>
        <w:ind w:left="720" w:hanging="360"/>
      </w:pPr>
    </w:lvl>
    <w:lvl w:ilvl="1" w:tplc="000003EA">
      <w:start w:val="2"/>
      <w:numFmt w:val="bullet"/>
      <w:lvlText w:val="%2."/>
      <w:lvlJc w:val="left"/>
      <w:pPr>
        <w:ind w:left="1440" w:hanging="360"/>
      </w:pPr>
    </w:lvl>
    <w:lvl w:ilvl="2" w:tplc="000003EB">
      <w:start w:val="1"/>
      <w:numFmt w:val="bullet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AA00725"/>
    <w:multiLevelType w:val="hybridMultilevel"/>
    <w:tmpl w:val="80CA2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B15660D"/>
    <w:multiLevelType w:val="hybridMultilevel"/>
    <w:tmpl w:val="D0FE42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62"/>
    <w:rsid w:val="00095FD9"/>
    <w:rsid w:val="00217162"/>
    <w:rsid w:val="00C1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0A145"/>
  <w15:chartTrackingRefBased/>
  <w15:docId w15:val="{8F9FBBE3-ED53-4044-87D5-D6E615B6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1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71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hi.ca/en/technical-note-acute-myocardial-infarction-readmission-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Weng</dc:creator>
  <cp:keywords/>
  <dc:description/>
  <cp:lastModifiedBy>Jason Weng</cp:lastModifiedBy>
  <cp:revision>1</cp:revision>
  <dcterms:created xsi:type="dcterms:W3CDTF">2022-03-08T11:39:00Z</dcterms:created>
  <dcterms:modified xsi:type="dcterms:W3CDTF">2022-03-08T11:43:00Z</dcterms:modified>
</cp:coreProperties>
</file>